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B8BB5" w14:textId="7BE4D9AD" w:rsidR="00AD7AE0" w:rsidRPr="00A96F87" w:rsidRDefault="00AD7AE0" w:rsidP="004136C8">
      <w:pPr>
        <w:rPr>
          <w:rFonts w:ascii="BBVA Office Light" w:hAnsi="BBVA Office Light" w:cs="Arial"/>
          <w:b/>
          <w:color w:val="1F497D" w:themeColor="text2"/>
          <w:sz w:val="28"/>
          <w:szCs w:val="28"/>
        </w:rPr>
      </w:pPr>
      <w:r w:rsidRPr="00A96F87">
        <w:rPr>
          <w:rFonts w:ascii="BBVA Office Light" w:hAnsi="BBVA Office Light" w:cs="Arial"/>
          <w:b/>
          <w:noProof/>
          <w:color w:val="1F497D" w:themeColor="text2"/>
          <w:sz w:val="28"/>
          <w:szCs w:val="28"/>
          <w:lang w:eastAsia="es-MX"/>
        </w:rPr>
        <w:drawing>
          <wp:anchor distT="0" distB="0" distL="114300" distR="114300" simplePos="0" relativeHeight="251661312" behindDoc="1" locked="0" layoutInCell="1" allowOverlap="1" wp14:anchorId="19277B81" wp14:editId="6AC4F6FB">
            <wp:simplePos x="0" y="0"/>
            <wp:positionH relativeFrom="column">
              <wp:posOffset>-723900</wp:posOffset>
            </wp:positionH>
            <wp:positionV relativeFrom="paragraph">
              <wp:posOffset>-81280</wp:posOffset>
            </wp:positionV>
            <wp:extent cx="1569043" cy="5429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BVA Nuevo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4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6C8">
        <w:rPr>
          <w:rFonts w:ascii="BBVA Office Book" w:hAnsi="BBVA Office Book"/>
          <w:b/>
          <w:color w:val="4F81BD"/>
          <w:sz w:val="20"/>
          <w:szCs w:val="20"/>
        </w:rPr>
        <w:t xml:space="preserve">         </w:t>
      </w:r>
    </w:p>
    <w:p w14:paraId="5ED622C3" w14:textId="7D07FA78" w:rsidR="00654E4D" w:rsidRPr="004F51DD" w:rsidRDefault="004136C8" w:rsidP="00F35E25">
      <w:pPr>
        <w:spacing w:line="312" w:lineRule="auto"/>
        <w:rPr>
          <w:rFonts w:ascii="BBVA Office Light" w:hAnsi="BBVA Office Light" w:cs="Arial"/>
          <w:color w:val="1F497D" w:themeColor="text2"/>
          <w:sz w:val="16"/>
        </w:rPr>
      </w:pPr>
      <w:r>
        <w:rPr>
          <w:rFonts w:ascii="BBVA Office Light" w:hAnsi="BBVA Office Light" w:cs="Arial"/>
          <w:color w:val="1F497D" w:themeColor="text2"/>
          <w:sz w:val="16"/>
        </w:rPr>
        <w:t xml:space="preserve">                                                                                                                          </w:t>
      </w:r>
      <w:r w:rsidR="004A3530">
        <w:rPr>
          <w:rFonts w:ascii="BBVA Office Light" w:hAnsi="BBVA Office Light" w:cs="Arial"/>
          <w:color w:val="1F497D" w:themeColor="text2"/>
          <w:sz w:val="16"/>
        </w:rPr>
        <w:t xml:space="preserve"> </w:t>
      </w:r>
      <w:r w:rsidR="001A569F">
        <w:rPr>
          <w:rFonts w:ascii="BBVA Office Light" w:hAnsi="BBVA Office Light" w:cs="Arial"/>
          <w:color w:val="1F497D" w:themeColor="text2"/>
          <w:sz w:val="16"/>
        </w:rPr>
        <w:tab/>
      </w:r>
      <w:r w:rsidR="001A569F">
        <w:rPr>
          <w:rFonts w:ascii="BBVA Office Light" w:hAnsi="BBVA Office Light" w:cs="Arial"/>
          <w:color w:val="1F497D" w:themeColor="text2"/>
          <w:sz w:val="16"/>
        </w:rPr>
        <w:tab/>
      </w:r>
      <w:bookmarkStart w:id="0" w:name="_GoBack"/>
      <w:bookmarkEnd w:id="0"/>
      <w:r w:rsidR="001A569F">
        <w:rPr>
          <w:rFonts w:ascii="BBVA Office Light" w:hAnsi="BBVA Office Light" w:cs="Arial"/>
          <w:color w:val="1F497D" w:themeColor="text2"/>
          <w:sz w:val="16"/>
        </w:rPr>
        <w:tab/>
      </w:r>
      <w:r w:rsidR="001A569F">
        <w:rPr>
          <w:rFonts w:ascii="BBVA Office Light" w:hAnsi="BBVA Office Light" w:cs="Arial"/>
          <w:color w:val="1F497D" w:themeColor="text2"/>
          <w:sz w:val="16"/>
        </w:rPr>
        <w:tab/>
      </w:r>
      <w:r w:rsidR="003C0B5C">
        <w:rPr>
          <w:rFonts w:ascii="BBVA Office Light" w:hAnsi="BBVA Office Light" w:cs="Arial"/>
          <w:color w:val="1F497D" w:themeColor="text2"/>
          <w:sz w:val="16"/>
        </w:rPr>
        <w:t xml:space="preserve">      </w:t>
      </w:r>
      <w:r>
        <w:rPr>
          <w:rFonts w:ascii="BBVA Office Book" w:hAnsi="BBVA Office Book"/>
          <w:b/>
          <w:color w:val="4F81BD"/>
          <w:sz w:val="20"/>
          <w:szCs w:val="20"/>
        </w:rPr>
        <w:t>&lt;</w:t>
      </w:r>
      <w:proofErr w:type="gramStart"/>
      <w:r>
        <w:rPr>
          <w:rFonts w:ascii="BBVA Office Book" w:hAnsi="BBVA Office Book"/>
          <w:b/>
          <w:color w:val="4F81BD"/>
          <w:sz w:val="20"/>
          <w:szCs w:val="20"/>
        </w:rPr>
        <w:t>folio</w:t>
      </w:r>
      <w:proofErr w:type="gramEnd"/>
      <w:r>
        <w:rPr>
          <w:rFonts w:ascii="BBVA Office Book" w:hAnsi="BBVA Office Book"/>
          <w:b/>
          <w:color w:val="4F81BD"/>
          <w:sz w:val="20"/>
          <w:szCs w:val="20"/>
        </w:rPr>
        <w:t>&gt;</w:t>
      </w:r>
    </w:p>
    <w:p w14:paraId="47E5EB42" w14:textId="0BBC2B31" w:rsidR="00F35E25" w:rsidRPr="001A569F" w:rsidRDefault="007070C0" w:rsidP="00AF6A15">
      <w:pPr>
        <w:jc w:val="center"/>
        <w:rPr>
          <w:rFonts w:ascii="BBVA Office Light" w:hAnsi="BBVA Office Light" w:cs="Arial"/>
          <w:b/>
          <w:color w:val="1F497D" w:themeColor="text2"/>
          <w:sz w:val="28"/>
          <w:szCs w:val="28"/>
        </w:rPr>
      </w:pPr>
      <w:r w:rsidRPr="001A569F">
        <w:rPr>
          <w:rFonts w:ascii="BBVA Office Light" w:hAnsi="BBVA Office Light" w:cs="Arial"/>
          <w:noProof/>
          <w:color w:val="1F497D" w:themeColor="text2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647C0" wp14:editId="14DD0359">
                <wp:simplePos x="0" y="0"/>
                <wp:positionH relativeFrom="column">
                  <wp:posOffset>7171055</wp:posOffset>
                </wp:positionH>
                <wp:positionV relativeFrom="paragraph">
                  <wp:posOffset>178435</wp:posOffset>
                </wp:positionV>
                <wp:extent cx="414020" cy="362585"/>
                <wp:effectExtent l="22860" t="19050" r="39370" b="4699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020" cy="36258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7DAAE5" w14:textId="77777777" w:rsidR="00297A97" w:rsidRPr="00297A97" w:rsidRDefault="00297A97" w:rsidP="00297A9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97A9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5647C0" id="Oval 3" o:spid="_x0000_s1026" style="position:absolute;left:0;text-align:left;margin-left:564.65pt;margin-top:14.05pt;width:32.6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" fillcolor="#4bacc6 [3208]" strokecolor="#f2f2f2 [3041]" strokeweight="3pt">
                <v:shadow on="t" color="#205867 [1608]" opacity=".5" offset="1pt"/>
                <v:textbox>
                  <w:txbxContent>
                    <w:p w14:paraId="457DAAE5" w14:textId="77777777" w:rsidR="00297A97" w:rsidRPr="00297A97" w:rsidRDefault="00297A97" w:rsidP="00297A9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97A9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A30CC" w:rsidRPr="001A569F">
        <w:rPr>
          <w:rFonts w:ascii="BBVA Office Light" w:hAnsi="BBVA Office Light" w:cs="Arial"/>
          <w:b/>
          <w:color w:val="1F497D" w:themeColor="text2"/>
          <w:sz w:val="28"/>
          <w:szCs w:val="28"/>
        </w:rPr>
        <w:t>Acuerdo d</w:t>
      </w:r>
      <w:r w:rsidR="00FC0C6A" w:rsidRPr="001A569F">
        <w:rPr>
          <w:rFonts w:ascii="BBVA Office Light" w:hAnsi="BBVA Office Light" w:cs="Arial"/>
          <w:b/>
          <w:color w:val="1F497D" w:themeColor="text2"/>
          <w:sz w:val="28"/>
          <w:szCs w:val="28"/>
        </w:rPr>
        <w:t>e Pago</w:t>
      </w:r>
      <w:r w:rsidR="00EC348C" w:rsidRPr="001A569F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</w:p>
    <w:p w14:paraId="5AF6FEC9" w14:textId="6E71E2AF" w:rsidR="002D7085" w:rsidRDefault="002D7085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3A0865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instrumento 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>tiene como objeto documentar el Acuerdo de Pago negociado por</w:t>
      </w:r>
      <w:r w:rsidR="005B4ABF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Consorcio Jurídico de Cobranza Especializada, S. A. de C. V</w:t>
      </w:r>
      <w:r w:rsidRPr="001A569F">
        <w:rPr>
          <w:rFonts w:ascii="BBVA Office Light" w:hAnsi="BBVA Office Light" w:cs="Arial"/>
          <w:color w:val="002060"/>
          <w:sz w:val="20"/>
          <w:szCs w:val="20"/>
        </w:rPr>
        <w:t>.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>, el cual suscribe BBVA</w:t>
      </w:r>
      <w:r w:rsidR="003C0B5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S.A., Institución de Banca </w:t>
      </w:r>
      <w:r w:rsidR="00F372EF" w:rsidRPr="001A569F">
        <w:rPr>
          <w:rFonts w:ascii="BBVA Office Light" w:hAnsi="BBVA Office Light" w:cs="Arial"/>
          <w:color w:val="1F497D" w:themeColor="text2"/>
          <w:sz w:val="20"/>
          <w:szCs w:val="20"/>
        </w:rPr>
        <w:t>Múltiple, Grupo Financiero BBVA</w:t>
      </w:r>
      <w:r w:rsidR="003C0B5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en su carácter de ACREEDOR y el </w:t>
      </w:r>
      <w:r w:rsidRPr="001A569F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C. </w:t>
      </w:r>
      <w:r w:rsidR="005B4ABF" w:rsidRPr="001A569F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&lt;titular&gt; 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>en su carácter de DEUDOR, al tenor de las siguientes:</w:t>
      </w:r>
    </w:p>
    <w:p w14:paraId="40C248DE" w14:textId="77777777" w:rsidR="001A569F" w:rsidRPr="001A569F" w:rsidRDefault="001A569F" w:rsidP="00AF6A15">
      <w:pPr>
        <w:jc w:val="both"/>
        <w:rPr>
          <w:rFonts w:ascii="BBVA Office Light" w:hAnsi="BBVA Office Light" w:cs="Arial"/>
          <w:color w:val="1F497D" w:themeColor="text2"/>
          <w:sz w:val="8"/>
          <w:szCs w:val="8"/>
        </w:rPr>
      </w:pPr>
    </w:p>
    <w:p w14:paraId="222FCE0B" w14:textId="3CB52AC1" w:rsidR="002D7085" w:rsidRDefault="002D7085" w:rsidP="00AF6A15">
      <w:pPr>
        <w:spacing w:after="120"/>
        <w:jc w:val="center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>CLÁUSULAS</w:t>
      </w:r>
    </w:p>
    <w:p w14:paraId="1F004A4C" w14:textId="7B1FA66C" w:rsidR="002D7085" w:rsidRPr="001A569F" w:rsidRDefault="005B4ABF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1A569F">
        <w:rPr>
          <w:rFonts w:ascii="BBVA Office Light" w:hAnsi="BBVA Office Light" w:cs="Arial"/>
          <w:b/>
          <w:color w:val="1F497D" w:themeColor="text2"/>
          <w:sz w:val="20"/>
          <w:szCs w:val="20"/>
        </w:rPr>
        <w:t>Primera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Pr="001A569F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>, recon</w:t>
      </w:r>
      <w:r w:rsidR="00F372EF" w:rsidRPr="001A569F">
        <w:rPr>
          <w:rFonts w:ascii="BBVA Office Light" w:hAnsi="BBVA Office Light" w:cs="Arial"/>
          <w:color w:val="1F497D" w:themeColor="text2"/>
          <w:sz w:val="20"/>
          <w:szCs w:val="20"/>
        </w:rPr>
        <w:t>oce la deuda contraída con BBVA</w:t>
      </w:r>
      <w:r w:rsidR="003C0B5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>por</w:t>
      </w:r>
      <w:r w:rsidR="000A30CC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concepto de su crédito </w:t>
      </w:r>
      <w:r w:rsidRPr="001A569F">
        <w:rPr>
          <w:rFonts w:ascii="BBVA Office Light" w:hAnsi="BBVA Office Light" w:cs="Arial"/>
          <w:b/>
          <w:color w:val="1F497D" w:themeColor="text2"/>
          <w:sz w:val="20"/>
          <w:szCs w:val="20"/>
        </w:rPr>
        <w:t>&lt;producto&gt;</w:t>
      </w:r>
      <w:r w:rsidR="000A30CC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>con número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1A569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1A569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Pr="001A569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>, la cual asciende a</w:t>
      </w:r>
      <w:r w:rsidR="00CB4501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la cantidad de </w:t>
      </w:r>
      <w:r w:rsidRPr="001A569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&lt;saldo&gt;</w:t>
      </w:r>
      <w:r w:rsidR="00CB4501" w:rsidRPr="001A569F">
        <w:rPr>
          <w:rFonts w:ascii="BBVA Office Light" w:hAnsi="BBVA Office Light" w:cs="Arial"/>
          <w:color w:val="1F497D" w:themeColor="text2"/>
          <w:sz w:val="20"/>
          <w:szCs w:val="20"/>
        </w:rPr>
        <w:t>,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mediante el presente instrumento a pagar la suma indicada, con la finalidad de liquidar su adeudo con una condonación.</w:t>
      </w:r>
    </w:p>
    <w:p w14:paraId="4B21ED95" w14:textId="2D8BA486" w:rsidR="002D7085" w:rsidRPr="001A569F" w:rsidRDefault="002D7085" w:rsidP="00AF6A15">
      <w:pPr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5B4ABF" w:rsidRPr="001A569F">
        <w:rPr>
          <w:rFonts w:ascii="BBVA Office Light" w:hAnsi="BBVA Office Light" w:cs="Arial"/>
          <w:b/>
          <w:color w:val="1F497D" w:themeColor="text2"/>
          <w:sz w:val="20"/>
          <w:szCs w:val="20"/>
        </w:rPr>
        <w:t>Segunda</w:t>
      </w:r>
      <w:r w:rsidR="005B4ABF" w:rsidRPr="001A569F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="005B4ABF" w:rsidRPr="001A569F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deberá realizar el </w:t>
      </w:r>
      <w:r w:rsidR="009F4D37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pago 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>direct</w:t>
      </w:r>
      <w:r w:rsidR="009F4D37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amente 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a su número de </w:t>
      </w:r>
      <w:r w:rsidR="00B0251D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crédito </w:t>
      </w:r>
      <w:r w:rsidR="005B4ABF" w:rsidRPr="001A569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1A569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="005B4ABF" w:rsidRPr="001A569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>, en una sola exhibición de acuerdo a lo siguiente:</w:t>
      </w:r>
    </w:p>
    <w:p w14:paraId="546FA3EA" w14:textId="77777777" w:rsidR="005B4ABF" w:rsidRPr="001A569F" w:rsidRDefault="005B4ABF" w:rsidP="00AF6A15">
      <w:pPr>
        <w:rPr>
          <w:rFonts w:ascii="BBVA Office Light" w:hAnsi="BBVA Office Light" w:cs="Arial"/>
          <w:color w:val="1F497D" w:themeColor="text2"/>
          <w:sz w:val="20"/>
          <w:szCs w:val="20"/>
        </w:rPr>
      </w:pPr>
    </w:p>
    <w:tbl>
      <w:tblPr>
        <w:tblStyle w:val="Tablaconcuadrcula"/>
        <w:tblW w:w="0" w:type="auto"/>
        <w:tblInd w:w="138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2990"/>
      </w:tblGrid>
      <w:tr w:rsidR="008A438C" w:rsidRPr="001A569F" w14:paraId="774CA5B1" w14:textId="77777777" w:rsidTr="004F51DD">
        <w:tc>
          <w:tcPr>
            <w:tcW w:w="3105" w:type="dxa"/>
            <w:shd w:val="clear" w:color="auto" w:fill="0070C0"/>
          </w:tcPr>
          <w:p w14:paraId="6FA4549A" w14:textId="77777777" w:rsidR="002D7085" w:rsidRPr="001A569F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  <w:tc>
          <w:tcPr>
            <w:tcW w:w="2990" w:type="dxa"/>
            <w:shd w:val="clear" w:color="auto" w:fill="0070C0"/>
          </w:tcPr>
          <w:p w14:paraId="0E4E923B" w14:textId="77777777" w:rsidR="002D7085" w:rsidRPr="001A569F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Cantidad</w:t>
            </w:r>
          </w:p>
        </w:tc>
      </w:tr>
      <w:tr w:rsidR="008A438C" w:rsidRPr="001A569F" w14:paraId="09D91951" w14:textId="77777777" w:rsidTr="004F51DD">
        <w:tc>
          <w:tcPr>
            <w:tcW w:w="3105" w:type="dxa"/>
          </w:tcPr>
          <w:p w14:paraId="527D6359" w14:textId="77777777" w:rsidR="002D7085" w:rsidRPr="001A569F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Saldo total</w:t>
            </w:r>
          </w:p>
        </w:tc>
        <w:tc>
          <w:tcPr>
            <w:tcW w:w="2990" w:type="dxa"/>
          </w:tcPr>
          <w:p w14:paraId="2F59247A" w14:textId="0B78E190" w:rsidR="002D7085" w:rsidRPr="001A569F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&lt;saldo&gt;</w:t>
            </w:r>
          </w:p>
        </w:tc>
      </w:tr>
      <w:tr w:rsidR="008A438C" w:rsidRPr="001A569F" w14:paraId="53C1B456" w14:textId="77777777" w:rsidTr="004F51DD">
        <w:tc>
          <w:tcPr>
            <w:tcW w:w="3105" w:type="dxa"/>
          </w:tcPr>
          <w:p w14:paraId="68ACE65B" w14:textId="77777777" w:rsidR="002D7085" w:rsidRPr="001A569F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Monto a pagar</w:t>
            </w:r>
          </w:p>
        </w:tc>
        <w:tc>
          <w:tcPr>
            <w:tcW w:w="2990" w:type="dxa"/>
          </w:tcPr>
          <w:p w14:paraId="4C0E1829" w14:textId="1FEE5C6C" w:rsidR="002D7085" w:rsidRPr="001A569F" w:rsidRDefault="00B0251D" w:rsidP="009B3BA4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5B4ABF" w:rsidRPr="001A569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&lt;pago&gt;</w:t>
            </w:r>
          </w:p>
        </w:tc>
      </w:tr>
      <w:tr w:rsidR="008A438C" w:rsidRPr="001A569F" w14:paraId="5322A6C8" w14:textId="77777777" w:rsidTr="004F51DD">
        <w:tc>
          <w:tcPr>
            <w:tcW w:w="3105" w:type="dxa"/>
          </w:tcPr>
          <w:p w14:paraId="4930201B" w14:textId="77777777" w:rsidR="002D7085" w:rsidRPr="001A569F" w:rsidRDefault="002D7085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Porcentaje de </w:t>
            </w:r>
            <w:r w:rsidR="009B3BA4"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quita</w:t>
            </w:r>
          </w:p>
        </w:tc>
        <w:tc>
          <w:tcPr>
            <w:tcW w:w="2990" w:type="dxa"/>
          </w:tcPr>
          <w:p w14:paraId="564C95FB" w14:textId="678DA69C" w:rsidR="002D7085" w:rsidRPr="001A569F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por_descuento</w:t>
            </w:r>
            <w:proofErr w:type="spellEnd"/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&gt;</w:t>
            </w:r>
            <w:r w:rsidR="002C2E9C"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%</w:t>
            </w:r>
          </w:p>
        </w:tc>
      </w:tr>
      <w:tr w:rsidR="008A438C" w:rsidRPr="001A569F" w14:paraId="1B4A9BD1" w14:textId="77777777" w:rsidTr="004F51DD">
        <w:tc>
          <w:tcPr>
            <w:tcW w:w="3105" w:type="dxa"/>
          </w:tcPr>
          <w:p w14:paraId="7365365F" w14:textId="77777777" w:rsidR="002D7085" w:rsidRPr="001A569F" w:rsidRDefault="009B3BA4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Monto de la quita</w:t>
            </w:r>
            <w:r w:rsidR="002D7085"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2990" w:type="dxa"/>
          </w:tcPr>
          <w:p w14:paraId="0CE3D40D" w14:textId="45F79BDC" w:rsidR="002D7085" w:rsidRPr="001A569F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desc_monto</w:t>
            </w:r>
            <w:proofErr w:type="spellEnd"/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&gt;</w:t>
            </w:r>
          </w:p>
        </w:tc>
      </w:tr>
      <w:tr w:rsidR="008A438C" w:rsidRPr="001A569F" w14:paraId="66673FAA" w14:textId="77777777" w:rsidTr="004F51DD">
        <w:tc>
          <w:tcPr>
            <w:tcW w:w="3105" w:type="dxa"/>
          </w:tcPr>
          <w:p w14:paraId="18485108" w14:textId="77777777" w:rsidR="002D7085" w:rsidRPr="001A569F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Fecha límite de pago</w:t>
            </w:r>
          </w:p>
        </w:tc>
        <w:tc>
          <w:tcPr>
            <w:tcW w:w="2990" w:type="dxa"/>
          </w:tcPr>
          <w:p w14:paraId="29596AE9" w14:textId="5A1A9D61" w:rsidR="002D7085" w:rsidRPr="001A569F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1A569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fec_pago</w:t>
            </w:r>
            <w:proofErr w:type="spellEnd"/>
            <w:r w:rsidRPr="001A569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&gt;</w:t>
            </w:r>
          </w:p>
        </w:tc>
      </w:tr>
    </w:tbl>
    <w:p w14:paraId="2202407D" w14:textId="77777777" w:rsidR="002D7085" w:rsidRPr="001A569F" w:rsidRDefault="002D7085" w:rsidP="004F51DD">
      <w:pPr>
        <w:spacing w:line="312" w:lineRule="auto"/>
        <w:rPr>
          <w:rFonts w:ascii="BBVA Office Light" w:hAnsi="BBVA Office Light" w:cs="Arial"/>
          <w:color w:val="1F497D" w:themeColor="text2"/>
          <w:sz w:val="20"/>
          <w:szCs w:val="20"/>
        </w:rPr>
      </w:pPr>
    </w:p>
    <w:p w14:paraId="4B70CC2F" w14:textId="299B0B95" w:rsidR="002D7085" w:rsidRPr="001A569F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1A569F">
        <w:rPr>
          <w:rFonts w:ascii="BBVA Office Light" w:hAnsi="BBVA Office Light" w:cs="Arial"/>
          <w:b/>
          <w:color w:val="1F497D" w:themeColor="text2"/>
          <w:sz w:val="20"/>
          <w:szCs w:val="20"/>
        </w:rPr>
        <w:t>Tercera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 Este </w:t>
      </w:r>
      <w:r w:rsidR="006336FF" w:rsidRPr="001A569F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no constituye una renovación del contrato original de crédit</w:t>
      </w:r>
      <w:r w:rsidR="00E4233B" w:rsidRPr="001A569F">
        <w:rPr>
          <w:rFonts w:ascii="BBVA Office Light" w:hAnsi="BBVA Office Light" w:cs="Arial"/>
          <w:color w:val="1F497D" w:themeColor="text2"/>
          <w:sz w:val="20"/>
          <w:szCs w:val="20"/>
        </w:rPr>
        <w:t>o y, en caso de incumplimiento, el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DEUDOR acepta pagar la cantidad total del adeudo que reconoce con </w:t>
      </w:r>
      <w:r w:rsidR="00E4233B" w:rsidRPr="001A569F">
        <w:rPr>
          <w:rFonts w:ascii="BBVA Office Light" w:hAnsi="BBVA Office Light" w:cs="Arial"/>
          <w:color w:val="1F497D" w:themeColor="text2"/>
          <w:sz w:val="20"/>
          <w:szCs w:val="20"/>
        </w:rPr>
        <w:t>BBVA</w:t>
      </w:r>
      <w:r w:rsidR="003C0B5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. </w:t>
      </w:r>
    </w:p>
    <w:p w14:paraId="2A8094C3" w14:textId="77777777" w:rsidR="001A569F" w:rsidRPr="001A569F" w:rsidRDefault="001A569F" w:rsidP="002D7085">
      <w:pPr>
        <w:spacing w:line="312" w:lineRule="auto"/>
        <w:jc w:val="both"/>
        <w:rPr>
          <w:rFonts w:ascii="BBVA Office Light" w:hAnsi="BBVA Office Light" w:cs="Arial"/>
          <w:b/>
          <w:color w:val="1F497D" w:themeColor="text2"/>
          <w:sz w:val="8"/>
          <w:szCs w:val="8"/>
        </w:rPr>
      </w:pPr>
    </w:p>
    <w:p w14:paraId="1A542F5B" w14:textId="33CBBF8F" w:rsidR="002D7085" w:rsidRPr="001A569F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1A569F">
        <w:rPr>
          <w:rFonts w:ascii="BBVA Office Light" w:hAnsi="BBVA Office Light" w:cs="Arial"/>
          <w:b/>
          <w:color w:val="1F497D" w:themeColor="text2"/>
          <w:sz w:val="20"/>
          <w:szCs w:val="20"/>
        </w:rPr>
        <w:t>Cuarta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Ambas partes manifiestan que están enteradas del alcance y contenido de todas y cada una de las cláusulas que anteceden y que, por lo tanto, no existe ningún error, dolo o mala fe que altere la validez del presente </w:t>
      </w:r>
      <w:r w:rsidR="00B623F2" w:rsidRPr="001A569F">
        <w:rPr>
          <w:rFonts w:ascii="BBVA Office Light" w:hAnsi="BBVA Office Light" w:cs="Arial"/>
          <w:color w:val="1F497D" w:themeColor="text2"/>
          <w:sz w:val="20"/>
          <w:szCs w:val="20"/>
        </w:rPr>
        <w:t>acuerdo,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a cumplir de manera integral con el proceso que corresponde para la liquidación del mismo.</w:t>
      </w:r>
    </w:p>
    <w:p w14:paraId="0BA6FC75" w14:textId="77777777" w:rsidR="001A569F" w:rsidRPr="001A569F" w:rsidRDefault="001A569F" w:rsidP="002D7085">
      <w:pPr>
        <w:spacing w:line="312" w:lineRule="auto"/>
        <w:jc w:val="both"/>
        <w:rPr>
          <w:rFonts w:ascii="BBVA Office Light" w:hAnsi="BBVA Office Light" w:cs="Arial"/>
          <w:b/>
          <w:color w:val="1F497D" w:themeColor="text2"/>
          <w:sz w:val="8"/>
          <w:szCs w:val="8"/>
        </w:rPr>
      </w:pPr>
    </w:p>
    <w:p w14:paraId="43395C4D" w14:textId="0309BFBB" w:rsidR="002D7085" w:rsidRPr="001A569F" w:rsidRDefault="007070C0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1A569F">
        <w:rPr>
          <w:rFonts w:ascii="BBVA Office Light" w:hAnsi="BBVA Office Light" w:cs="Arial"/>
          <w:b/>
          <w:color w:val="1F497D" w:themeColor="text2"/>
          <w:sz w:val="20"/>
          <w:szCs w:val="20"/>
        </w:rPr>
        <w:t>Quinta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CC5E29" w:rsidRPr="001A569F">
        <w:rPr>
          <w:rFonts w:ascii="BBVA Office Light" w:hAnsi="BBVA Office Light" w:cs="Arial"/>
          <w:color w:val="1F497D" w:themeColor="text2"/>
          <w:sz w:val="20"/>
          <w:szCs w:val="20"/>
        </w:rPr>
        <w:t>Cumpliendo con el presente Acuerdo, ponemos a su disposición la carta finiquito marcando al 55 1054 8020, después de 10 días hábiles con BBVA</w:t>
      </w:r>
      <w:r w:rsidR="003C0B5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48074F" w:rsidRPr="001A569F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</w:p>
    <w:p w14:paraId="548D08CE" w14:textId="03857CBF" w:rsidR="002D7085" w:rsidRPr="001A569F" w:rsidRDefault="002D7085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6336FF" w:rsidRPr="001A569F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se establece a los </w:t>
      </w:r>
      <w:r w:rsidR="005B4ABF" w:rsidRPr="001A569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&lt;día&gt;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días del mes de </w:t>
      </w:r>
      <w:r w:rsidR="005B4ABF" w:rsidRPr="001A569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&lt;mes&gt;</w:t>
      </w:r>
      <w:r w:rsidR="00B0251D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del año </w:t>
      </w:r>
      <w:r w:rsidR="005B4ABF" w:rsidRPr="001A569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&lt;año&gt;</w:t>
      </w:r>
      <w:r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firmando de conformidad en </w:t>
      </w:r>
      <w:r w:rsidR="007152FB" w:rsidRPr="00D45746">
        <w:rPr>
          <w:rFonts w:ascii="BBVA Office Light" w:hAnsi="BBVA Office Light" w:cs="Arial"/>
          <w:color w:val="1F497D" w:themeColor="text2"/>
          <w:sz w:val="20"/>
          <w:szCs w:val="20"/>
        </w:rPr>
        <w:t>&lt;</w:t>
      </w:r>
      <w:r w:rsidR="007152FB" w:rsidRPr="00D4574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estado</w:t>
      </w:r>
      <w:r w:rsidR="007152FB" w:rsidRPr="00D45746">
        <w:rPr>
          <w:rFonts w:ascii="BBVA Office Light" w:hAnsi="BBVA Office Light" w:cs="Arial"/>
          <w:color w:val="1F497D" w:themeColor="text2"/>
          <w:sz w:val="20"/>
          <w:szCs w:val="20"/>
        </w:rPr>
        <w:t>&gt;</w:t>
      </w:r>
      <w:r w:rsidR="007152FB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  <w:r w:rsidR="00072F52" w:rsidRPr="001A569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Debiendo firmar </w:t>
      </w:r>
    </w:p>
    <w:p w14:paraId="4197AFF6" w14:textId="77777777" w:rsidR="000A30CC" w:rsidRPr="001A569F" w:rsidRDefault="000A30CC" w:rsidP="004F51DD">
      <w:pPr>
        <w:spacing w:line="312" w:lineRule="auto"/>
        <w:rPr>
          <w:rFonts w:ascii="BBVA Office Light" w:hAnsi="BBVA Office Light" w:cs="Arial"/>
          <w:color w:val="1F497D" w:themeColor="text2"/>
          <w:sz w:val="20"/>
          <w:szCs w:val="20"/>
        </w:rPr>
      </w:pPr>
    </w:p>
    <w:tbl>
      <w:tblPr>
        <w:tblStyle w:val="Tablaconcuadrcula"/>
        <w:tblW w:w="94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2550"/>
        <w:gridCol w:w="3569"/>
      </w:tblGrid>
      <w:tr w:rsidR="00CB4501" w:rsidRPr="001A569F" w14:paraId="1F8B2AE4" w14:textId="77777777" w:rsidTr="00CB4501">
        <w:trPr>
          <w:jc w:val="center"/>
        </w:trPr>
        <w:tc>
          <w:tcPr>
            <w:tcW w:w="3309" w:type="dxa"/>
          </w:tcPr>
          <w:p w14:paraId="3F11706B" w14:textId="0A4015C2" w:rsidR="00CB4501" w:rsidRPr="001A569F" w:rsidRDefault="00A96F87" w:rsidP="00A96F87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noProof/>
                <w:color w:val="1F497D"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0A0FD5B" wp14:editId="2908DDC2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194945</wp:posOffset>
                  </wp:positionV>
                  <wp:extent cx="600075" cy="552450"/>
                  <wp:effectExtent l="0" t="0" r="0" b="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501"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Negoció</w:t>
            </w:r>
          </w:p>
        </w:tc>
        <w:tc>
          <w:tcPr>
            <w:tcW w:w="2550" w:type="dxa"/>
          </w:tcPr>
          <w:p w14:paraId="1B129616" w14:textId="77777777" w:rsidR="00CB4501" w:rsidRPr="001A569F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569" w:type="dxa"/>
          </w:tcPr>
          <w:p w14:paraId="33147BF8" w14:textId="77777777" w:rsidR="00CB4501" w:rsidRPr="001A569F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Aceptó</w:t>
            </w:r>
          </w:p>
          <w:p w14:paraId="33E4B8DA" w14:textId="77777777" w:rsidR="00CB4501" w:rsidRPr="001A569F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  <w:p w14:paraId="68946247" w14:textId="77777777" w:rsidR="00CB4501" w:rsidRPr="001A569F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</w:tr>
      <w:tr w:rsidR="00CB4501" w:rsidRPr="001A569F" w14:paraId="329AEA60" w14:textId="77777777" w:rsidTr="00CB4501">
        <w:trPr>
          <w:jc w:val="center"/>
        </w:trPr>
        <w:tc>
          <w:tcPr>
            <w:tcW w:w="3309" w:type="dxa"/>
          </w:tcPr>
          <w:p w14:paraId="38F9324A" w14:textId="0CAF083C" w:rsidR="00CB4501" w:rsidRPr="001A569F" w:rsidRDefault="00A02586" w:rsidP="000A30CC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 xml:space="preserve">Lic. </w:t>
            </w:r>
            <w:r w:rsidR="00EA17FC" w:rsidRPr="001A569F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="00EA17FC" w:rsidRPr="001A569F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dir_banc</w:t>
            </w:r>
            <w:proofErr w:type="spellEnd"/>
            <w:r w:rsidR="00EA17FC" w:rsidRPr="001A569F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&gt;</w:t>
            </w:r>
          </w:p>
          <w:p w14:paraId="4B0B02F8" w14:textId="77777777" w:rsidR="00254CFC" w:rsidRPr="001A569F" w:rsidRDefault="00254CFC" w:rsidP="00254CFC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Subdirector Cobranza Especializada</w:t>
            </w:r>
          </w:p>
        </w:tc>
        <w:tc>
          <w:tcPr>
            <w:tcW w:w="2550" w:type="dxa"/>
          </w:tcPr>
          <w:p w14:paraId="007DC5E1" w14:textId="77777777" w:rsidR="00CB4501" w:rsidRPr="001A569F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569" w:type="dxa"/>
          </w:tcPr>
          <w:p w14:paraId="741CFDC9" w14:textId="44D064E1" w:rsidR="00254CFC" w:rsidRPr="001A569F" w:rsidRDefault="005B4ABF" w:rsidP="0006346D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&lt;titular&gt;</w:t>
            </w:r>
          </w:p>
          <w:p w14:paraId="1740F8F1" w14:textId="77777777" w:rsidR="00CB4501" w:rsidRPr="001A569F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1A569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Titular del Crédito</w:t>
            </w:r>
          </w:p>
        </w:tc>
      </w:tr>
    </w:tbl>
    <w:p w14:paraId="7963E475" w14:textId="77777777" w:rsidR="0071756E" w:rsidRPr="001A569F" w:rsidRDefault="0071756E" w:rsidP="0071756E">
      <w:pPr>
        <w:jc w:val="both"/>
        <w:rPr>
          <w:rFonts w:ascii="BBVA Office Light" w:hAnsi="BBVA Office Light" w:cs="Tahoma"/>
          <w:color w:val="1F497D" w:themeColor="text2"/>
          <w:sz w:val="20"/>
          <w:szCs w:val="20"/>
        </w:rPr>
      </w:pPr>
      <w:r w:rsidRPr="001A569F">
        <w:rPr>
          <w:rFonts w:ascii="BBVA Office Light" w:hAnsi="BBVA Office Light" w:cs="Tahoma"/>
          <w:color w:val="1F497D" w:themeColor="text2"/>
          <w:sz w:val="20"/>
          <w:szCs w:val="20"/>
        </w:rPr>
        <w:t xml:space="preserve">Sus datos están protegidos de acuerdo a la ley federal de protección de datos personales en posesión de los particulares. Consulte nuestro aviso de privacidad </w:t>
      </w:r>
      <w:r w:rsidRPr="001A569F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www.</w:t>
      </w:r>
      <w:r w:rsidR="00F372EF" w:rsidRPr="001A569F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bbva.mx</w:t>
      </w:r>
    </w:p>
    <w:p w14:paraId="6BFA6F0D" w14:textId="77777777" w:rsidR="001A569F" w:rsidRPr="001A569F" w:rsidRDefault="001A569F" w:rsidP="00AF6A15">
      <w:pPr>
        <w:jc w:val="both"/>
        <w:rPr>
          <w:rFonts w:ascii="BBVA Office Light" w:hAnsi="BBVA Office Light"/>
          <w:color w:val="1F497D" w:themeColor="text2"/>
          <w:sz w:val="8"/>
          <w:szCs w:val="8"/>
        </w:rPr>
      </w:pPr>
    </w:p>
    <w:p w14:paraId="49B40CA7" w14:textId="038DA4DD" w:rsidR="00297A97" w:rsidRPr="00A96F87" w:rsidRDefault="0071756E" w:rsidP="00AF6A15">
      <w:pPr>
        <w:jc w:val="both"/>
        <w:rPr>
          <w:rFonts w:ascii="BBVA Office Light" w:hAnsi="BBVA Office Light"/>
          <w:color w:val="1F497D" w:themeColor="text2"/>
          <w:sz w:val="16"/>
          <w:szCs w:val="16"/>
        </w:rPr>
      </w:pPr>
      <w:r w:rsidRPr="001A569F">
        <w:rPr>
          <w:rFonts w:ascii="BBVA Office Light" w:hAnsi="BBVA Office Light"/>
          <w:color w:val="1F497D" w:themeColor="text2"/>
          <w:sz w:val="20"/>
          <w:szCs w:val="20"/>
        </w:rPr>
        <w:t>Nota:</w:t>
      </w:r>
      <w:r w:rsidR="000A30CC" w:rsidRPr="001A569F">
        <w:rPr>
          <w:rFonts w:ascii="BBVA Office Light" w:hAnsi="BBVA Office Light"/>
          <w:color w:val="1F497D" w:themeColor="text2"/>
          <w:sz w:val="20"/>
          <w:szCs w:val="20"/>
        </w:rPr>
        <w:t xml:space="preserve"> </w:t>
      </w:r>
      <w:r w:rsidRPr="001A569F">
        <w:rPr>
          <w:rFonts w:ascii="BBVA Office Light" w:hAnsi="BBVA Office Light"/>
          <w:color w:val="1F497D" w:themeColor="text2"/>
          <w:sz w:val="20"/>
          <w:szCs w:val="20"/>
        </w:rPr>
        <w:t xml:space="preserve">Si no cumple con el </w:t>
      </w:r>
      <w:r w:rsidR="006336FF" w:rsidRPr="001A569F">
        <w:rPr>
          <w:rFonts w:ascii="BBVA Office Light" w:hAnsi="BBVA Office Light"/>
          <w:color w:val="1F497D" w:themeColor="text2"/>
          <w:sz w:val="20"/>
          <w:szCs w:val="20"/>
        </w:rPr>
        <w:t xml:space="preserve">acuerdo </w:t>
      </w:r>
      <w:r w:rsidR="00B0251D" w:rsidRPr="001A569F">
        <w:rPr>
          <w:rFonts w:ascii="BBVA Office Light" w:hAnsi="BBVA Office Light"/>
          <w:color w:val="1F497D" w:themeColor="text2"/>
          <w:sz w:val="20"/>
          <w:szCs w:val="20"/>
        </w:rPr>
        <w:t>pactado</w:t>
      </w:r>
      <w:r w:rsidRPr="001A569F">
        <w:rPr>
          <w:rFonts w:ascii="BBVA Office Light" w:hAnsi="BBVA Office Light"/>
          <w:color w:val="1F497D" w:themeColor="text2"/>
          <w:sz w:val="20"/>
          <w:szCs w:val="20"/>
        </w:rPr>
        <w:t xml:space="preserve"> en fecha y monto</w:t>
      </w:r>
      <w:r w:rsidR="00254CFC" w:rsidRPr="001A569F">
        <w:rPr>
          <w:rFonts w:ascii="BBVA Office Light" w:hAnsi="BBVA Office Light"/>
          <w:color w:val="1F497D" w:themeColor="text2"/>
          <w:sz w:val="20"/>
          <w:szCs w:val="20"/>
        </w:rPr>
        <w:t xml:space="preserve"> de pago</w:t>
      </w:r>
      <w:r w:rsidRPr="001A569F">
        <w:rPr>
          <w:rFonts w:ascii="BBVA Office Light" w:hAnsi="BBVA Office Light"/>
          <w:color w:val="1F497D" w:themeColor="text2"/>
          <w:sz w:val="20"/>
          <w:szCs w:val="20"/>
        </w:rPr>
        <w:t xml:space="preserve">, este </w:t>
      </w:r>
      <w:r w:rsidR="00B0251D" w:rsidRPr="001A569F">
        <w:rPr>
          <w:rFonts w:ascii="BBVA Office Light" w:hAnsi="BBVA Office Light"/>
          <w:color w:val="1F497D" w:themeColor="text2"/>
          <w:sz w:val="20"/>
          <w:szCs w:val="20"/>
        </w:rPr>
        <w:t xml:space="preserve">documento </w:t>
      </w:r>
      <w:r w:rsidRPr="001A569F">
        <w:rPr>
          <w:rFonts w:ascii="BBVA Office Light" w:hAnsi="BBVA Office Light"/>
          <w:color w:val="1F497D" w:themeColor="text2"/>
          <w:sz w:val="20"/>
          <w:szCs w:val="20"/>
        </w:rPr>
        <w:t>queda sin efecto.</w:t>
      </w:r>
      <w:r w:rsidR="00B0251D" w:rsidRPr="001A569F">
        <w:rPr>
          <w:rFonts w:ascii="BBVA Office Light" w:hAnsi="BBVA Office Light"/>
          <w:color w:val="1F497D" w:themeColor="text2"/>
          <w:sz w:val="20"/>
          <w:szCs w:val="20"/>
        </w:rPr>
        <w:t xml:space="preserve"> Deberá </w:t>
      </w:r>
      <w:proofErr w:type="gramStart"/>
      <w:r w:rsidR="00B0251D" w:rsidRPr="001A569F">
        <w:rPr>
          <w:rFonts w:ascii="BBVA Office Light" w:hAnsi="BBVA Office Light"/>
          <w:color w:val="1F497D" w:themeColor="text2"/>
          <w:sz w:val="20"/>
          <w:szCs w:val="20"/>
        </w:rPr>
        <w:t>firmar</w:t>
      </w:r>
      <w:proofErr w:type="gramEnd"/>
      <w:r w:rsidR="00B0251D" w:rsidRPr="001A569F">
        <w:rPr>
          <w:rFonts w:ascii="BBVA Office Light" w:hAnsi="BBVA Office Light"/>
          <w:color w:val="1F497D" w:themeColor="text2"/>
          <w:sz w:val="20"/>
          <w:szCs w:val="20"/>
        </w:rPr>
        <w:t xml:space="preserve"> al calce del mismo</w:t>
      </w:r>
      <w:r w:rsidR="00B0251D" w:rsidRPr="00A96F87">
        <w:rPr>
          <w:rFonts w:ascii="BBVA Office Light" w:hAnsi="BBVA Office Light"/>
          <w:color w:val="1F497D" w:themeColor="text2"/>
          <w:sz w:val="16"/>
          <w:szCs w:val="16"/>
        </w:rPr>
        <w:t>.</w:t>
      </w:r>
    </w:p>
    <w:sectPr w:rsidR="00297A97" w:rsidRPr="00A96F87" w:rsidSect="004136C8">
      <w:headerReference w:type="default" r:id="rId10"/>
      <w:footerReference w:type="default" r:id="rId11"/>
      <w:pgSz w:w="12240" w:h="15840" w:code="1"/>
      <w:pgMar w:top="284" w:right="1418" w:bottom="851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28669" w14:textId="77777777" w:rsidR="00F54C64" w:rsidRDefault="00F54C64" w:rsidP="008A438C">
      <w:r>
        <w:separator/>
      </w:r>
    </w:p>
  </w:endnote>
  <w:endnote w:type="continuationSeparator" w:id="0">
    <w:p w14:paraId="411958F7" w14:textId="77777777" w:rsidR="00F54C64" w:rsidRDefault="00F54C64" w:rsidP="008A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BVA Office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BVA Office 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250E2" w14:textId="4941F41C" w:rsidR="00B57C5E" w:rsidRPr="00B57C5E" w:rsidRDefault="00A02586" w:rsidP="00B57C5E">
    <w:pPr>
      <w:pStyle w:val="Encabezado"/>
      <w:tabs>
        <w:tab w:val="clear" w:pos="4252"/>
        <w:tab w:val="clear" w:pos="8504"/>
        <w:tab w:val="left" w:pos="426"/>
        <w:tab w:val="center" w:pos="4419"/>
        <w:tab w:val="right" w:pos="8838"/>
      </w:tabs>
      <w:overflowPunct w:val="0"/>
      <w:autoSpaceDE w:val="0"/>
      <w:autoSpaceDN w:val="0"/>
      <w:adjustRightInd w:val="0"/>
      <w:jc w:val="both"/>
      <w:textAlignment w:val="baseline"/>
      <w:rPr>
        <w:color w:val="002060"/>
      </w:rPr>
    </w:pPr>
    <w:r>
      <w:rPr>
        <w:rFonts w:asciiTheme="minorHAnsi" w:hAnsiTheme="minorHAnsi"/>
        <w:color w:val="002060"/>
        <w:sz w:val="14"/>
        <w:szCs w:val="14"/>
      </w:rPr>
      <w:t>Consorcio Jurídico de Cobranza Especializada, S.A de C.V.,</w:t>
    </w:r>
    <w:r w:rsidR="00B57C5E" w:rsidRPr="00F24E75">
      <w:rPr>
        <w:rFonts w:asciiTheme="minorHAnsi" w:hAnsiTheme="minorHAnsi"/>
        <w:color w:val="002060"/>
        <w:sz w:val="14"/>
        <w:szCs w:val="14"/>
      </w:rPr>
      <w:t xml:space="preserve"> está facultado para realizar la Cobranza Extrajudicial de su crédito, puede entrar al portal en internet </w:t>
    </w:r>
    <w:hyperlink r:id="rId1" w:anchor="despachos-de-cobranza" w:history="1">
      <w:r w:rsidR="00B57C5E" w:rsidRPr="004B32B1">
        <w:rPr>
          <w:rFonts w:asciiTheme="minorHAnsi" w:hAnsiTheme="minorHAnsi"/>
          <w:color w:val="002060"/>
          <w:sz w:val="14"/>
          <w:szCs w:val="14"/>
        </w:rPr>
        <w:t>www.bbva.mx/personas/servicios-digitales/soluciones-de-pago-para-particulares.html#despachos-de-cobranza</w:t>
      </w:r>
    </w:hyperlink>
    <w:r w:rsidR="00B57C5E">
      <w:rPr>
        <w:rFonts w:asciiTheme="minorHAnsi" w:hAnsiTheme="minorHAnsi"/>
        <w:color w:val="002060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93325" w14:textId="77777777" w:rsidR="00F54C64" w:rsidRDefault="00F54C64" w:rsidP="008A438C">
      <w:r>
        <w:separator/>
      </w:r>
    </w:p>
  </w:footnote>
  <w:footnote w:type="continuationSeparator" w:id="0">
    <w:p w14:paraId="39652514" w14:textId="77777777" w:rsidR="00F54C64" w:rsidRDefault="00F54C64" w:rsidP="008A4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F77" w14:textId="3BB3EC2B" w:rsidR="000A30CC" w:rsidRDefault="000A30CC" w:rsidP="00357DB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85DFA"/>
    <w:multiLevelType w:val="hybridMultilevel"/>
    <w:tmpl w:val="F7D4338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FD33AA"/>
    <w:multiLevelType w:val="hybridMultilevel"/>
    <w:tmpl w:val="A1B2C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556C2"/>
    <w:multiLevelType w:val="hybridMultilevel"/>
    <w:tmpl w:val="5048592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C4"/>
    <w:rsid w:val="00020D03"/>
    <w:rsid w:val="00036F71"/>
    <w:rsid w:val="0006346D"/>
    <w:rsid w:val="00072F52"/>
    <w:rsid w:val="000971A7"/>
    <w:rsid w:val="000A30CC"/>
    <w:rsid w:val="000C0F39"/>
    <w:rsid w:val="000F2A31"/>
    <w:rsid w:val="00102328"/>
    <w:rsid w:val="00105B17"/>
    <w:rsid w:val="00134B53"/>
    <w:rsid w:val="00150D06"/>
    <w:rsid w:val="001A1FC7"/>
    <w:rsid w:val="001A569F"/>
    <w:rsid w:val="001B5C00"/>
    <w:rsid w:val="001C6707"/>
    <w:rsid w:val="0020273C"/>
    <w:rsid w:val="002243AE"/>
    <w:rsid w:val="00254CFC"/>
    <w:rsid w:val="00261458"/>
    <w:rsid w:val="00297A97"/>
    <w:rsid w:val="002B4113"/>
    <w:rsid w:val="002C2E9C"/>
    <w:rsid w:val="002D7085"/>
    <w:rsid w:val="002E7FCF"/>
    <w:rsid w:val="002F140A"/>
    <w:rsid w:val="0031159F"/>
    <w:rsid w:val="00347656"/>
    <w:rsid w:val="00357DBB"/>
    <w:rsid w:val="003731C6"/>
    <w:rsid w:val="00393027"/>
    <w:rsid w:val="003A0865"/>
    <w:rsid w:val="003C0B5C"/>
    <w:rsid w:val="003C6085"/>
    <w:rsid w:val="003D2BCF"/>
    <w:rsid w:val="004136C8"/>
    <w:rsid w:val="00425049"/>
    <w:rsid w:val="0048074F"/>
    <w:rsid w:val="004A3530"/>
    <w:rsid w:val="004A6CC4"/>
    <w:rsid w:val="004F51DD"/>
    <w:rsid w:val="004F66BD"/>
    <w:rsid w:val="005179B2"/>
    <w:rsid w:val="005B4ABF"/>
    <w:rsid w:val="006336FF"/>
    <w:rsid w:val="00654E4D"/>
    <w:rsid w:val="006865D3"/>
    <w:rsid w:val="006B7D17"/>
    <w:rsid w:val="006D3359"/>
    <w:rsid w:val="006E0E02"/>
    <w:rsid w:val="007070C0"/>
    <w:rsid w:val="007152FB"/>
    <w:rsid w:val="0071756E"/>
    <w:rsid w:val="00720246"/>
    <w:rsid w:val="007450B5"/>
    <w:rsid w:val="0076038B"/>
    <w:rsid w:val="00762F35"/>
    <w:rsid w:val="00797D6D"/>
    <w:rsid w:val="007C2079"/>
    <w:rsid w:val="007E3914"/>
    <w:rsid w:val="007F02BB"/>
    <w:rsid w:val="0081048E"/>
    <w:rsid w:val="00820518"/>
    <w:rsid w:val="00827DDB"/>
    <w:rsid w:val="00880A76"/>
    <w:rsid w:val="00887CE7"/>
    <w:rsid w:val="008A0411"/>
    <w:rsid w:val="008A438C"/>
    <w:rsid w:val="008A575E"/>
    <w:rsid w:val="00915F67"/>
    <w:rsid w:val="009237D1"/>
    <w:rsid w:val="009607A3"/>
    <w:rsid w:val="00981CFA"/>
    <w:rsid w:val="009A6E83"/>
    <w:rsid w:val="009B3BA4"/>
    <w:rsid w:val="009E2895"/>
    <w:rsid w:val="009E60F5"/>
    <w:rsid w:val="009F4D37"/>
    <w:rsid w:val="00A02586"/>
    <w:rsid w:val="00A141C1"/>
    <w:rsid w:val="00A36E49"/>
    <w:rsid w:val="00A40291"/>
    <w:rsid w:val="00A66456"/>
    <w:rsid w:val="00A80D5E"/>
    <w:rsid w:val="00A96F87"/>
    <w:rsid w:val="00AB0745"/>
    <w:rsid w:val="00AD7AE0"/>
    <w:rsid w:val="00AE0430"/>
    <w:rsid w:val="00AE7C0D"/>
    <w:rsid w:val="00AF6A15"/>
    <w:rsid w:val="00B0251D"/>
    <w:rsid w:val="00B57C5E"/>
    <w:rsid w:val="00B623F2"/>
    <w:rsid w:val="00B62C88"/>
    <w:rsid w:val="00B901BE"/>
    <w:rsid w:val="00BF3B27"/>
    <w:rsid w:val="00C21AFE"/>
    <w:rsid w:val="00C2698A"/>
    <w:rsid w:val="00CA7100"/>
    <w:rsid w:val="00CB4501"/>
    <w:rsid w:val="00CC5E29"/>
    <w:rsid w:val="00CD35FB"/>
    <w:rsid w:val="00D01826"/>
    <w:rsid w:val="00D5074E"/>
    <w:rsid w:val="00D61B60"/>
    <w:rsid w:val="00D643C9"/>
    <w:rsid w:val="00D83C32"/>
    <w:rsid w:val="00D92A6E"/>
    <w:rsid w:val="00D9386D"/>
    <w:rsid w:val="00D93E9E"/>
    <w:rsid w:val="00DC1CB7"/>
    <w:rsid w:val="00E4233B"/>
    <w:rsid w:val="00E70CFC"/>
    <w:rsid w:val="00EA17FC"/>
    <w:rsid w:val="00EB09B6"/>
    <w:rsid w:val="00EC348C"/>
    <w:rsid w:val="00EC6DFD"/>
    <w:rsid w:val="00F35E25"/>
    <w:rsid w:val="00F372EF"/>
    <w:rsid w:val="00F51201"/>
    <w:rsid w:val="00F54C64"/>
    <w:rsid w:val="00F61032"/>
    <w:rsid w:val="00F62ED9"/>
    <w:rsid w:val="00F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B93BD"/>
  <w15:docId w15:val="{4A9F5866-0EF6-4528-85F4-FC265F8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9B2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35E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5E25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2D7085"/>
    <w:rPr>
      <w:rFonts w:asciiTheme="minorHAnsi" w:eastAsiaTheme="minorHAnsi" w:hAnsiTheme="minorHAnsi" w:cstheme="minorBid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unhideWhenUsed/>
    <w:rsid w:val="002D70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D7085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D7085"/>
    <w:rPr>
      <w:rFonts w:asciiTheme="minorHAnsi" w:eastAsiaTheme="minorHAnsi" w:hAnsiTheme="minorHAnsi" w:cstheme="minorBidi"/>
      <w:lang w:val="es-MX" w:eastAsia="en-US"/>
    </w:rPr>
  </w:style>
  <w:style w:type="paragraph" w:styleId="Encabezado">
    <w:name w:val="header"/>
    <w:aliases w:val="Encabezado Car Car Car Car Car,Encabezado Car Car Car Car,Encabezado Car Car,Encabezado Car Car Car"/>
    <w:basedOn w:val="Normal"/>
    <w:link w:val="EncabezadoCar"/>
    <w:rsid w:val="008A43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 Car Car Car Car Car,Encabezado Car Car Car Car Car1,Encabezado Car Car Car1,Encabezado Car Car Car Car1"/>
    <w:basedOn w:val="Fuentedeprrafopredeter"/>
    <w:link w:val="Encabezado"/>
    <w:rsid w:val="008A438C"/>
    <w:rPr>
      <w:sz w:val="24"/>
      <w:szCs w:val="24"/>
      <w:lang w:val="es-MX"/>
    </w:rPr>
  </w:style>
  <w:style w:type="paragraph" w:styleId="Piedepgina">
    <w:name w:val="footer"/>
    <w:basedOn w:val="Normal"/>
    <w:link w:val="PiedepginaCar"/>
    <w:rsid w:val="008A43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A438C"/>
    <w:rPr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rsid w:val="007175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97A9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bva.mx/personas/servicios-digitales/soluciones-de-pago-para-particular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8266B-DBA0-45FE-A41F-37FBFB27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México, D</vt:lpstr>
    </vt:vector>
  </TitlesOfParts>
  <Company>BBVA BANCOMER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México, D</dc:title>
  <dc:creator>M231824</dc:creator>
  <cp:lastModifiedBy>Deysi Figueroa Rueda</cp:lastModifiedBy>
  <cp:revision>21</cp:revision>
  <cp:lastPrinted>2016-11-01T19:00:00Z</cp:lastPrinted>
  <dcterms:created xsi:type="dcterms:W3CDTF">2020-11-24T15:51:00Z</dcterms:created>
  <dcterms:modified xsi:type="dcterms:W3CDTF">2021-09-17T18:51:00Z</dcterms:modified>
</cp:coreProperties>
</file>