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LDP Identifirer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r w:rsidR="00F73C00">
        <w:rPr>
          <w:rFonts w:ascii="Tahoma" w:hAnsi="Tahoma" w:cs="Tahoma"/>
          <w:bCs/>
          <w:sz w:val="24"/>
          <w:szCs w:val="24"/>
          <w:lang w:val="en-US"/>
        </w:rPr>
        <w:t xml:space="preserve">KeepAlive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KeepAlive message </w:t>
      </w:r>
      <w:r>
        <w:rPr>
          <w:rFonts w:ascii="Tahoma" w:hAnsi="Tahoma" w:cs="Tahoma"/>
          <w:bCs/>
          <w:sz w:val="24"/>
          <w:szCs w:val="24"/>
        </w:rPr>
        <w:t xml:space="preserve">– съобщението служи за периодично предаване на съобщение, което да нулира </w:t>
      </w:r>
      <w:r>
        <w:rPr>
          <w:rFonts w:ascii="Tahoma" w:hAnsi="Tahoma" w:cs="Tahoma"/>
          <w:bCs/>
          <w:sz w:val="24"/>
          <w:szCs w:val="24"/>
          <w:lang w:val="en-US"/>
        </w:rPr>
        <w:t>KeepAlive</w:t>
      </w:r>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170BFE">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3950FB">
      <w:pPr>
        <w:pStyle w:val="BodyTextIndent"/>
        <w:numPr>
          <w:ilvl w:val="0"/>
          <w:numId w:val="32"/>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3950FB">
      <w:pPr>
        <w:pStyle w:val="BodyTextIndent"/>
        <w:numPr>
          <w:ilvl w:val="0"/>
          <w:numId w:val="32"/>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745940">
      <w:pPr>
        <w:pStyle w:val="BodyTextIndent"/>
        <w:numPr>
          <w:ilvl w:val="1"/>
          <w:numId w:val="33"/>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7F4EDE8D" w:rsidR="00745940" w:rsidRPr="00E47367" w:rsidRDefault="00745940" w:rsidP="00745940">
      <w:pPr>
        <w:pStyle w:val="BodyTextIndent"/>
        <w:spacing w:before="120" w:line="360" w:lineRule="auto"/>
        <w:ind w:left="0"/>
        <w:rPr>
          <w:rFonts w:ascii="Tahoma" w:hAnsi="Tahoma" w:cs="Tahoma"/>
          <w:bCs/>
          <w:sz w:val="24"/>
          <w:szCs w:val="24"/>
          <w:lang w:val="en-US"/>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E47367">
        <w:rPr>
          <w:rFonts w:ascii="Tahoma" w:hAnsi="Tahoma" w:cs="Tahoma"/>
          <w:bCs/>
          <w:sz w:val="24"/>
          <w:szCs w:val="24"/>
        </w:rPr>
        <w:t>.</w:t>
      </w:r>
      <w:bookmarkStart w:id="5" w:name="_GoBack"/>
      <w:bookmarkEnd w:id="5"/>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4C99E4A5" w14:textId="46E561DC" w:rsidR="00781ECC" w:rsidRDefault="00781ECC" w:rsidP="00860A21">
      <w:pPr>
        <w:pStyle w:val="BodyTextIndent"/>
        <w:spacing w:before="120"/>
        <w:ind w:left="0"/>
        <w:jc w:val="left"/>
        <w:rPr>
          <w:rFonts w:ascii="Arial" w:hAnsi="Arial" w:cs="Arial"/>
          <w:b/>
          <w:szCs w:val="28"/>
          <w:lang w:val="en-US"/>
        </w:rPr>
      </w:pPr>
    </w:p>
    <w:p w14:paraId="68E81F8B" w14:textId="2C0F038B" w:rsidR="00781ECC" w:rsidRDefault="00781ECC" w:rsidP="00860A21">
      <w:pPr>
        <w:pStyle w:val="BodyTextIndent"/>
        <w:spacing w:before="120"/>
        <w:ind w:left="0"/>
        <w:jc w:val="left"/>
        <w:rPr>
          <w:rFonts w:ascii="Arial" w:hAnsi="Arial" w:cs="Arial"/>
          <w:b/>
          <w:szCs w:val="28"/>
          <w:lang w:val="en-US"/>
        </w:rPr>
      </w:pP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4C0D5E93" w:rsidR="00781ECC" w:rsidRDefault="00781ECC" w:rsidP="00860A21">
      <w:pPr>
        <w:pStyle w:val="BodyTextIndent"/>
        <w:spacing w:before="120"/>
        <w:ind w:left="0"/>
        <w:jc w:val="left"/>
        <w:rPr>
          <w:rFonts w:ascii="Arial" w:hAnsi="Arial" w:cs="Arial"/>
          <w:b/>
          <w:szCs w:val="28"/>
          <w:lang w:val="en-US"/>
        </w:rPr>
      </w:pPr>
    </w:p>
    <w:p w14:paraId="37F20C0A" w14:textId="5BC49EEB" w:rsidR="00781ECC" w:rsidRDefault="00781ECC" w:rsidP="00860A21">
      <w:pPr>
        <w:pStyle w:val="BodyTextIndent"/>
        <w:spacing w:before="120"/>
        <w:ind w:left="0"/>
        <w:jc w:val="left"/>
        <w:rPr>
          <w:rFonts w:ascii="Arial" w:hAnsi="Arial" w:cs="Arial"/>
          <w:b/>
          <w:szCs w:val="28"/>
          <w:lang w:val="en-US"/>
        </w:rPr>
      </w:pPr>
    </w:p>
    <w:p w14:paraId="21117B8F" w14:textId="36BDDCCA" w:rsidR="00781ECC" w:rsidRDefault="00781ECC" w:rsidP="00860A21">
      <w:pPr>
        <w:pStyle w:val="BodyTextIndent"/>
        <w:spacing w:before="120"/>
        <w:ind w:left="0"/>
        <w:jc w:val="left"/>
        <w:rPr>
          <w:rFonts w:ascii="Arial" w:hAnsi="Arial" w:cs="Arial"/>
          <w:b/>
          <w:szCs w:val="28"/>
          <w:lang w:val="en-US"/>
        </w:rPr>
      </w:pPr>
    </w:p>
    <w:p w14:paraId="2CCC01EF" w14:textId="2972EB6B" w:rsidR="00781ECC" w:rsidRDefault="00781ECC" w:rsidP="00860A21">
      <w:pPr>
        <w:pStyle w:val="BodyTextIndent"/>
        <w:spacing w:before="120"/>
        <w:ind w:left="0"/>
        <w:jc w:val="left"/>
        <w:rPr>
          <w:rFonts w:ascii="Arial" w:hAnsi="Arial" w:cs="Arial"/>
          <w:b/>
          <w:szCs w:val="28"/>
          <w:lang w:val="en-US"/>
        </w:rPr>
      </w:pPr>
    </w:p>
    <w:p w14:paraId="38BE2730" w14:textId="71F22291" w:rsidR="00781ECC" w:rsidRDefault="00781ECC" w:rsidP="00860A21">
      <w:pPr>
        <w:pStyle w:val="BodyTextIndent"/>
        <w:spacing w:before="120"/>
        <w:ind w:left="0"/>
        <w:jc w:val="left"/>
        <w:rPr>
          <w:rFonts w:ascii="Arial" w:hAnsi="Arial" w:cs="Arial"/>
          <w:b/>
          <w:szCs w:val="28"/>
          <w:lang w:val="en-US"/>
        </w:rPr>
      </w:pP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CE15D7">
      <w:pPr>
        <w:pStyle w:val="BodyTextIndent"/>
        <w:numPr>
          <w:ilvl w:val="1"/>
          <w:numId w:val="6"/>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27" w:history="1">
        <w:r w:rsidR="00451BE3" w:rsidRPr="00FD4FB2">
          <w:rPr>
            <w:rStyle w:val="Hyperlink"/>
            <w:rFonts w:ascii="Arial" w:hAnsi="Arial" w:cs="Arial"/>
            <w:sz w:val="24"/>
            <w:szCs w:val="24"/>
          </w:rPr>
          <w:t>http://www.steves-internet-guide.com/ipv4-basics/</w:t>
        </w:r>
      </w:hyperlink>
    </w:p>
    <w:p w14:paraId="083B8BE3" w14:textId="77777777" w:rsidR="00F0264C" w:rsidRDefault="00794D13" w:rsidP="00CE15D7">
      <w:pPr>
        <w:pStyle w:val="BodyTextIndent"/>
        <w:numPr>
          <w:ilvl w:val="0"/>
          <w:numId w:val="5"/>
        </w:numPr>
        <w:spacing w:before="120"/>
        <w:rPr>
          <w:rFonts w:ascii="Arial" w:hAnsi="Arial" w:cs="Arial"/>
          <w:b/>
          <w:sz w:val="24"/>
          <w:szCs w:val="24"/>
          <w:lang w:val="en-US"/>
        </w:rPr>
      </w:pPr>
      <w:hyperlink r:id="rId28"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794D13" w:rsidP="00CE15D7">
      <w:pPr>
        <w:pStyle w:val="BodyTextIndent"/>
        <w:numPr>
          <w:ilvl w:val="0"/>
          <w:numId w:val="5"/>
        </w:numPr>
        <w:spacing w:before="120"/>
        <w:rPr>
          <w:rFonts w:ascii="Arial" w:hAnsi="Arial" w:cs="Arial"/>
          <w:b/>
          <w:sz w:val="24"/>
          <w:szCs w:val="24"/>
          <w:lang w:val="en-US"/>
        </w:rPr>
      </w:pPr>
      <w:hyperlink r:id="rId29"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794D13" w:rsidP="00CE15D7">
      <w:pPr>
        <w:pStyle w:val="BodyTextIndent"/>
        <w:numPr>
          <w:ilvl w:val="0"/>
          <w:numId w:val="5"/>
        </w:numPr>
        <w:spacing w:before="120"/>
        <w:rPr>
          <w:rStyle w:val="Hyperlink"/>
          <w:rFonts w:ascii="Arial" w:hAnsi="Arial" w:cs="Arial"/>
          <w:b/>
          <w:color w:val="auto"/>
          <w:sz w:val="24"/>
          <w:szCs w:val="24"/>
          <w:u w:val="none"/>
          <w:lang w:val="en-US"/>
        </w:rPr>
      </w:pPr>
      <w:hyperlink r:id="rId30"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2"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5"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7"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794D13" w:rsidP="00CE15D7">
      <w:pPr>
        <w:pStyle w:val="BodyTextIndent"/>
        <w:numPr>
          <w:ilvl w:val="0"/>
          <w:numId w:val="5"/>
        </w:numPr>
        <w:spacing w:before="120"/>
        <w:rPr>
          <w:rFonts w:ascii="Arial" w:hAnsi="Arial" w:cs="Arial"/>
          <w:b/>
          <w:sz w:val="24"/>
          <w:szCs w:val="24"/>
          <w:lang w:val="en-US"/>
        </w:rPr>
      </w:pPr>
      <w:hyperlink r:id="rId38"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794D13" w:rsidP="00CE15D7">
      <w:pPr>
        <w:pStyle w:val="BodyTextIndent"/>
        <w:numPr>
          <w:ilvl w:val="0"/>
          <w:numId w:val="5"/>
        </w:numPr>
        <w:spacing w:before="120"/>
        <w:rPr>
          <w:rFonts w:ascii="Arial" w:hAnsi="Arial" w:cs="Arial"/>
          <w:b/>
          <w:sz w:val="24"/>
          <w:szCs w:val="24"/>
          <w:lang w:val="en-US"/>
        </w:rPr>
      </w:pPr>
      <w:hyperlink r:id="rId39" w:history="1">
        <w:r w:rsidR="00FD4FB2" w:rsidRPr="00FD4FB2">
          <w:rPr>
            <w:rStyle w:val="Hyperlink"/>
            <w:rFonts w:ascii="Arial" w:hAnsi="Arial" w:cs="Arial"/>
            <w:sz w:val="24"/>
            <w:szCs w:val="24"/>
          </w:rPr>
          <w:t>https://tools.ietf.org/html/rfc4271</w:t>
        </w:r>
      </w:hyperlink>
    </w:p>
    <w:p w14:paraId="0AE5ADDB" w14:textId="77777777" w:rsidR="00FD4FB2" w:rsidRPr="00FD4FB2" w:rsidRDefault="00794D13" w:rsidP="00CE15D7">
      <w:pPr>
        <w:pStyle w:val="BodyTextIndent"/>
        <w:numPr>
          <w:ilvl w:val="0"/>
          <w:numId w:val="5"/>
        </w:numPr>
        <w:spacing w:before="120"/>
        <w:rPr>
          <w:rFonts w:ascii="Arial" w:hAnsi="Arial" w:cs="Arial"/>
          <w:b/>
          <w:sz w:val="24"/>
          <w:szCs w:val="24"/>
          <w:lang w:val="en-US"/>
        </w:rPr>
      </w:pPr>
      <w:hyperlink r:id="rId40" w:history="1">
        <w:r w:rsidR="00FD4FB2" w:rsidRPr="00FD4FB2">
          <w:rPr>
            <w:rStyle w:val="Hyperlink"/>
            <w:rFonts w:ascii="Arial" w:hAnsi="Arial" w:cs="Arial"/>
            <w:sz w:val="24"/>
            <w:szCs w:val="24"/>
          </w:rPr>
          <w:t>https://tools.ietf.org/html/rfc3031</w:t>
        </w:r>
      </w:hyperlink>
    </w:p>
    <w:p w14:paraId="284B5CC3" w14:textId="77777777" w:rsidR="00FD4FB2" w:rsidRPr="00FD4FB2" w:rsidRDefault="00794D13" w:rsidP="00CE15D7">
      <w:pPr>
        <w:pStyle w:val="BodyTextIndent"/>
        <w:numPr>
          <w:ilvl w:val="0"/>
          <w:numId w:val="5"/>
        </w:numPr>
        <w:spacing w:before="120"/>
        <w:rPr>
          <w:rFonts w:ascii="Arial" w:hAnsi="Arial" w:cs="Arial"/>
          <w:b/>
          <w:sz w:val="24"/>
          <w:szCs w:val="24"/>
          <w:lang w:val="en-US"/>
        </w:rPr>
      </w:pPr>
      <w:hyperlink r:id="rId41" w:history="1">
        <w:r w:rsidR="00FD4FB2" w:rsidRPr="00FD4FB2">
          <w:rPr>
            <w:rStyle w:val="Hyperlink"/>
            <w:rFonts w:ascii="Arial" w:hAnsi="Arial" w:cs="Arial"/>
            <w:sz w:val="24"/>
            <w:szCs w:val="24"/>
          </w:rPr>
          <w:t>https://tools.ietf.org/html/rfc3813</w:t>
        </w:r>
      </w:hyperlink>
    </w:p>
    <w:p w14:paraId="6E327323" w14:textId="77777777" w:rsidR="00FD4FB2" w:rsidRPr="00FD4FB2" w:rsidRDefault="00794D13" w:rsidP="00CE15D7">
      <w:pPr>
        <w:pStyle w:val="BodyTextIndent"/>
        <w:numPr>
          <w:ilvl w:val="0"/>
          <w:numId w:val="5"/>
        </w:numPr>
        <w:spacing w:before="120"/>
        <w:rPr>
          <w:rFonts w:ascii="Arial" w:hAnsi="Arial" w:cs="Arial"/>
          <w:b/>
          <w:sz w:val="24"/>
          <w:szCs w:val="24"/>
          <w:lang w:val="en-US"/>
        </w:rPr>
      </w:pPr>
      <w:hyperlink r:id="rId42" w:history="1">
        <w:r w:rsidR="00FD4FB2" w:rsidRPr="00FD4FB2">
          <w:rPr>
            <w:rStyle w:val="Hyperlink"/>
            <w:rFonts w:ascii="Arial" w:hAnsi="Arial" w:cs="Arial"/>
            <w:sz w:val="24"/>
            <w:szCs w:val="24"/>
          </w:rPr>
          <w:t>https://tools.ietf.org/html/rfc5036</w:t>
        </w:r>
      </w:hyperlink>
    </w:p>
    <w:p w14:paraId="2077FECD" w14:textId="77777777" w:rsidR="00FD4FB2" w:rsidRPr="00FD4FB2" w:rsidRDefault="00794D13" w:rsidP="00CE15D7">
      <w:pPr>
        <w:pStyle w:val="BodyTextIndent"/>
        <w:numPr>
          <w:ilvl w:val="0"/>
          <w:numId w:val="5"/>
        </w:numPr>
        <w:spacing w:before="120"/>
        <w:rPr>
          <w:rFonts w:ascii="Arial" w:hAnsi="Arial" w:cs="Arial"/>
          <w:b/>
          <w:sz w:val="24"/>
          <w:szCs w:val="24"/>
          <w:lang w:val="en-US"/>
        </w:rPr>
      </w:pPr>
      <w:hyperlink r:id="rId43" w:history="1">
        <w:r w:rsidR="00FD4FB2" w:rsidRPr="00FD4FB2">
          <w:rPr>
            <w:rStyle w:val="Hyperlink"/>
            <w:rFonts w:ascii="Arial" w:hAnsi="Arial" w:cs="Arial"/>
            <w:sz w:val="24"/>
            <w:szCs w:val="24"/>
          </w:rPr>
          <w:t>https://tools.ietf.org/html/rfc2547</w:t>
        </w:r>
      </w:hyperlink>
    </w:p>
    <w:p w14:paraId="05A365C7" w14:textId="1306FC89" w:rsidR="00451BE3" w:rsidRDefault="00794D13" w:rsidP="00CE15D7">
      <w:pPr>
        <w:pStyle w:val="BodyTextIndent"/>
        <w:numPr>
          <w:ilvl w:val="0"/>
          <w:numId w:val="5"/>
        </w:numPr>
        <w:spacing w:before="120"/>
        <w:rPr>
          <w:rFonts w:ascii="Arial" w:hAnsi="Arial" w:cs="Arial"/>
          <w:b/>
          <w:sz w:val="24"/>
          <w:szCs w:val="24"/>
          <w:lang w:val="en-US"/>
        </w:rPr>
      </w:pPr>
      <w:hyperlink r:id="rId44" w:history="1">
        <w:r w:rsidR="00FD4FB2" w:rsidRPr="00FD4FB2">
          <w:rPr>
            <w:rStyle w:val="Hyperlink"/>
            <w:rFonts w:ascii="Arial" w:hAnsi="Arial" w:cs="Arial"/>
            <w:sz w:val="24"/>
            <w:szCs w:val="24"/>
          </w:rPr>
          <w:t>https://tools.ietf.org/html/rfc5777</w:t>
        </w:r>
      </w:hyperlink>
    </w:p>
    <w:p w14:paraId="0E12DC87" w14:textId="52083C3B" w:rsidR="00C221D5" w:rsidRPr="00E07E5D" w:rsidRDefault="00794D13" w:rsidP="00CE15D7">
      <w:pPr>
        <w:pStyle w:val="BodyTextIndent"/>
        <w:numPr>
          <w:ilvl w:val="0"/>
          <w:numId w:val="5"/>
        </w:numPr>
        <w:spacing w:before="120"/>
        <w:rPr>
          <w:rFonts w:ascii="Arial" w:hAnsi="Arial" w:cs="Arial"/>
          <w:b/>
          <w:sz w:val="24"/>
          <w:szCs w:val="24"/>
          <w:lang w:val="en-US"/>
        </w:rPr>
      </w:pPr>
      <w:hyperlink r:id="rId45"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794D13" w:rsidP="00CE15D7">
      <w:pPr>
        <w:pStyle w:val="BodyTextIndent"/>
        <w:numPr>
          <w:ilvl w:val="0"/>
          <w:numId w:val="5"/>
        </w:numPr>
        <w:spacing w:before="120"/>
        <w:rPr>
          <w:rFonts w:ascii="Arial" w:hAnsi="Arial" w:cs="Arial"/>
          <w:b/>
          <w:sz w:val="24"/>
          <w:szCs w:val="24"/>
          <w:lang w:val="en-US"/>
        </w:rPr>
      </w:pPr>
      <w:hyperlink r:id="rId46"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794D13" w:rsidP="00CE15D7">
      <w:pPr>
        <w:pStyle w:val="BodyTextIndent"/>
        <w:numPr>
          <w:ilvl w:val="0"/>
          <w:numId w:val="5"/>
        </w:numPr>
        <w:spacing w:before="120"/>
        <w:rPr>
          <w:rFonts w:ascii="Arial" w:hAnsi="Arial" w:cs="Arial"/>
          <w:b/>
          <w:sz w:val="24"/>
          <w:szCs w:val="24"/>
          <w:lang w:val="en-US"/>
        </w:rPr>
      </w:pPr>
      <w:hyperlink r:id="rId47"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794D13" w:rsidP="00CE15D7">
      <w:pPr>
        <w:pStyle w:val="BodyTextIndent"/>
        <w:numPr>
          <w:ilvl w:val="0"/>
          <w:numId w:val="5"/>
        </w:numPr>
        <w:spacing w:before="120"/>
        <w:rPr>
          <w:rFonts w:ascii="Arial" w:hAnsi="Arial" w:cs="Arial"/>
          <w:b/>
          <w:sz w:val="24"/>
          <w:szCs w:val="24"/>
          <w:lang w:val="en-US"/>
        </w:rPr>
      </w:pPr>
      <w:hyperlink r:id="rId48"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794D13" w:rsidP="00CE15D7">
      <w:pPr>
        <w:pStyle w:val="BodyTextIndent"/>
        <w:numPr>
          <w:ilvl w:val="0"/>
          <w:numId w:val="5"/>
        </w:numPr>
        <w:spacing w:before="120"/>
        <w:rPr>
          <w:rFonts w:ascii="Arial" w:hAnsi="Arial" w:cs="Arial"/>
          <w:b/>
          <w:sz w:val="24"/>
          <w:szCs w:val="24"/>
          <w:lang w:val="en-US"/>
        </w:rPr>
      </w:pPr>
      <w:hyperlink r:id="rId49"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794D13" w:rsidP="00CE15D7">
      <w:pPr>
        <w:pStyle w:val="BodyTextIndent"/>
        <w:numPr>
          <w:ilvl w:val="0"/>
          <w:numId w:val="5"/>
        </w:numPr>
        <w:spacing w:before="120"/>
        <w:rPr>
          <w:rFonts w:ascii="Arial" w:hAnsi="Arial" w:cs="Arial"/>
          <w:b/>
          <w:sz w:val="24"/>
          <w:szCs w:val="24"/>
          <w:lang w:val="en-US"/>
        </w:rPr>
      </w:pPr>
      <w:hyperlink r:id="rId50"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794D13" w:rsidP="00CE15D7">
      <w:pPr>
        <w:pStyle w:val="BodyTextIndent"/>
        <w:numPr>
          <w:ilvl w:val="0"/>
          <w:numId w:val="5"/>
        </w:numPr>
        <w:spacing w:before="120"/>
        <w:rPr>
          <w:rFonts w:ascii="Arial" w:hAnsi="Arial" w:cs="Arial"/>
          <w:b/>
          <w:sz w:val="24"/>
          <w:szCs w:val="24"/>
          <w:lang w:val="en-US"/>
        </w:rPr>
      </w:pPr>
      <w:hyperlink r:id="rId51" w:history="1">
        <w:r w:rsidR="00D85270"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52"/>
      <w:footerReference w:type="default" r:id="rId53"/>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31439" w14:textId="77777777" w:rsidR="00794D13" w:rsidRDefault="00794D13">
      <w:r>
        <w:separator/>
      </w:r>
    </w:p>
  </w:endnote>
  <w:endnote w:type="continuationSeparator" w:id="0">
    <w:p w14:paraId="1F05C008" w14:textId="77777777" w:rsidR="00794D13" w:rsidRDefault="00794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F73C00" w:rsidRDefault="00F73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F73C00" w:rsidRDefault="00F73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2432" w14:textId="77777777" w:rsidR="00794D13" w:rsidRDefault="00794D13">
      <w:r>
        <w:separator/>
      </w:r>
    </w:p>
  </w:footnote>
  <w:footnote w:type="continuationSeparator" w:id="0">
    <w:p w14:paraId="3E280FB6" w14:textId="77777777" w:rsidR="00794D13" w:rsidRDefault="00794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F73C00" w:rsidRDefault="00F73C0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3"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8"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1"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2"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3"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1"/>
  </w:num>
  <w:num w:numId="5">
    <w:abstractNumId w:val="17"/>
  </w:num>
  <w:num w:numId="6">
    <w:abstractNumId w:val="22"/>
  </w:num>
  <w:num w:numId="7">
    <w:abstractNumId w:val="8"/>
  </w:num>
  <w:num w:numId="8">
    <w:abstractNumId w:val="25"/>
  </w:num>
  <w:num w:numId="9">
    <w:abstractNumId w:val="3"/>
  </w:num>
  <w:num w:numId="10">
    <w:abstractNumId w:val="1"/>
  </w:num>
  <w:num w:numId="11">
    <w:abstractNumId w:val="24"/>
  </w:num>
  <w:num w:numId="12">
    <w:abstractNumId w:val="7"/>
  </w:num>
  <w:num w:numId="13">
    <w:abstractNumId w:val="10"/>
  </w:num>
  <w:num w:numId="14">
    <w:abstractNumId w:val="19"/>
  </w:num>
  <w:num w:numId="15">
    <w:abstractNumId w:val="11"/>
  </w:num>
  <w:num w:numId="16">
    <w:abstractNumId w:val="12"/>
  </w:num>
  <w:num w:numId="17">
    <w:abstractNumId w:val="4"/>
  </w:num>
  <w:num w:numId="18">
    <w:abstractNumId w:val="29"/>
  </w:num>
  <w:num w:numId="19">
    <w:abstractNumId w:val="23"/>
  </w:num>
  <w:num w:numId="20">
    <w:abstractNumId w:val="0"/>
  </w:num>
  <w:num w:numId="21">
    <w:abstractNumId w:val="28"/>
  </w:num>
  <w:num w:numId="22">
    <w:abstractNumId w:val="15"/>
  </w:num>
  <w:num w:numId="23">
    <w:abstractNumId w:val="6"/>
  </w:num>
  <w:num w:numId="24">
    <w:abstractNumId w:val="31"/>
  </w:num>
  <w:num w:numId="25">
    <w:abstractNumId w:val="32"/>
  </w:num>
  <w:num w:numId="26">
    <w:abstractNumId w:val="18"/>
  </w:num>
  <w:num w:numId="27">
    <w:abstractNumId w:val="2"/>
  </w:num>
  <w:num w:numId="28">
    <w:abstractNumId w:val="27"/>
  </w:num>
  <w:num w:numId="29">
    <w:abstractNumId w:val="14"/>
  </w:num>
  <w:num w:numId="30">
    <w:abstractNumId w:val="26"/>
  </w:num>
  <w:num w:numId="31">
    <w:abstractNumId w:val="5"/>
  </w:num>
  <w:num w:numId="32">
    <w:abstractNumId w:val="16"/>
  </w:num>
  <w:num w:numId="3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6B6F"/>
    <w:rsid w:val="00071A18"/>
    <w:rsid w:val="00086927"/>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EC9"/>
    <w:rsid w:val="00170BFE"/>
    <w:rsid w:val="00192257"/>
    <w:rsid w:val="00195109"/>
    <w:rsid w:val="0019652C"/>
    <w:rsid w:val="00197088"/>
    <w:rsid w:val="001A777B"/>
    <w:rsid w:val="001B6F3A"/>
    <w:rsid w:val="001C33FF"/>
    <w:rsid w:val="001D33D4"/>
    <w:rsid w:val="001D4FB9"/>
    <w:rsid w:val="001D5F34"/>
    <w:rsid w:val="001E196B"/>
    <w:rsid w:val="001E4F5E"/>
    <w:rsid w:val="001F0D9C"/>
    <w:rsid w:val="00206CDA"/>
    <w:rsid w:val="00220497"/>
    <w:rsid w:val="00234139"/>
    <w:rsid w:val="002403E5"/>
    <w:rsid w:val="002455D9"/>
    <w:rsid w:val="00262C54"/>
    <w:rsid w:val="002678D5"/>
    <w:rsid w:val="002742A8"/>
    <w:rsid w:val="002754BA"/>
    <w:rsid w:val="00295A18"/>
    <w:rsid w:val="002A2F13"/>
    <w:rsid w:val="002A3152"/>
    <w:rsid w:val="002A35B7"/>
    <w:rsid w:val="002C5801"/>
    <w:rsid w:val="002C5B2B"/>
    <w:rsid w:val="002C620F"/>
    <w:rsid w:val="00301E53"/>
    <w:rsid w:val="003171EB"/>
    <w:rsid w:val="003342B7"/>
    <w:rsid w:val="00334ADE"/>
    <w:rsid w:val="00337994"/>
    <w:rsid w:val="00345AD3"/>
    <w:rsid w:val="00366652"/>
    <w:rsid w:val="003678F4"/>
    <w:rsid w:val="003751BC"/>
    <w:rsid w:val="003812E1"/>
    <w:rsid w:val="003950FB"/>
    <w:rsid w:val="0039520D"/>
    <w:rsid w:val="003B0AA6"/>
    <w:rsid w:val="003B3281"/>
    <w:rsid w:val="003B5AE4"/>
    <w:rsid w:val="003C7935"/>
    <w:rsid w:val="003E0051"/>
    <w:rsid w:val="003F0DB7"/>
    <w:rsid w:val="00410566"/>
    <w:rsid w:val="00413E32"/>
    <w:rsid w:val="00430DBE"/>
    <w:rsid w:val="00431DF6"/>
    <w:rsid w:val="004437DE"/>
    <w:rsid w:val="00447CAE"/>
    <w:rsid w:val="00451847"/>
    <w:rsid w:val="004519D6"/>
    <w:rsid w:val="00451BE3"/>
    <w:rsid w:val="00452253"/>
    <w:rsid w:val="0045543A"/>
    <w:rsid w:val="00455732"/>
    <w:rsid w:val="00456BE2"/>
    <w:rsid w:val="00467DA5"/>
    <w:rsid w:val="00481FBD"/>
    <w:rsid w:val="00483BD0"/>
    <w:rsid w:val="00490E51"/>
    <w:rsid w:val="004916DA"/>
    <w:rsid w:val="00491A47"/>
    <w:rsid w:val="00495C2B"/>
    <w:rsid w:val="004A65FF"/>
    <w:rsid w:val="004E1467"/>
    <w:rsid w:val="005016BE"/>
    <w:rsid w:val="00510E49"/>
    <w:rsid w:val="00513D07"/>
    <w:rsid w:val="00527E96"/>
    <w:rsid w:val="00531E92"/>
    <w:rsid w:val="00541AF6"/>
    <w:rsid w:val="0054354F"/>
    <w:rsid w:val="005522A7"/>
    <w:rsid w:val="00571874"/>
    <w:rsid w:val="00575D3A"/>
    <w:rsid w:val="00581CBA"/>
    <w:rsid w:val="00582AFD"/>
    <w:rsid w:val="005833B3"/>
    <w:rsid w:val="0058497B"/>
    <w:rsid w:val="00592666"/>
    <w:rsid w:val="005B1A70"/>
    <w:rsid w:val="005B568B"/>
    <w:rsid w:val="005C0B5A"/>
    <w:rsid w:val="005C36B3"/>
    <w:rsid w:val="005C5415"/>
    <w:rsid w:val="005D13A6"/>
    <w:rsid w:val="005E4972"/>
    <w:rsid w:val="005F084A"/>
    <w:rsid w:val="006102C5"/>
    <w:rsid w:val="006228A3"/>
    <w:rsid w:val="0063108D"/>
    <w:rsid w:val="006312CF"/>
    <w:rsid w:val="00655798"/>
    <w:rsid w:val="00656623"/>
    <w:rsid w:val="006711BD"/>
    <w:rsid w:val="006807AE"/>
    <w:rsid w:val="00680CAD"/>
    <w:rsid w:val="00682CBE"/>
    <w:rsid w:val="006A2207"/>
    <w:rsid w:val="006B30E9"/>
    <w:rsid w:val="006C092A"/>
    <w:rsid w:val="006C5BF9"/>
    <w:rsid w:val="006C7C8C"/>
    <w:rsid w:val="006D40C0"/>
    <w:rsid w:val="006D4174"/>
    <w:rsid w:val="006F3615"/>
    <w:rsid w:val="006F4C0D"/>
    <w:rsid w:val="00701157"/>
    <w:rsid w:val="00701E8F"/>
    <w:rsid w:val="007031DC"/>
    <w:rsid w:val="00716693"/>
    <w:rsid w:val="0072456C"/>
    <w:rsid w:val="00724C19"/>
    <w:rsid w:val="00725213"/>
    <w:rsid w:val="007437D0"/>
    <w:rsid w:val="00745940"/>
    <w:rsid w:val="00775808"/>
    <w:rsid w:val="007778E2"/>
    <w:rsid w:val="0078166D"/>
    <w:rsid w:val="00781ECC"/>
    <w:rsid w:val="00792AB2"/>
    <w:rsid w:val="00794D13"/>
    <w:rsid w:val="007A7A85"/>
    <w:rsid w:val="007B16EF"/>
    <w:rsid w:val="007B3A38"/>
    <w:rsid w:val="007B561D"/>
    <w:rsid w:val="007C11D5"/>
    <w:rsid w:val="007D7705"/>
    <w:rsid w:val="007E2B8E"/>
    <w:rsid w:val="00800973"/>
    <w:rsid w:val="00805E2D"/>
    <w:rsid w:val="0080672B"/>
    <w:rsid w:val="00806F14"/>
    <w:rsid w:val="0080737A"/>
    <w:rsid w:val="00822BAA"/>
    <w:rsid w:val="008318C7"/>
    <w:rsid w:val="00841C96"/>
    <w:rsid w:val="00846689"/>
    <w:rsid w:val="00850CDC"/>
    <w:rsid w:val="008553DE"/>
    <w:rsid w:val="00860A21"/>
    <w:rsid w:val="0086130B"/>
    <w:rsid w:val="008701DB"/>
    <w:rsid w:val="008876B4"/>
    <w:rsid w:val="00892845"/>
    <w:rsid w:val="00895A35"/>
    <w:rsid w:val="008971EC"/>
    <w:rsid w:val="008A0EDC"/>
    <w:rsid w:val="008A4AEE"/>
    <w:rsid w:val="008A50E2"/>
    <w:rsid w:val="008B367C"/>
    <w:rsid w:val="008B4267"/>
    <w:rsid w:val="008B4B00"/>
    <w:rsid w:val="008E0B08"/>
    <w:rsid w:val="008E1B43"/>
    <w:rsid w:val="008E362F"/>
    <w:rsid w:val="009063B0"/>
    <w:rsid w:val="00907B11"/>
    <w:rsid w:val="009226A1"/>
    <w:rsid w:val="00930B2D"/>
    <w:rsid w:val="009326F2"/>
    <w:rsid w:val="00932CF5"/>
    <w:rsid w:val="0093776F"/>
    <w:rsid w:val="00942BF4"/>
    <w:rsid w:val="0094586F"/>
    <w:rsid w:val="0094603D"/>
    <w:rsid w:val="0094626F"/>
    <w:rsid w:val="0098227B"/>
    <w:rsid w:val="00984027"/>
    <w:rsid w:val="009875C8"/>
    <w:rsid w:val="00995D6D"/>
    <w:rsid w:val="009B04E6"/>
    <w:rsid w:val="009B113C"/>
    <w:rsid w:val="009C3BA6"/>
    <w:rsid w:val="009C744D"/>
    <w:rsid w:val="009D2981"/>
    <w:rsid w:val="009D3134"/>
    <w:rsid w:val="009D3980"/>
    <w:rsid w:val="009E3517"/>
    <w:rsid w:val="009F0C6D"/>
    <w:rsid w:val="00A0221E"/>
    <w:rsid w:val="00A04473"/>
    <w:rsid w:val="00A170AE"/>
    <w:rsid w:val="00A25846"/>
    <w:rsid w:val="00A25FBE"/>
    <w:rsid w:val="00A37B14"/>
    <w:rsid w:val="00A43393"/>
    <w:rsid w:val="00A45F76"/>
    <w:rsid w:val="00A534F6"/>
    <w:rsid w:val="00A579A0"/>
    <w:rsid w:val="00A621F7"/>
    <w:rsid w:val="00A62F89"/>
    <w:rsid w:val="00A65AF0"/>
    <w:rsid w:val="00A74003"/>
    <w:rsid w:val="00A814B0"/>
    <w:rsid w:val="00A85F98"/>
    <w:rsid w:val="00A86771"/>
    <w:rsid w:val="00A907B3"/>
    <w:rsid w:val="00AA76C2"/>
    <w:rsid w:val="00AC78FA"/>
    <w:rsid w:val="00AD31E2"/>
    <w:rsid w:val="00AD5C87"/>
    <w:rsid w:val="00AD671A"/>
    <w:rsid w:val="00AE355B"/>
    <w:rsid w:val="00AE66BA"/>
    <w:rsid w:val="00AF201F"/>
    <w:rsid w:val="00B04A9B"/>
    <w:rsid w:val="00B05848"/>
    <w:rsid w:val="00B211C8"/>
    <w:rsid w:val="00B24A00"/>
    <w:rsid w:val="00B24D56"/>
    <w:rsid w:val="00B26646"/>
    <w:rsid w:val="00B34239"/>
    <w:rsid w:val="00B35AFB"/>
    <w:rsid w:val="00B361CE"/>
    <w:rsid w:val="00B4633F"/>
    <w:rsid w:val="00B50388"/>
    <w:rsid w:val="00B52FEC"/>
    <w:rsid w:val="00B556C6"/>
    <w:rsid w:val="00B63A02"/>
    <w:rsid w:val="00B65DA3"/>
    <w:rsid w:val="00B66EE6"/>
    <w:rsid w:val="00B85B91"/>
    <w:rsid w:val="00B8692B"/>
    <w:rsid w:val="00B914AA"/>
    <w:rsid w:val="00B95071"/>
    <w:rsid w:val="00B972FB"/>
    <w:rsid w:val="00BA1271"/>
    <w:rsid w:val="00BA255E"/>
    <w:rsid w:val="00BA7CCF"/>
    <w:rsid w:val="00BB23E0"/>
    <w:rsid w:val="00BB5508"/>
    <w:rsid w:val="00BE1EF2"/>
    <w:rsid w:val="00BF2465"/>
    <w:rsid w:val="00C03B7A"/>
    <w:rsid w:val="00C07AF8"/>
    <w:rsid w:val="00C07B77"/>
    <w:rsid w:val="00C1438A"/>
    <w:rsid w:val="00C221D5"/>
    <w:rsid w:val="00C44408"/>
    <w:rsid w:val="00C5362C"/>
    <w:rsid w:val="00C54983"/>
    <w:rsid w:val="00C639FC"/>
    <w:rsid w:val="00C67832"/>
    <w:rsid w:val="00C7296C"/>
    <w:rsid w:val="00C80863"/>
    <w:rsid w:val="00C846C5"/>
    <w:rsid w:val="00C87858"/>
    <w:rsid w:val="00CA03EC"/>
    <w:rsid w:val="00CA434A"/>
    <w:rsid w:val="00CB270F"/>
    <w:rsid w:val="00CB46E3"/>
    <w:rsid w:val="00CB5AFC"/>
    <w:rsid w:val="00CC3465"/>
    <w:rsid w:val="00CC4A41"/>
    <w:rsid w:val="00CC6EFE"/>
    <w:rsid w:val="00CC76D7"/>
    <w:rsid w:val="00CD0636"/>
    <w:rsid w:val="00CE15D7"/>
    <w:rsid w:val="00D047E2"/>
    <w:rsid w:val="00D2529A"/>
    <w:rsid w:val="00D3586D"/>
    <w:rsid w:val="00D41738"/>
    <w:rsid w:val="00D43DA6"/>
    <w:rsid w:val="00D571F2"/>
    <w:rsid w:val="00D63D48"/>
    <w:rsid w:val="00D670DE"/>
    <w:rsid w:val="00D72F56"/>
    <w:rsid w:val="00D76E73"/>
    <w:rsid w:val="00D83D09"/>
    <w:rsid w:val="00D85270"/>
    <w:rsid w:val="00D85DCE"/>
    <w:rsid w:val="00DA70B1"/>
    <w:rsid w:val="00DB6158"/>
    <w:rsid w:val="00DB6EAC"/>
    <w:rsid w:val="00DC6D86"/>
    <w:rsid w:val="00DD24E7"/>
    <w:rsid w:val="00DE2320"/>
    <w:rsid w:val="00DF0CE5"/>
    <w:rsid w:val="00DF277B"/>
    <w:rsid w:val="00E07E5D"/>
    <w:rsid w:val="00E36601"/>
    <w:rsid w:val="00E47367"/>
    <w:rsid w:val="00E50D80"/>
    <w:rsid w:val="00E61BD7"/>
    <w:rsid w:val="00E64B5D"/>
    <w:rsid w:val="00E726BE"/>
    <w:rsid w:val="00E778EB"/>
    <w:rsid w:val="00E81F87"/>
    <w:rsid w:val="00E905BF"/>
    <w:rsid w:val="00E92894"/>
    <w:rsid w:val="00EA0BEE"/>
    <w:rsid w:val="00EB206F"/>
    <w:rsid w:val="00EB34FC"/>
    <w:rsid w:val="00EC36D7"/>
    <w:rsid w:val="00EC48F1"/>
    <w:rsid w:val="00EC618F"/>
    <w:rsid w:val="00ED2BC8"/>
    <w:rsid w:val="00ED560C"/>
    <w:rsid w:val="00EE173A"/>
    <w:rsid w:val="00EE6BF8"/>
    <w:rsid w:val="00EF0D50"/>
    <w:rsid w:val="00EF0DF4"/>
    <w:rsid w:val="00EF5300"/>
    <w:rsid w:val="00F0264C"/>
    <w:rsid w:val="00F254D4"/>
    <w:rsid w:val="00F3327A"/>
    <w:rsid w:val="00F35BE1"/>
    <w:rsid w:val="00F42D3F"/>
    <w:rsid w:val="00F44749"/>
    <w:rsid w:val="00F512DF"/>
    <w:rsid w:val="00F55525"/>
    <w:rsid w:val="00F607F9"/>
    <w:rsid w:val="00F66FCF"/>
    <w:rsid w:val="00F73C00"/>
    <w:rsid w:val="00F93D05"/>
    <w:rsid w:val="00FA0574"/>
    <w:rsid w:val="00FA1AAB"/>
    <w:rsid w:val="00FA6740"/>
    <w:rsid w:val="00FB609D"/>
    <w:rsid w:val="00FC30C8"/>
    <w:rsid w:val="00FD4FB2"/>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ools.ietf.org/html/rfc4271" TargetMode="External"/><Relationship Id="rId21" Type="http://schemas.openxmlformats.org/officeDocument/2006/relationships/image" Target="media/image14.png"/><Relationship Id="rId34" Type="http://schemas.openxmlformats.org/officeDocument/2006/relationships/hyperlink" Target="https://www.cloudflare.com/learning/security/glossary/what-is-bgp/" TargetMode="External"/><Relationship Id="rId42" Type="http://schemas.openxmlformats.org/officeDocument/2006/relationships/hyperlink" Target="https://tools.ietf.org/html/rfc5036" TargetMode="External"/><Relationship Id="rId47" Type="http://schemas.openxmlformats.org/officeDocument/2006/relationships/hyperlink" Target="https://networklessons.com/bgp/bgp-route-reflector" TargetMode="External"/><Relationship Id="rId50" Type="http://schemas.openxmlformats.org/officeDocument/2006/relationships/hyperlink" Target="https://www.iana.org/assignments/safi-namespace/safi-namespace.x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cisco.com/c/en/us/td/docs/ios-xml/ios/iproute_isis/configuration/15-mt/irs-15-mt-book/irs-ovrw-cf.html" TargetMode="Externa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yperlink" Target="https://www.cisco.com/c/en/us/td/docs/ios/mpls/configuration/guide/12_2sr/mp_12_2sr_book/mp_ldp_overview.html" TargetMode="External"/><Relationship Id="rId37" Type="http://schemas.openxmlformats.org/officeDocument/2006/relationships/hyperlink" Target="https://searchunifiedcommunications.techtarget.com/definition/QoS-Quality-of-Service" TargetMode="External"/><Relationship Id="rId40" Type="http://schemas.openxmlformats.org/officeDocument/2006/relationships/hyperlink" Target="https://tools.ietf.org/html/rfc3031" TargetMode="External"/><Relationship Id="rId45" Type="http://schemas.openxmlformats.org/officeDocument/2006/relationships/hyperlink" Target="https://www.certkiller.com/guide-explain-bgp-attributes-and-best-path-selection.htm"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metaswitch.com/knowledge-center/reference/what-is-label-distribution-protocol-ldp" TargetMode="External"/><Relationship Id="rId44" Type="http://schemas.openxmlformats.org/officeDocument/2006/relationships/hyperlink" Target="https://tools.ietf.org/html/rfc5777"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www.steves-internet-guide.com/ipv4-basics/" TargetMode="External"/><Relationship Id="rId30" Type="http://schemas.openxmlformats.org/officeDocument/2006/relationships/hyperlink" Target="https://www.networkworld.com/article/2297171/network-security-mpls-explained.html" TargetMode="External"/><Relationship Id="rId35" Type="http://schemas.openxmlformats.org/officeDocument/2006/relationships/hyperlink" Target="https://www.fir3net.com/Networking/Protocols/what-is-a-bgp-route-reflector.html" TargetMode="External"/><Relationship Id="rId43" Type="http://schemas.openxmlformats.org/officeDocument/2006/relationships/hyperlink" Target="https://tools.ietf.org/html/rfc2547" TargetMode="External"/><Relationship Id="rId48" Type="http://schemas.openxmlformats.org/officeDocument/2006/relationships/hyperlink" Target="http://www.iana.org/assignments/address-family-numbers/address-family-numbers.xhtml" TargetMode="External"/><Relationship Id="rId8" Type="http://schemas.openxmlformats.org/officeDocument/2006/relationships/image" Target="media/image1.jpeg"/><Relationship Id="rId51" Type="http://schemas.openxmlformats.org/officeDocument/2006/relationships/hyperlink" Target="https://flylib.com/books/en/4.280.1.44/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s://www.imperva.com/blog/bgp-routing-explained/" TargetMode="External"/><Relationship Id="rId38" Type="http://schemas.openxmlformats.org/officeDocument/2006/relationships/hyperlink" Target="https://www.plixer.com/blog/what-is-vrf-virtual-routing-and-forwarding/" TargetMode="External"/><Relationship Id="rId46" Type="http://schemas.openxmlformats.org/officeDocument/2006/relationships/hyperlink" Target="http://www.networkers-online.com/blog/2009/02/bgp-route-reflector-basics/" TargetMode="External"/><Relationship Id="rId20" Type="http://schemas.openxmlformats.org/officeDocument/2006/relationships/image" Target="media/image13.png"/><Relationship Id="rId41" Type="http://schemas.openxmlformats.org/officeDocument/2006/relationships/hyperlink" Target="https://tools.ietf.org/html/rfc381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protechgurus.com/how-does-isis-protocol-work-explained/" TargetMode="External"/><Relationship Id="rId36" Type="http://schemas.openxmlformats.org/officeDocument/2006/relationships/hyperlink" Target="http://www.networkers-online.com/blog/2009/02/bgp-route-reflector-basics/" TargetMode="External"/><Relationship Id="rId49" Type="http://schemas.openxmlformats.org/officeDocument/2006/relationships/hyperlink" Target="https://networklessons.com/tag/mp-bgp/multiprotocol-bgp-mp-bgp-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53B2-0070-4621-B2DE-E93B0D366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46</Pages>
  <Words>9037</Words>
  <Characters>51513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517</cp:revision>
  <cp:lastPrinted>2019-11-13T10:13:00Z</cp:lastPrinted>
  <dcterms:created xsi:type="dcterms:W3CDTF">2019-11-10T16:20:00Z</dcterms:created>
  <dcterms:modified xsi:type="dcterms:W3CDTF">2020-01-28T21:06:00Z</dcterms:modified>
</cp:coreProperties>
</file>