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56"/>
        </w:rPr>
        <w:t>VoxFE-UV 0.41</w:t>
      </w:r>
    </w:p>
    <w:p>
      <w:pPr>
        <w:spacing w:after="280"/>
      </w:pPr>
      <w:r>
        <w:rPr>
          <w:color w:val="1F4D78"/>
          <w:sz w:val="30"/>
        </w:rPr>
        <w:t>Technical documentation, voxel-based FEA primer, and practical user tutorial</w:t>
      </w:r>
    </w:p>
    <w:p>
      <w:r>
        <w:rPr>
          <w:color w:val="5A5A5A"/>
          <w:sz w:val="20"/>
        </w:rPr>
        <w:t>Document version: 0.41 | Primary environment: Windows application with optional Ubuntu/WSL2 solver | Date: 22 July 2026</w:t>
      </w:r>
    </w:p>
    <w:p>
      <w:pPr>
        <w:jc w:val="center"/>
      </w:pPr>
      <w:r>
        <w:drawing>
          <wp:inline xmlns:a="http://schemas.openxmlformats.org/drawingml/2006/main" xmlns:pic="http://schemas.openxmlformats.org/drawingml/2006/picture">
            <wp:extent cx="5715000" cy="2857500"/>
            <wp:docPr id="1" name="Picture 1"/>
            <wp:cNvGraphicFramePr>
              <a:graphicFrameLocks noChangeAspect="1"/>
            </wp:cNvGraphicFramePr>
            <a:graphic>
              <a:graphicData uri="http://schemas.openxmlformats.org/drawingml/2006/picture">
                <pic:pic>
                  <pic:nvPicPr>
                    <pic:cNvPr id="0" name="fig01_workflow.png"/>
                    <pic:cNvPicPr/>
                  </pic:nvPicPr>
                  <pic:blipFill>
                    <a:blip r:embed="rId11"/>
                    <a:stretch>
                      <a:fillRect/>
                    </a:stretch>
                  </pic:blipFill>
                  <pic:spPr>
                    <a:xfrm>
                      <a:off x="0" y="0"/>
                      <a:ext cx="5715000" cy="2857500"/>
                    </a:xfrm>
                    <a:prstGeom prst="rect"/>
                  </pic:spPr>
                </pic:pic>
              </a:graphicData>
            </a:graphic>
          </wp:inline>
        </w:drawing>
      </w:r>
    </w:p>
    <w:p>
      <w:pPr>
        <w:pStyle w:val="Caption"/>
        <w:jc w:val="center"/>
      </w:pPr>
      <w:r>
        <w:rPr>
          <w:i/>
          <w:color w:val="555555"/>
          <w:sz w:val="18"/>
        </w:rPr>
        <w:t>Figure 1. Typical workflow from voxel reconstruction to FEA solution.</w:t>
      </w:r>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4F6F9"/>
          </w:tcPr>
          <w:p>
            <w:pPr>
              <w:spacing w:after="60"/>
            </w:pPr>
            <w:r>
              <w:rPr>
                <w:b/>
                <w:color w:val="1F4D78"/>
                <w:sz w:val="21"/>
              </w:rPr>
              <w:t>Purpose of this guide</w:t>
            </w:r>
          </w:p>
          <w:p>
            <w:pPr>
              <w:spacing w:after="0"/>
            </w:pPr>
            <w:r>
              <w:rPr>
                <w:sz w:val="20"/>
              </w:rPr>
              <w:t>This document introduces finite element analysis on voxel-based models and explains how to use VoxFE-UV 0.41 to prepare models, assign materials, define loads and constraints, launch Windows or Ubuntu/WSL2 solvers, and interpret displacement results.</w:t>
            </w:r>
          </w:p>
        </w:tc>
      </w:tr>
    </w:tbl>
    <w:p/>
    <w:p>
      <w:pPr>
        <w:pStyle w:val="Heading1"/>
      </w:pPr>
      <w:r>
        <w:t>Table of contents</w:t>
      </w:r>
    </w:p>
    <w:p>
      <w:r>
        <w:fldChar w:fldCharType="begin"/>
        <w:instrText xml:space="preserve">TOC \o "1-3" \h \z \u</w:instrText>
        <w:fldChar w:fldCharType="separate"/>
        <w:t>Aggiornare il sommario in Word: tasto destro &gt; Aggiorna campo.</w:t>
        <w:fldChar w:fldCharType="end"/>
      </w:r>
    </w:p>
    <w:p>
      <w:r>
        <w:br w:type="page"/>
      </w:r>
    </w:p>
    <w:p>
      <w:pPr>
        <w:pStyle w:val="Heading1"/>
      </w:pPr>
      <w:r>
        <w:t>1. Overview</w:t>
      </w:r>
    </w:p>
    <w:p>
      <w:r>
        <w:t>VoxFE-UV 0.41 is designed to turn volumetric image data, segmentations, or voxel models into mechanical finite element analyses. The central idea is direct: each occupied voxel becomes a finite element. This avoids a separate tetrahedral meshing stage and is especially convenient for CT, microCT, serial histology, and biological structures with complex internal geometry.</w:t>
      </w:r>
    </w:p>
    <w:p>
      <w:r>
        <w:t>The 0.41 workflow separates the graphical preparation step from the numerical solution step. The viewer/editor is Windows-oriented. For medium models, the Windows MRBRJAPCG solver is included and validated against the legacy VoxFEA solver when identical materials and boundary conditions are used. For larger models, the recommended route is Ubuntu or WSL2 with PETSc/MPI and the PETSCGAMG solver.</w:t>
      </w:r>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c>
          <w:tcPr>
            <w:tcW w:type="dxa" w:w="1944"/>
            <w:vAlign w:val="center"/>
            <w:shd w:fill="E8EEF5"/>
          </w:tcPr>
          <w:p>
            <w:pPr>
              <w:spacing w:after="0"/>
            </w:pPr>
            <w:r/>
            <w:r>
              <w:rPr>
                <w:rFonts w:ascii="Calibri" w:hAnsi="Calibri"/>
                <w:b/>
                <w:color w:val="1F4D78"/>
                <w:sz w:val="19"/>
              </w:rPr>
              <w:t>Component</w:t>
            </w:r>
          </w:p>
        </w:tc>
        <w:tc>
          <w:tcPr>
            <w:tcW w:type="dxa" w:w="4968"/>
            <w:vAlign w:val="center"/>
            <w:shd w:fill="E8EEF5"/>
          </w:tcPr>
          <w:p>
            <w:pPr>
              <w:spacing w:after="0"/>
            </w:pPr>
            <w:r/>
            <w:r>
              <w:rPr>
                <w:rFonts w:ascii="Calibri" w:hAnsi="Calibri"/>
                <w:b/>
                <w:color w:val="1F4D78"/>
                <w:sz w:val="19"/>
              </w:rPr>
              <w:t>Role</w:t>
            </w:r>
          </w:p>
        </w:tc>
        <w:tc>
          <w:tcPr>
            <w:tcW w:type="dxa" w:w="2448"/>
            <w:vAlign w:val="center"/>
            <w:shd w:fill="E8EEF5"/>
          </w:tcPr>
          <w:p>
            <w:pPr>
              <w:spacing w:after="0"/>
            </w:pPr>
            <w:r/>
            <w:r>
              <w:rPr>
                <w:rFonts w:ascii="Calibri" w:hAnsi="Calibri"/>
                <w:b/>
                <w:color w:val="1F4D78"/>
                <w:sz w:val="19"/>
              </w:rPr>
              <w:t>Main outputs</w:t>
            </w:r>
          </w:p>
        </w:tc>
      </w:tr>
      <w:tr>
        <w:tc>
          <w:tcPr>
            <w:tcW w:type="dxa" w:w="1944"/>
            <w:vAlign w:val="center"/>
          </w:tcPr>
          <w:p>
            <w:pPr>
              <w:spacing w:after="0"/>
            </w:pPr>
            <w:r/>
            <w:r>
              <w:rPr>
                <w:rFonts w:ascii="Calibri" w:hAnsi="Calibri"/>
                <w:b w:val="0"/>
                <w:sz w:val="19"/>
              </w:rPr>
              <w:t>Viewer/editor</w:t>
            </w:r>
          </w:p>
        </w:tc>
        <w:tc>
          <w:tcPr>
            <w:tcW w:type="dxa" w:w="4968"/>
            <w:vAlign w:val="center"/>
          </w:tcPr>
          <w:p>
            <w:pPr>
              <w:spacing w:after="0"/>
            </w:pPr>
            <w:r/>
            <w:r>
              <w:rPr>
                <w:rFonts w:ascii="Calibri" w:hAnsi="Calibri"/>
                <w:b w:val="0"/>
                <w:sz w:val="19"/>
              </w:rPr>
              <w:t>Loads geometry, selections, materials, forces, constraints, and results.</w:t>
            </w:r>
          </w:p>
        </w:tc>
        <w:tc>
          <w:tcPr>
            <w:tcW w:type="dxa" w:w="2448"/>
            <w:vAlign w:val="center"/>
          </w:tcPr>
          <w:p>
            <w:pPr>
              <w:spacing w:after="0"/>
            </w:pPr>
            <w:r/>
            <w:r>
              <w:rPr>
                <w:rFonts w:ascii="Calibri" w:hAnsi="Calibri"/>
                <w:b w:val="0"/>
                <w:sz w:val="19"/>
              </w:rPr>
              <w:t>project.json, Script.txt, 3D visualization</w:t>
            </w:r>
          </w:p>
        </w:tc>
      </w:tr>
      <w:tr>
        <w:tc>
          <w:tcPr>
            <w:tcW w:type="dxa" w:w="1944"/>
            <w:vAlign w:val="center"/>
          </w:tcPr>
          <w:p>
            <w:pPr>
              <w:spacing w:after="0"/>
            </w:pPr>
            <w:r/>
            <w:r>
              <w:rPr>
                <w:rFonts w:ascii="Calibri" w:hAnsi="Calibri"/>
                <w:b w:val="0"/>
                <w:sz w:val="19"/>
              </w:rPr>
              <w:t>Exporter</w:t>
            </w:r>
          </w:p>
        </w:tc>
        <w:tc>
          <w:tcPr>
            <w:tcW w:type="dxa" w:w="4968"/>
            <w:vAlign w:val="center"/>
          </w:tcPr>
          <w:p>
            <w:pPr>
              <w:spacing w:after="0"/>
            </w:pPr>
            <w:r/>
            <w:r>
              <w:rPr>
                <w:rFonts w:ascii="Calibri" w:hAnsi="Calibri"/>
                <w:b w:val="0"/>
                <w:sz w:val="19"/>
              </w:rPr>
              <w:t>Writes the model and analysis instructions in solver-readable form.</w:t>
            </w:r>
          </w:p>
        </w:tc>
        <w:tc>
          <w:tcPr>
            <w:tcW w:type="dxa" w:w="2448"/>
            <w:vAlign w:val="center"/>
          </w:tcPr>
          <w:p>
            <w:pPr>
              <w:spacing w:after="0"/>
            </w:pPr>
            <w:r/>
            <w:r>
              <w:rPr>
                <w:rFonts w:ascii="Calibri" w:hAnsi="Calibri"/>
                <w:b w:val="0"/>
                <w:sz w:val="19"/>
              </w:rPr>
              <w:t>model.txt, Script.txt</w:t>
            </w:r>
          </w:p>
        </w:tc>
      </w:tr>
      <w:tr>
        <w:tc>
          <w:tcPr>
            <w:tcW w:type="dxa" w:w="1944"/>
            <w:vAlign w:val="center"/>
          </w:tcPr>
          <w:p>
            <w:pPr>
              <w:spacing w:after="0"/>
            </w:pPr>
            <w:r/>
            <w:r>
              <w:rPr>
                <w:rFonts w:ascii="Calibri" w:hAnsi="Calibri"/>
                <w:b w:val="0"/>
                <w:sz w:val="19"/>
              </w:rPr>
              <w:t>Windows solver</w:t>
            </w:r>
          </w:p>
        </w:tc>
        <w:tc>
          <w:tcPr>
            <w:tcW w:type="dxa" w:w="4968"/>
            <w:vAlign w:val="center"/>
          </w:tcPr>
          <w:p>
            <w:pPr>
              <w:spacing w:after="0"/>
            </w:pPr>
            <w:r/>
            <w:r>
              <w:rPr>
                <w:rFonts w:ascii="Calibri" w:hAnsi="Calibri"/>
                <w:b w:val="0"/>
                <w:sz w:val="19"/>
              </w:rPr>
              <w:t>Solves with row-by-row sparse matrix assembly.</w:t>
            </w:r>
          </w:p>
        </w:tc>
        <w:tc>
          <w:tcPr>
            <w:tcW w:type="dxa" w:w="2448"/>
            <w:vAlign w:val="center"/>
          </w:tcPr>
          <w:p>
            <w:pPr>
              <w:spacing w:after="0"/>
            </w:pPr>
            <w:r/>
            <w:r>
              <w:rPr>
                <w:rFonts w:ascii="Calibri" w:hAnsi="Calibri"/>
                <w:b w:val="0"/>
                <w:sz w:val="19"/>
              </w:rPr>
              <w:t>displacement.txt, force.txt, sed.csv</w:t>
            </w:r>
          </w:p>
        </w:tc>
      </w:tr>
      <w:tr>
        <w:tc>
          <w:tcPr>
            <w:tcW w:type="dxa" w:w="1944"/>
            <w:vAlign w:val="center"/>
          </w:tcPr>
          <w:p>
            <w:pPr>
              <w:spacing w:after="0"/>
            </w:pPr>
            <w:r/>
            <w:r>
              <w:rPr>
                <w:rFonts w:ascii="Calibri" w:hAnsi="Calibri"/>
                <w:b w:val="0"/>
                <w:sz w:val="19"/>
              </w:rPr>
              <w:t>Ubuntu/WSL2 solver</w:t>
            </w:r>
          </w:p>
        </w:tc>
        <w:tc>
          <w:tcPr>
            <w:tcW w:type="dxa" w:w="4968"/>
            <w:vAlign w:val="center"/>
          </w:tcPr>
          <w:p>
            <w:pPr>
              <w:spacing w:after="0"/>
            </w:pPr>
            <w:r/>
            <w:r>
              <w:rPr>
                <w:rFonts w:ascii="Calibri" w:hAnsi="Calibri"/>
                <w:b w:val="0"/>
                <w:sz w:val="19"/>
              </w:rPr>
              <w:t>Solves large models using PETSc/MPI parallel linear algebra.</w:t>
            </w:r>
          </w:p>
        </w:tc>
        <w:tc>
          <w:tcPr>
            <w:tcW w:type="dxa" w:w="2448"/>
            <w:vAlign w:val="center"/>
          </w:tcPr>
          <w:p>
            <w:pPr>
              <w:spacing w:after="0"/>
            </w:pPr>
            <w:r/>
            <w:r>
              <w:rPr>
                <w:rFonts w:ascii="Calibri" w:hAnsi="Calibri"/>
                <w:b w:val="0"/>
                <w:sz w:val="19"/>
              </w:rPr>
              <w:t>displacement.txt, residual_history.csv, summary JSON</w:t>
            </w:r>
          </w:p>
        </w:tc>
      </w:tr>
    </w:tbl>
    <w:p/>
    <w:p>
      <w:pPr>
        <w:pStyle w:val="Heading1"/>
      </w:pPr>
      <w:r>
        <w:t>2. Voxel-based FEA primer</w:t>
      </w:r>
    </w:p>
    <w:p>
      <w:pPr>
        <w:pStyle w:val="Heading2"/>
      </w:pPr>
      <w:r>
        <w:t>2.1 From image volume to numerical model</w:t>
      </w:r>
    </w:p>
    <w:p>
      <w:r>
        <w:t>In voxel-based FEA, the physical object is represented by a set of occupied voxels. In this guide, the term model volume means the complete physical volume occupied by those voxels. The term element volume means the physical volume of one voxel-element. The term boundary surface means the external or selected internal surface where constraints or loads may be applied.</w:t>
      </w:r>
    </w:p>
    <w:p>
      <w:r>
        <w:t>Each voxel has physical dimensions dx, dy, and dz. These dimensions connect image resolution to the mechanical model. If voxel size is wrong, the solver may still converge, but the result will not describe the intended physical structure.</w:t>
      </w:r>
    </w:p>
    <w:p>
      <w:pPr>
        <w:jc w:val="center"/>
      </w:pPr>
      <w:r>
        <w:drawing>
          <wp:inline xmlns:a="http://schemas.openxmlformats.org/drawingml/2006/main" xmlns:pic="http://schemas.openxmlformats.org/drawingml/2006/picture">
            <wp:extent cx="5715000" cy="3393281"/>
            <wp:docPr id="2" name="Picture 2"/>
            <wp:cNvGraphicFramePr>
              <a:graphicFrameLocks noChangeAspect="1"/>
            </wp:cNvGraphicFramePr>
            <a:graphic>
              <a:graphicData uri="http://schemas.openxmlformats.org/drawingml/2006/picture">
                <pic:pic>
                  <pic:nvPicPr>
                    <pic:cNvPr id="0" name="fig02_voxel_mesh.png"/>
                    <pic:cNvPicPr/>
                  </pic:nvPicPr>
                  <pic:blipFill>
                    <a:blip r:embed="rId12"/>
                    <a:stretch>
                      <a:fillRect/>
                    </a:stretch>
                  </pic:blipFill>
                  <pic:spPr>
                    <a:xfrm>
                      <a:off x="0" y="0"/>
                      <a:ext cx="5715000" cy="3393281"/>
                    </a:xfrm>
                    <a:prstGeom prst="rect"/>
                  </pic:spPr>
                </pic:pic>
              </a:graphicData>
            </a:graphic>
          </wp:inline>
        </w:drawing>
      </w:r>
    </w:p>
    <w:p>
      <w:pPr>
        <w:pStyle w:val="Caption"/>
        <w:jc w:val="center"/>
      </w:pPr>
      <w:r>
        <w:rPr>
          <w:i/>
          <w:color w:val="555555"/>
          <w:sz w:val="18"/>
        </w:rPr>
        <w:t>Figure 2. Voxel mesh concept: each occupied cell becomes a hexahedral finite element.</w:t>
      </w:r>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FF8E1"/>
          </w:tcPr>
          <w:p>
            <w:pPr>
              <w:spacing w:after="60"/>
            </w:pPr>
            <w:r>
              <w:rPr>
                <w:b/>
                <w:color w:val="1F4D78"/>
                <w:sz w:val="21"/>
              </w:rPr>
              <w:t>Scale rule</w:t>
            </w:r>
          </w:p>
          <w:p>
            <w:pPr>
              <w:spacing w:after="0"/>
            </w:pPr>
            <w:r>
              <w:rPr>
                <w:sz w:val="20"/>
              </w:rPr>
              <w:t>Always verify voxel size before trusting displacement. A wrong length scale changes stiffness, displacement magnitude, and the interpretation of applied forces.</w:t>
            </w:r>
          </w:p>
        </w:tc>
      </w:tr>
    </w:tbl>
    <w:p/>
    <w:p>
      <w:pPr>
        <w:pStyle w:val="Heading2"/>
      </w:pPr>
      <w:r>
        <w:t>2.2 Displacement and strain</w:t>
      </w:r>
    </w:p>
    <w:p>
      <w:r>
        <w:t>The primary unknown in a linear elastic finite element analysis is the displacement field. For each node, VoxFE solves three components: ux, uy, and uz. The strain tensor is computed from the symmetric part of the displacement gradient.</w:t>
      </w:r>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Nodal displacement</w:t>
            </w:r>
          </w:p>
          <w:p>
            <w:pPr>
              <w:spacing w:before="40" w:after="40"/>
              <w:jc w:val="center"/>
            </w:pPr>
            <w:r>
              <w:rPr>
                <w:rFonts w:ascii="Cambria Math" w:hAnsi="Cambria Math"/>
                <w:color w:val="0B2545"/>
                <w:sz w:val="26"/>
              </w:rPr>
              <w:t>uᵢ = [uₓ, uᵧ, u_z]ᵀ</w:t>
            </w:r>
          </w:p>
          <w:p>
            <w:pPr>
              <w:spacing w:before="40" w:after="0"/>
            </w:pPr>
            <w:r>
              <w:rPr>
                <w:rFonts w:ascii="Calibri" w:hAnsi="Calibri"/>
                <w:color w:val="505050"/>
                <w:sz w:val="19"/>
              </w:rPr>
              <w:t>Each node has three displacement components.</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Displacement magnitude</w:t>
            </w:r>
          </w:p>
          <w:p>
            <w:pPr>
              <w:spacing w:before="40" w:after="40"/>
              <w:jc w:val="center"/>
            </w:pPr>
            <w:r>
              <w:rPr>
                <w:rFonts w:ascii="Cambria Math" w:hAnsi="Cambria Math"/>
                <w:color w:val="0B2545"/>
                <w:sz w:val="26"/>
              </w:rPr>
              <w:t>|u| = √(uₓ² + uᵧ² + u_z²)</w:t>
            </w:r>
          </w:p>
          <w:p>
            <w:pPr>
              <w:spacing w:before="40" w:after="0"/>
            </w:pPr>
            <w:r>
              <w:rPr>
                <w:rFonts w:ascii="Calibri" w:hAnsi="Calibri"/>
                <w:color w:val="505050"/>
                <w:sz w:val="19"/>
              </w:rPr>
              <w:t>This scalar value is commonly displayed as total displacement.</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Small strain tensor</w:t>
            </w:r>
          </w:p>
          <w:p>
            <w:pPr>
              <w:spacing w:before="40" w:after="40"/>
              <w:jc w:val="center"/>
            </w:pPr>
            <w:r>
              <w:rPr>
                <w:rFonts w:ascii="Cambria Math" w:hAnsi="Cambria Math"/>
                <w:color w:val="0B2545"/>
                <w:sz w:val="26"/>
              </w:rPr>
              <w:t>ε = 1/2 · (∇u + ∇uᵀ)</w:t>
            </w:r>
          </w:p>
          <w:p>
            <w:pPr>
              <w:spacing w:before="40" w:after="0"/>
            </w:pPr>
            <w:r>
              <w:rPr>
                <w:rFonts w:ascii="Calibri" w:hAnsi="Calibri"/>
                <w:color w:val="505050"/>
                <w:sz w:val="19"/>
              </w:rPr>
              <w:t>Strain is derived from spatial changes in displacement.</w:t>
            </w:r>
          </w:p>
        </w:tc>
      </w:tr>
    </w:tbl>
    <w:p/>
    <w:p>
      <w:pPr>
        <w:jc w:val="center"/>
      </w:pPr>
      <w:r>
        <w:drawing>
          <wp:inline xmlns:a="http://schemas.openxmlformats.org/drawingml/2006/main" xmlns:pic="http://schemas.openxmlformats.org/drawingml/2006/picture">
            <wp:extent cx="5715000" cy="3393281"/>
            <wp:docPr id="3" name="Picture 3"/>
            <wp:cNvGraphicFramePr>
              <a:graphicFrameLocks noChangeAspect="1"/>
            </wp:cNvGraphicFramePr>
            <a:graphic>
              <a:graphicData uri="http://schemas.openxmlformats.org/drawingml/2006/picture">
                <pic:pic>
                  <pic:nvPicPr>
                    <pic:cNvPr id="0" name="fig06_displacement.png"/>
                    <pic:cNvPicPr/>
                  </pic:nvPicPr>
                  <pic:blipFill>
                    <a:blip r:embed="rId13"/>
                    <a:stretch>
                      <a:fillRect/>
                    </a:stretch>
                  </pic:blipFill>
                  <pic:spPr>
                    <a:xfrm>
                      <a:off x="0" y="0"/>
                      <a:ext cx="5715000" cy="3393281"/>
                    </a:xfrm>
                    <a:prstGeom prst="rect"/>
                  </pic:spPr>
                </pic:pic>
              </a:graphicData>
            </a:graphic>
          </wp:inline>
        </w:drawing>
      </w:r>
    </w:p>
    <w:p>
      <w:pPr>
        <w:pStyle w:val="Caption"/>
        <w:jc w:val="center"/>
      </w:pPr>
      <w:r>
        <w:rPr>
          <w:i/>
          <w:color w:val="555555"/>
          <w:sz w:val="18"/>
        </w:rPr>
        <w:t>Figure 3. Displacement: the deformed shape is often visually amplified for inspection.</w:t>
      </w:r>
    </w:p>
    <w:p>
      <w:pPr>
        <w:pStyle w:val="Heading2"/>
      </w:pPr>
      <w:r>
        <w:t>2.3 Stress, Young's modulus, and Poisson's ratio</w:t>
      </w:r>
    </w:p>
    <w:p>
      <w:r>
        <w:t>For isotropic linear elasticity, stress is related to strain by Hooke's law. The two material constants used most often are Young's modulus E and Poisson's ratio nu. In biological models, using an incorrect E value can change displacement by orders of magnitude.</w:t>
      </w:r>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Isotropic Hooke law</w:t>
            </w:r>
          </w:p>
          <w:p>
            <w:pPr>
              <w:spacing w:before="40" w:after="40"/>
              <w:jc w:val="center"/>
            </w:pPr>
            <w:r>
              <w:rPr>
                <w:rFonts w:ascii="Cambria Math" w:hAnsi="Cambria Math"/>
                <w:color w:val="0B2545"/>
                <w:sz w:val="26"/>
              </w:rPr>
              <w:t>σ = C : ε</w:t>
            </w:r>
          </w:p>
          <w:p>
            <w:pPr>
              <w:spacing w:before="40" w:after="0"/>
            </w:pPr>
            <w:r>
              <w:rPr>
                <w:rFonts w:ascii="Calibri" w:hAnsi="Calibri"/>
                <w:color w:val="505050"/>
                <w:sz w:val="19"/>
              </w:rPr>
              <w:t>The material matrix C converts strain into stress.</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Lame parameters</w:t>
            </w:r>
          </w:p>
          <w:p>
            <w:pPr>
              <w:spacing w:before="40" w:after="40"/>
              <w:jc w:val="center"/>
            </w:pPr>
            <w:r>
              <w:rPr>
                <w:rFonts w:ascii="Cambria Math" w:hAnsi="Cambria Math"/>
                <w:color w:val="0B2545"/>
                <w:sz w:val="26"/>
              </w:rPr>
              <w:t>μ = E / [2(1+ν)]      λ = Eν / [(1+ν)(1−2ν)]</w:t>
            </w:r>
          </w:p>
          <w:p>
            <w:pPr>
              <w:spacing w:before="40" w:after="0"/>
            </w:pPr>
            <w:r>
              <w:rPr>
                <w:rFonts w:ascii="Calibri" w:hAnsi="Calibri"/>
                <w:color w:val="505050"/>
                <w:sz w:val="19"/>
              </w:rPr>
              <w:t>These are alternative elastic constants derived from Young's modulus and Poisson's ratio.</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Elastic energy</w:t>
            </w:r>
          </w:p>
          <w:p>
            <w:pPr>
              <w:spacing w:before="40" w:after="40"/>
              <w:jc w:val="center"/>
            </w:pPr>
            <w:r>
              <w:rPr>
                <w:rFonts w:ascii="Cambria Math" w:hAnsi="Cambria Math"/>
                <w:color w:val="0B2545"/>
                <w:sz w:val="26"/>
              </w:rPr>
              <w:t>U = 1/2 · uᵀKu = 1/2 · ∫model volume εᵀCε dV</w:t>
            </w:r>
          </w:p>
          <w:p>
            <w:pPr>
              <w:spacing w:before="40" w:after="0"/>
            </w:pPr>
            <w:r>
              <w:rPr>
                <w:rFonts w:ascii="Calibri" w:hAnsi="Calibri"/>
                <w:color w:val="505050"/>
                <w:sz w:val="19"/>
              </w:rPr>
              <w:t>This is the stored strain energy in the model.</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Von Mises stress</w:t>
            </w:r>
          </w:p>
          <w:p>
            <w:pPr>
              <w:spacing w:before="40" w:after="40"/>
              <w:jc w:val="center"/>
            </w:pPr>
            <w:r>
              <w:rPr>
                <w:rFonts w:ascii="Cambria Math" w:hAnsi="Cambria Math"/>
                <w:color w:val="0B2545"/>
                <w:sz w:val="26"/>
              </w:rPr>
              <w:t>σᵥₘ = √{1/2[(σₓₓ−σᵧᵧ)² + (σᵧᵧ−σzz)² + (σzz−σₓₓ)² + 6(σₓᵧ²+σᵧz²+σₓz²)]}</w:t>
            </w:r>
          </w:p>
        </w:tc>
      </w:tr>
    </w:tbl>
    <w:p/>
    <w:p>
      <w:pPr>
        <w:pStyle w:val="Heading2"/>
      </w:pPr>
      <w:r>
        <w:t>2.4 Weak form and global stiffness matrix</w:t>
      </w:r>
    </w:p>
    <w:p>
      <w:r>
        <w:t>FEA turns the continuous equilibrium equation into a discrete linear system. For a voxel hexahedral element, the element stiffness matrix depends on the strain-displacement matrix B, the material matrix C, and the physical element volume.</w:t>
      </w:r>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Strong equilibrium</w:t>
            </w:r>
          </w:p>
          <w:p>
            <w:pPr>
              <w:spacing w:before="40" w:after="40"/>
              <w:jc w:val="center"/>
            </w:pPr>
            <w:r>
              <w:rPr>
                <w:rFonts w:ascii="Cambria Math" w:hAnsi="Cambria Math"/>
                <w:color w:val="0B2545"/>
                <w:sz w:val="26"/>
              </w:rPr>
              <w:t>div(σ) + b = 0 inside the model volume</w:t>
            </w:r>
          </w:p>
          <w:p>
            <w:pPr>
              <w:spacing w:before="40" w:after="0"/>
            </w:pPr>
            <w:r>
              <w:rPr>
                <w:rFonts w:ascii="Calibri" w:hAnsi="Calibri"/>
                <w:color w:val="505050"/>
                <w:sz w:val="19"/>
              </w:rPr>
              <w:t>Internal stress divergence balances body forces.</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Weak form</w:t>
            </w:r>
          </w:p>
          <w:p>
            <w:pPr>
              <w:spacing w:before="40" w:after="40"/>
              <w:jc w:val="center"/>
            </w:pPr>
            <w:r>
              <w:rPr>
                <w:rFonts w:ascii="Cambria Math" w:hAnsi="Cambria Math"/>
                <w:color w:val="0B2545"/>
                <w:sz w:val="26"/>
              </w:rPr>
              <w:t>∫model volume ε(v)ᵀ C ε(u) dV = external virtual work</w:t>
            </w:r>
          </w:p>
          <w:p>
            <w:pPr>
              <w:spacing w:before="40" w:after="0"/>
            </w:pPr>
            <w:r>
              <w:rPr>
                <w:rFonts w:ascii="Calibri" w:hAnsi="Calibri"/>
                <w:color w:val="505050"/>
                <w:sz w:val="19"/>
              </w:rPr>
              <w:t>The weak form is the starting point for finite element discretization.</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Element stiffness</w:t>
            </w:r>
          </w:p>
          <w:p>
            <w:pPr>
              <w:spacing w:before="40" w:after="40"/>
              <w:jc w:val="center"/>
            </w:pPr>
            <w:r>
              <w:rPr>
                <w:rFonts w:ascii="Cambria Math" w:hAnsi="Cambria Math"/>
                <w:color w:val="0B2545"/>
                <w:sz w:val="26"/>
              </w:rPr>
              <w:t>Kₑ = ∫element volume Bᵀ C B dV</w:t>
            </w:r>
          </w:p>
          <w:p>
            <w:pPr>
              <w:spacing w:before="40" w:after="0"/>
            </w:pPr>
            <w:r>
              <w:rPr>
                <w:rFonts w:ascii="Calibri" w:hAnsi="Calibri"/>
                <w:color w:val="505050"/>
                <w:sz w:val="19"/>
              </w:rPr>
              <w:t>For voxel elements, the integral is evaluated over one voxel-element.</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Global system</w:t>
            </w:r>
          </w:p>
          <w:p>
            <w:pPr>
              <w:spacing w:before="40" w:after="40"/>
              <w:jc w:val="center"/>
            </w:pPr>
            <w:r>
              <w:rPr>
                <w:rFonts w:ascii="Cambria Math" w:hAnsi="Cambria Math"/>
                <w:color w:val="0B2545"/>
                <w:sz w:val="26"/>
              </w:rPr>
              <w:t>K u = f</w:t>
            </w:r>
          </w:p>
          <w:p>
            <w:pPr>
              <w:spacing w:before="40" w:after="0"/>
            </w:pPr>
            <w:r>
              <w:rPr>
                <w:rFonts w:ascii="Calibri" w:hAnsi="Calibri"/>
                <w:color w:val="505050"/>
                <w:sz w:val="19"/>
              </w:rPr>
              <w:t>Solve for displacement u given stiffness K and applied load vector f.</w:t>
            </w:r>
          </w:p>
        </w:tc>
      </w:tr>
    </w:tbl>
    <w:p/>
    <w:p>
      <w:pPr>
        <w:jc w:val="center"/>
      </w:pPr>
      <w:r>
        <w:drawing>
          <wp:inline xmlns:a="http://schemas.openxmlformats.org/drawingml/2006/main" xmlns:pic="http://schemas.openxmlformats.org/drawingml/2006/picture">
            <wp:extent cx="5715000" cy="3393281"/>
            <wp:docPr id="4" name="Picture 4"/>
            <wp:cNvGraphicFramePr>
              <a:graphicFrameLocks noChangeAspect="1"/>
            </wp:cNvGraphicFramePr>
            <a:graphic>
              <a:graphicData uri="http://schemas.openxmlformats.org/drawingml/2006/picture">
                <pic:pic>
                  <pic:nvPicPr>
                    <pic:cNvPr id="0" name="fig04_matrix_assembly.png"/>
                    <pic:cNvPicPr/>
                  </pic:nvPicPr>
                  <pic:blipFill>
                    <a:blip r:embed="rId14"/>
                    <a:stretch>
                      <a:fillRect/>
                    </a:stretch>
                  </pic:blipFill>
                  <pic:spPr>
                    <a:xfrm>
                      <a:off x="0" y="0"/>
                      <a:ext cx="5715000" cy="3393281"/>
                    </a:xfrm>
                    <a:prstGeom prst="rect"/>
                  </pic:spPr>
                </pic:pic>
              </a:graphicData>
            </a:graphic>
          </wp:inline>
        </w:drawing>
      </w:r>
    </w:p>
    <w:p>
      <w:pPr>
        <w:pStyle w:val="Caption"/>
        <w:jc w:val="center"/>
      </w:pPr>
      <w:r>
        <w:rPr>
          <w:i/>
          <w:color w:val="555555"/>
          <w:sz w:val="18"/>
        </w:rPr>
        <w:t>Figure 4. Assembly: element contributions are accumulated into a global sparse matrix.</w:t>
      </w:r>
    </w:p>
    <w:p>
      <w:pPr>
        <w:pStyle w:val="Heading2"/>
      </w:pPr>
      <w:r>
        <w:t>2.5 Boundary conditions and stability</w:t>
      </w:r>
    </w:p>
    <w:p>
      <w:r>
        <w:t>A linear elastic model without enough constraints can move as a rigid body. Constraints remove or prescribe degrees of freedom; loads fill the right-hand-side vector f. The boundary condition set must be mechanically plausible: too many constraints artificially stiffen the model, while too few constraints make the system singular or poorly conditioned.</w:t>
      </w:r>
    </w:p>
    <w:p>
      <w:pPr>
        <w:jc w:val="center"/>
      </w:pPr>
      <w:r>
        <w:drawing>
          <wp:inline xmlns:a="http://schemas.openxmlformats.org/drawingml/2006/main" xmlns:pic="http://schemas.openxmlformats.org/drawingml/2006/picture">
            <wp:extent cx="5715000" cy="3393281"/>
            <wp:docPr id="5" name="Picture 5"/>
            <wp:cNvGraphicFramePr>
              <a:graphicFrameLocks noChangeAspect="1"/>
            </wp:cNvGraphicFramePr>
            <a:graphic>
              <a:graphicData uri="http://schemas.openxmlformats.org/drawingml/2006/picture">
                <pic:pic>
                  <pic:nvPicPr>
                    <pic:cNvPr id="0" name="fig03_boundary_conditions.png"/>
                    <pic:cNvPicPr/>
                  </pic:nvPicPr>
                  <pic:blipFill>
                    <a:blip r:embed="rId15"/>
                    <a:stretch>
                      <a:fillRect/>
                    </a:stretch>
                  </pic:blipFill>
                  <pic:spPr>
                    <a:xfrm>
                      <a:off x="0" y="0"/>
                      <a:ext cx="5715000" cy="3393281"/>
                    </a:xfrm>
                    <a:prstGeom prst="rect"/>
                  </pic:spPr>
                </pic:pic>
              </a:graphicData>
            </a:graphic>
          </wp:inline>
        </w:drawing>
      </w:r>
    </w:p>
    <w:p>
      <w:pPr>
        <w:pStyle w:val="Caption"/>
        <w:jc w:val="center"/>
      </w:pPr>
      <w:r>
        <w:rPr>
          <w:i/>
          <w:color w:val="555555"/>
          <w:sz w:val="18"/>
        </w:rPr>
        <w:t>Figure 5. Schematic example of constrained nodes and distributed forces.</w:t>
      </w:r>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c>
          <w:tcPr>
            <w:tcW w:type="dxa" w:w="1800"/>
            <w:vAlign w:val="center"/>
            <w:shd w:fill="E8EEF5"/>
          </w:tcPr>
          <w:p>
            <w:pPr>
              <w:spacing w:after="0"/>
            </w:pPr>
            <w:r/>
            <w:r>
              <w:rPr>
                <w:rFonts w:ascii="Calibri" w:hAnsi="Calibri"/>
                <w:b/>
                <w:color w:val="1F4D78"/>
                <w:sz w:val="19"/>
              </w:rPr>
              <w:t>Entity</w:t>
            </w:r>
          </w:p>
        </w:tc>
        <w:tc>
          <w:tcPr>
            <w:tcW w:type="dxa" w:w="4536"/>
            <w:vAlign w:val="center"/>
            <w:shd w:fill="E8EEF5"/>
          </w:tcPr>
          <w:p>
            <w:pPr>
              <w:spacing w:after="0"/>
            </w:pPr>
            <w:r/>
            <w:r>
              <w:rPr>
                <w:rFonts w:ascii="Calibri" w:hAnsi="Calibri"/>
                <w:b/>
                <w:color w:val="1F4D78"/>
                <w:sz w:val="19"/>
              </w:rPr>
              <w:t>Meaning</w:t>
            </w:r>
          </w:p>
        </w:tc>
        <w:tc>
          <w:tcPr>
            <w:tcW w:type="dxa" w:w="3024"/>
            <w:vAlign w:val="center"/>
            <w:shd w:fill="E8EEF5"/>
          </w:tcPr>
          <w:p>
            <w:pPr>
              <w:spacing w:after="0"/>
            </w:pPr>
            <w:r/>
            <w:r>
              <w:rPr>
                <w:rFonts w:ascii="Calibri" w:hAnsi="Calibri"/>
                <w:b/>
                <w:color w:val="1F4D78"/>
                <w:sz w:val="19"/>
              </w:rPr>
              <w:t>Common mistake</w:t>
            </w:r>
          </w:p>
        </w:tc>
      </w:tr>
      <w:tr>
        <w:tc>
          <w:tcPr>
            <w:tcW w:type="dxa" w:w="1800"/>
            <w:vAlign w:val="center"/>
          </w:tcPr>
          <w:p>
            <w:pPr>
              <w:spacing w:after="0"/>
            </w:pPr>
            <w:r/>
            <w:r>
              <w:rPr>
                <w:rFonts w:ascii="Calibri" w:hAnsi="Calibri"/>
                <w:b w:val="0"/>
                <w:sz w:val="19"/>
              </w:rPr>
              <w:t>Constraint</w:t>
            </w:r>
          </w:p>
        </w:tc>
        <w:tc>
          <w:tcPr>
            <w:tcW w:type="dxa" w:w="4536"/>
            <w:vAlign w:val="center"/>
          </w:tcPr>
          <w:p>
            <w:pPr>
              <w:spacing w:after="0"/>
            </w:pPr>
            <w:r/>
            <w:r>
              <w:rPr>
                <w:rFonts w:ascii="Calibri" w:hAnsi="Calibri"/>
                <w:b w:val="0"/>
                <w:sz w:val="19"/>
              </w:rPr>
              <w:t>Prescribes ux, uy, uz, or selected displacement components.</w:t>
            </w:r>
          </w:p>
        </w:tc>
        <w:tc>
          <w:tcPr>
            <w:tcW w:type="dxa" w:w="3024"/>
            <w:vAlign w:val="center"/>
          </w:tcPr>
          <w:p>
            <w:pPr>
              <w:spacing w:after="0"/>
            </w:pPr>
            <w:r/>
            <w:r>
              <w:rPr>
                <w:rFonts w:ascii="Calibri" w:hAnsi="Calibri"/>
                <w:b w:val="0"/>
                <w:sz w:val="19"/>
              </w:rPr>
              <w:t>Constraining an unrealistically large surface.</w:t>
            </w:r>
          </w:p>
        </w:tc>
      </w:tr>
      <w:tr>
        <w:tc>
          <w:tcPr>
            <w:tcW w:type="dxa" w:w="1800"/>
            <w:vAlign w:val="center"/>
          </w:tcPr>
          <w:p>
            <w:pPr>
              <w:spacing w:after="0"/>
            </w:pPr>
            <w:r/>
            <w:r>
              <w:rPr>
                <w:rFonts w:ascii="Calibri" w:hAnsi="Calibri"/>
                <w:b w:val="0"/>
                <w:sz w:val="19"/>
              </w:rPr>
              <w:t>Force</w:t>
            </w:r>
          </w:p>
        </w:tc>
        <w:tc>
          <w:tcPr>
            <w:tcW w:type="dxa" w:w="4536"/>
            <w:vAlign w:val="center"/>
          </w:tcPr>
          <w:p>
            <w:pPr>
              <w:spacing w:after="0"/>
            </w:pPr>
            <w:r/>
            <w:r>
              <w:rPr>
                <w:rFonts w:ascii="Calibri" w:hAnsi="Calibri"/>
                <w:b w:val="0"/>
                <w:sz w:val="19"/>
              </w:rPr>
              <w:t>Applies nodal or distributed loads with a physical magnitude.</w:t>
            </w:r>
          </w:p>
        </w:tc>
        <w:tc>
          <w:tcPr>
            <w:tcW w:type="dxa" w:w="3024"/>
            <w:vAlign w:val="center"/>
          </w:tcPr>
          <w:p>
            <w:pPr>
              <w:spacing w:after="0"/>
            </w:pPr>
            <w:r/>
            <w:r>
              <w:rPr>
                <w:rFonts w:ascii="Calibri" w:hAnsi="Calibri"/>
                <w:b w:val="0"/>
                <w:sz w:val="19"/>
              </w:rPr>
              <w:t>Confusing visual arrow length with force magnitude.</w:t>
            </w:r>
          </w:p>
        </w:tc>
      </w:tr>
      <w:tr>
        <w:tc>
          <w:tcPr>
            <w:tcW w:type="dxa" w:w="1800"/>
            <w:vAlign w:val="center"/>
          </w:tcPr>
          <w:p>
            <w:pPr>
              <w:spacing w:after="0"/>
            </w:pPr>
            <w:r/>
            <w:r>
              <w:rPr>
                <w:rFonts w:ascii="Calibri" w:hAnsi="Calibri"/>
                <w:b w:val="0"/>
                <w:sz w:val="19"/>
              </w:rPr>
              <w:t>Voxel size</w:t>
            </w:r>
          </w:p>
        </w:tc>
        <w:tc>
          <w:tcPr>
            <w:tcW w:type="dxa" w:w="4536"/>
            <w:vAlign w:val="center"/>
          </w:tcPr>
          <w:p>
            <w:pPr>
              <w:spacing w:after="0"/>
            </w:pPr>
            <w:r/>
            <w:r>
              <w:rPr>
                <w:rFonts w:ascii="Calibri" w:hAnsi="Calibri"/>
                <w:b w:val="0"/>
                <w:sz w:val="19"/>
              </w:rPr>
              <w:t>Converts voxel indices into physical length.</w:t>
            </w:r>
          </w:p>
        </w:tc>
        <w:tc>
          <w:tcPr>
            <w:tcW w:type="dxa" w:w="3024"/>
            <w:vAlign w:val="center"/>
          </w:tcPr>
          <w:p>
            <w:pPr>
              <w:spacing w:after="0"/>
            </w:pPr>
            <w:r/>
            <w:r>
              <w:rPr>
                <w:rFonts w:ascii="Calibri" w:hAnsi="Calibri"/>
                <w:b w:val="0"/>
                <w:sz w:val="19"/>
              </w:rPr>
              <w:t>Leaving 1 1 1 when the model uses metres or millimetres.</w:t>
            </w:r>
          </w:p>
        </w:tc>
      </w:tr>
      <w:tr>
        <w:tc>
          <w:tcPr>
            <w:tcW w:type="dxa" w:w="1800"/>
            <w:vAlign w:val="center"/>
          </w:tcPr>
          <w:p>
            <w:pPr>
              <w:spacing w:after="0"/>
            </w:pPr>
            <w:r/>
            <w:r>
              <w:rPr>
                <w:rFonts w:ascii="Calibri" w:hAnsi="Calibri"/>
                <w:b w:val="0"/>
                <w:sz w:val="19"/>
              </w:rPr>
              <w:t>Material ID</w:t>
            </w:r>
          </w:p>
        </w:tc>
        <w:tc>
          <w:tcPr>
            <w:tcW w:type="dxa" w:w="4536"/>
            <w:vAlign w:val="center"/>
          </w:tcPr>
          <w:p>
            <w:pPr>
              <w:spacing w:after="0"/>
            </w:pPr>
            <w:r/>
            <w:r>
              <w:rPr>
                <w:rFonts w:ascii="Calibri" w:hAnsi="Calibri"/>
                <w:b w:val="0"/>
                <w:sz w:val="19"/>
              </w:rPr>
              <w:t>Connects voxels to E, nu, and a material label.</w:t>
            </w:r>
          </w:p>
        </w:tc>
        <w:tc>
          <w:tcPr>
            <w:tcW w:type="dxa" w:w="3024"/>
            <w:vAlign w:val="center"/>
          </w:tcPr>
          <w:p>
            <w:pPr>
              <w:spacing w:after="0"/>
            </w:pPr>
            <w:r/>
            <w:r>
              <w:rPr>
                <w:rFonts w:ascii="Calibri" w:hAnsi="Calibri"/>
                <w:b w:val="0"/>
                <w:sz w:val="19"/>
              </w:rPr>
              <w:t>Assuming a label such as METAL implies physical stiffness.</w:t>
            </w:r>
          </w:p>
        </w:tc>
      </w:tr>
    </w:tbl>
    <w:p/>
    <w:p>
      <w:pPr>
        <w:pStyle w:val="Heading1"/>
      </w:pPr>
      <w:r>
        <w:t>3. Data, units, and file formats</w:t>
      </w:r>
    </w:p>
    <w:p>
      <w:pPr>
        <w:pStyle w:val="Heading2"/>
      </w:pPr>
      <w:r>
        <w:t>3.1 model.txt</w:t>
      </w:r>
    </w:p>
    <w:p>
      <w:r>
        <w:t>The model.txt file stores voxel geometry. Legacy files typically contain material ID and integer x, y, z voxel coordinates. Voxel size may be absent in old files; in that case VoxFE-UV uses a fallback value or reads scale information from the project/script.</w:t>
      </w:r>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c>
          <w:tcPr>
            <w:tcW w:type="dxa" w:w="2088"/>
            <w:vAlign w:val="center"/>
            <w:shd w:fill="E8EEF5"/>
          </w:tcPr>
          <w:p>
            <w:pPr>
              <w:spacing w:after="0"/>
            </w:pPr>
            <w:r/>
            <w:r>
              <w:rPr>
                <w:rFonts w:ascii="Calibri" w:hAnsi="Calibri"/>
                <w:b/>
                <w:color w:val="1F4D78"/>
                <w:sz w:val="19"/>
              </w:rPr>
              <w:t>Field</w:t>
            </w:r>
          </w:p>
        </w:tc>
        <w:tc>
          <w:tcPr>
            <w:tcW w:type="dxa" w:w="4248"/>
            <w:vAlign w:val="center"/>
            <w:shd w:fill="E8EEF5"/>
          </w:tcPr>
          <w:p>
            <w:pPr>
              <w:spacing w:after="0"/>
            </w:pPr>
            <w:r/>
            <w:r>
              <w:rPr>
                <w:rFonts w:ascii="Calibri" w:hAnsi="Calibri"/>
                <w:b/>
                <w:color w:val="1F4D78"/>
                <w:sz w:val="19"/>
              </w:rPr>
              <w:t>Meaning</w:t>
            </w:r>
          </w:p>
        </w:tc>
        <w:tc>
          <w:tcPr>
            <w:tcW w:type="dxa" w:w="3024"/>
            <w:vAlign w:val="center"/>
            <w:shd w:fill="E8EEF5"/>
          </w:tcPr>
          <w:p>
            <w:pPr>
              <w:spacing w:after="0"/>
            </w:pPr>
            <w:r/>
            <w:r>
              <w:rPr>
                <w:rFonts w:ascii="Calibri" w:hAnsi="Calibri"/>
                <w:b/>
                <w:color w:val="1F4D78"/>
                <w:sz w:val="19"/>
              </w:rPr>
              <w:t>Recommended check</w:t>
            </w:r>
          </w:p>
        </w:tc>
      </w:tr>
      <w:tr>
        <w:tc>
          <w:tcPr>
            <w:tcW w:type="dxa" w:w="2088"/>
            <w:vAlign w:val="center"/>
          </w:tcPr>
          <w:p>
            <w:pPr>
              <w:spacing w:after="0"/>
            </w:pPr>
            <w:r/>
            <w:r>
              <w:rPr>
                <w:rFonts w:ascii="Calibri" w:hAnsi="Calibri"/>
                <w:b w:val="0"/>
                <w:sz w:val="19"/>
              </w:rPr>
              <w:t>Material ID</w:t>
            </w:r>
          </w:p>
        </w:tc>
        <w:tc>
          <w:tcPr>
            <w:tcW w:type="dxa" w:w="4248"/>
            <w:vAlign w:val="center"/>
          </w:tcPr>
          <w:p>
            <w:pPr>
              <w:spacing w:after="0"/>
            </w:pPr>
            <w:r/>
            <w:r>
              <w:rPr>
                <w:rFonts w:ascii="Calibri" w:hAnsi="Calibri"/>
                <w:b w:val="0"/>
                <w:sz w:val="19"/>
              </w:rPr>
              <w:t>Integer material identifier.</w:t>
            </w:r>
          </w:p>
        </w:tc>
        <w:tc>
          <w:tcPr>
            <w:tcW w:type="dxa" w:w="3024"/>
            <w:vAlign w:val="center"/>
          </w:tcPr>
          <w:p>
            <w:pPr>
              <w:spacing w:after="0"/>
            </w:pPr>
            <w:r/>
            <w:r>
              <w:rPr>
                <w:rFonts w:ascii="Calibri" w:hAnsi="Calibri"/>
                <w:b w:val="0"/>
                <w:sz w:val="19"/>
              </w:rPr>
              <w:t>Every ID must have E and nu.</w:t>
            </w:r>
          </w:p>
        </w:tc>
      </w:tr>
      <w:tr>
        <w:tc>
          <w:tcPr>
            <w:tcW w:type="dxa" w:w="2088"/>
            <w:vAlign w:val="center"/>
          </w:tcPr>
          <w:p>
            <w:pPr>
              <w:spacing w:after="0"/>
            </w:pPr>
            <w:r/>
            <w:r>
              <w:rPr>
                <w:rFonts w:ascii="Calibri" w:hAnsi="Calibri"/>
                <w:b w:val="0"/>
                <w:sz w:val="19"/>
              </w:rPr>
              <w:t>x, y, z</w:t>
            </w:r>
          </w:p>
        </w:tc>
        <w:tc>
          <w:tcPr>
            <w:tcW w:type="dxa" w:w="4248"/>
            <w:vAlign w:val="center"/>
          </w:tcPr>
          <w:p>
            <w:pPr>
              <w:spacing w:after="0"/>
            </w:pPr>
            <w:r/>
            <w:r>
              <w:rPr>
                <w:rFonts w:ascii="Calibri" w:hAnsi="Calibri"/>
                <w:b w:val="0"/>
                <w:sz w:val="19"/>
              </w:rPr>
              <w:t>Voxel grid coordinates.</w:t>
            </w:r>
          </w:p>
        </w:tc>
        <w:tc>
          <w:tcPr>
            <w:tcW w:type="dxa" w:w="3024"/>
            <w:vAlign w:val="center"/>
          </w:tcPr>
          <w:p>
            <w:pPr>
              <w:spacing w:after="0"/>
            </w:pPr>
            <w:r/>
            <w:r>
              <w:rPr>
                <w:rFonts w:ascii="Calibri" w:hAnsi="Calibri"/>
                <w:b w:val="0"/>
                <w:sz w:val="19"/>
              </w:rPr>
              <w:t>Check bounds and dimensions.</w:t>
            </w:r>
          </w:p>
        </w:tc>
      </w:tr>
      <w:tr>
        <w:tc>
          <w:tcPr>
            <w:tcW w:type="dxa" w:w="2088"/>
            <w:vAlign w:val="center"/>
          </w:tcPr>
          <w:p>
            <w:pPr>
              <w:spacing w:after="0"/>
            </w:pPr>
            <w:r/>
            <w:r>
              <w:rPr>
                <w:rFonts w:ascii="Calibri" w:hAnsi="Calibri"/>
                <w:b w:val="0"/>
                <w:sz w:val="19"/>
              </w:rPr>
              <w:t>Voxel count</w:t>
            </w:r>
          </w:p>
        </w:tc>
        <w:tc>
          <w:tcPr>
            <w:tcW w:type="dxa" w:w="4248"/>
            <w:vAlign w:val="center"/>
          </w:tcPr>
          <w:p>
            <w:pPr>
              <w:spacing w:after="0"/>
            </w:pPr>
            <w:r/>
            <w:r>
              <w:rPr>
                <w:rFonts w:ascii="Calibri" w:hAnsi="Calibri"/>
                <w:b w:val="0"/>
                <w:sz w:val="19"/>
              </w:rPr>
              <w:t>Number of occupied voxels.</w:t>
            </w:r>
          </w:p>
        </w:tc>
        <w:tc>
          <w:tcPr>
            <w:tcW w:type="dxa" w:w="3024"/>
            <w:vAlign w:val="center"/>
          </w:tcPr>
          <w:p>
            <w:pPr>
              <w:spacing w:after="0"/>
            </w:pPr>
            <w:r/>
            <w:r>
              <w:rPr>
                <w:rFonts w:ascii="Calibri" w:hAnsi="Calibri"/>
                <w:b w:val="0"/>
                <w:sz w:val="19"/>
              </w:rPr>
              <w:t>Compare with expected model size.</w:t>
            </w:r>
          </w:p>
        </w:tc>
      </w:tr>
      <w:tr>
        <w:tc>
          <w:tcPr>
            <w:tcW w:type="dxa" w:w="2088"/>
            <w:vAlign w:val="center"/>
          </w:tcPr>
          <w:p>
            <w:pPr>
              <w:spacing w:after="0"/>
            </w:pPr>
            <w:r/>
            <w:r>
              <w:rPr>
                <w:rFonts w:ascii="Calibri" w:hAnsi="Calibri"/>
                <w:b w:val="0"/>
                <w:sz w:val="19"/>
              </w:rPr>
              <w:t>Bounds</w:t>
            </w:r>
          </w:p>
        </w:tc>
        <w:tc>
          <w:tcPr>
            <w:tcW w:type="dxa" w:w="4248"/>
            <w:vAlign w:val="center"/>
          </w:tcPr>
          <w:p>
            <w:pPr>
              <w:spacing w:after="0"/>
            </w:pPr>
            <w:r/>
            <w:r>
              <w:rPr>
                <w:rFonts w:ascii="Calibri" w:hAnsi="Calibri"/>
                <w:b w:val="0"/>
                <w:sz w:val="19"/>
              </w:rPr>
              <w:t>Minimum and maximum voxel indices.</w:t>
            </w:r>
          </w:p>
        </w:tc>
        <w:tc>
          <w:tcPr>
            <w:tcW w:type="dxa" w:w="3024"/>
            <w:vAlign w:val="center"/>
          </w:tcPr>
          <w:p>
            <w:pPr>
              <w:spacing w:after="0"/>
            </w:pPr>
            <w:r/>
            <w:r>
              <w:rPr>
                <w:rFonts w:ascii="Calibri" w:hAnsi="Calibri"/>
                <w:b w:val="0"/>
                <w:sz w:val="19"/>
              </w:rPr>
              <w:t>Useful for grid size and origin checks.</w:t>
            </w:r>
          </w:p>
        </w:tc>
      </w:tr>
    </w:tbl>
    <w:p/>
    <w:p>
      <w:pPr>
        <w:pStyle w:val="Heading2"/>
      </w:pPr>
      <w:r>
        <w:t>3.2 Script.txt</w:t>
      </w:r>
    </w:p>
    <w:p>
      <w:r>
        <w:t>The script defines solver settings, materials, voxel size, selections, constraints, and forces. VoxFE-UV 0.41 preserves legacy YOUNG_MODULUS and POISSON_RATIO entries during import, but exports explicit MATERIAL lines with neutral material names.</w:t>
      </w:r>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Material script line</w:t>
            </w:r>
          </w:p>
          <w:p>
            <w:pPr>
              <w:spacing w:before="40" w:after="40"/>
              <w:jc w:val="center"/>
            </w:pPr>
            <w:r>
              <w:rPr>
                <w:rFonts w:ascii="Cambria Math" w:hAnsi="Cambria Math"/>
                <w:color w:val="0B2545"/>
                <w:sz w:val="26"/>
              </w:rPr>
              <w:t>MATERIAL 2 MATERIAL_2 500000000 0.300000011921 PASSIVE</w:t>
            </w:r>
          </w:p>
          <w:p>
            <w:pPr>
              <w:spacing w:before="40" w:after="0"/>
            </w:pPr>
            <w:r>
              <w:rPr>
                <w:rFonts w:ascii="Calibri" w:hAnsi="Calibri"/>
                <w:color w:val="505050"/>
                <w:sz w:val="19"/>
              </w:rPr>
              <w:t>Material ID 2, neutral label, E = 500,000,000 Pa, ν ≈ 0.30.</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Voxel size script line</w:t>
            </w:r>
          </w:p>
          <w:p>
            <w:pPr>
              <w:spacing w:before="40" w:after="40"/>
              <w:jc w:val="center"/>
            </w:pPr>
            <w:r>
              <w:rPr>
                <w:rFonts w:ascii="Cambria Math" w:hAnsi="Cambria Math"/>
                <w:color w:val="0B2545"/>
                <w:sz w:val="26"/>
              </w:rPr>
              <w:t>VOXEL_SIZE 0.000436 0.000436 0.000436 1</w:t>
            </w:r>
          </w:p>
          <w:p>
            <w:pPr>
              <w:spacing w:before="40" w:after="0"/>
            </w:pPr>
            <w:r>
              <w:rPr>
                <w:rFonts w:ascii="Calibri" w:hAnsi="Calibri"/>
                <w:color w:val="505050"/>
                <w:sz w:val="19"/>
              </w:rPr>
              <w:t>Voxel dimensions are written in physical units.</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4F6F9"/>
          </w:tcPr>
          <w:p>
            <w:pPr>
              <w:spacing w:after="60"/>
            </w:pPr>
            <w:r>
              <w:rPr>
                <w:b/>
                <w:color w:val="1F4D78"/>
                <w:sz w:val="21"/>
              </w:rPr>
              <w:t>Material names in 0.41</w:t>
            </w:r>
          </w:p>
          <w:p>
            <w:pPr>
              <w:spacing w:after="0"/>
            </w:pPr>
            <w:r>
              <w:rPr>
                <w:sz w:val="20"/>
              </w:rPr>
              <w:t>Version 0.41 uses neutral names such as MATERIAL_1 and MATERIAL_2. Legacy labels like BONE and METAL are accepted for compatibility, but the actual stiffness is defined by the material ID and its Young's modulus.</w:t>
            </w:r>
          </w:p>
        </w:tc>
      </w:tr>
    </w:tbl>
    <w:p/>
    <w:p>
      <w:pPr>
        <w:pStyle w:val="Heading2"/>
      </w:pPr>
      <w:r>
        <w:t>3.3 Unit consistency</w:t>
      </w:r>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c>
          <w:tcPr>
            <w:tcW w:type="dxa" w:w="2088"/>
            <w:vAlign w:val="center"/>
            <w:shd w:fill="E8EEF5"/>
          </w:tcPr>
          <w:p>
            <w:pPr>
              <w:spacing w:after="0"/>
            </w:pPr>
            <w:r/>
            <w:r>
              <w:rPr>
                <w:rFonts w:ascii="Calibri" w:hAnsi="Calibri"/>
                <w:b/>
                <w:color w:val="1F4D78"/>
                <w:sz w:val="19"/>
              </w:rPr>
              <w:t>Quantity</w:t>
            </w:r>
          </w:p>
        </w:tc>
        <w:tc>
          <w:tcPr>
            <w:tcW w:type="dxa" w:w="2880"/>
            <w:vAlign w:val="center"/>
            <w:shd w:fill="E8EEF5"/>
          </w:tcPr>
          <w:p>
            <w:pPr>
              <w:spacing w:after="0"/>
            </w:pPr>
            <w:r/>
            <w:r>
              <w:rPr>
                <w:rFonts w:ascii="Calibri" w:hAnsi="Calibri"/>
                <w:b/>
                <w:color w:val="1F4D78"/>
                <w:sz w:val="19"/>
              </w:rPr>
              <w:t>Recommended SI unit</w:t>
            </w:r>
          </w:p>
        </w:tc>
        <w:tc>
          <w:tcPr>
            <w:tcW w:type="dxa" w:w="4392"/>
            <w:vAlign w:val="center"/>
            <w:shd w:fill="E8EEF5"/>
          </w:tcPr>
          <w:p>
            <w:pPr>
              <w:spacing w:after="0"/>
            </w:pPr>
            <w:r/>
            <w:r>
              <w:rPr>
                <w:rFonts w:ascii="Calibri" w:hAnsi="Calibri"/>
                <w:b/>
                <w:color w:val="1F4D78"/>
                <w:sz w:val="19"/>
              </w:rPr>
              <w:t>Note</w:t>
            </w:r>
          </w:p>
        </w:tc>
      </w:tr>
      <w:tr>
        <w:tc>
          <w:tcPr>
            <w:tcW w:type="dxa" w:w="2088"/>
            <w:vAlign w:val="center"/>
          </w:tcPr>
          <w:p>
            <w:pPr>
              <w:spacing w:after="0"/>
            </w:pPr>
            <w:r/>
            <w:r>
              <w:rPr>
                <w:rFonts w:ascii="Calibri" w:hAnsi="Calibri"/>
                <w:b w:val="0"/>
                <w:sz w:val="19"/>
              </w:rPr>
              <w:t>Length</w:t>
            </w:r>
          </w:p>
        </w:tc>
        <w:tc>
          <w:tcPr>
            <w:tcW w:type="dxa" w:w="2880"/>
            <w:vAlign w:val="center"/>
          </w:tcPr>
          <w:p>
            <w:pPr>
              <w:spacing w:after="0"/>
            </w:pPr>
            <w:r/>
            <w:r>
              <w:rPr>
                <w:rFonts w:ascii="Calibri" w:hAnsi="Calibri"/>
                <w:b w:val="0"/>
                <w:sz w:val="19"/>
              </w:rPr>
              <w:t>m</w:t>
            </w:r>
          </w:p>
        </w:tc>
        <w:tc>
          <w:tcPr>
            <w:tcW w:type="dxa" w:w="4392"/>
            <w:vAlign w:val="center"/>
          </w:tcPr>
          <w:p>
            <w:pPr>
              <w:spacing w:after="0"/>
            </w:pPr>
            <w:r/>
            <w:r>
              <w:rPr>
                <w:rFonts w:ascii="Calibri" w:hAnsi="Calibri"/>
                <w:b w:val="0"/>
                <w:sz w:val="19"/>
              </w:rPr>
              <w:t>Voxel size in metres is consistent with Pa and N.</w:t>
            </w:r>
          </w:p>
        </w:tc>
      </w:tr>
      <w:tr>
        <w:tc>
          <w:tcPr>
            <w:tcW w:type="dxa" w:w="2088"/>
            <w:vAlign w:val="center"/>
          </w:tcPr>
          <w:p>
            <w:pPr>
              <w:spacing w:after="0"/>
            </w:pPr>
            <w:r/>
            <w:r>
              <w:rPr>
                <w:rFonts w:ascii="Calibri" w:hAnsi="Calibri"/>
                <w:b w:val="0"/>
                <w:sz w:val="19"/>
              </w:rPr>
              <w:t>Force</w:t>
            </w:r>
          </w:p>
        </w:tc>
        <w:tc>
          <w:tcPr>
            <w:tcW w:type="dxa" w:w="2880"/>
            <w:vAlign w:val="center"/>
          </w:tcPr>
          <w:p>
            <w:pPr>
              <w:spacing w:after="0"/>
            </w:pPr>
            <w:r/>
            <w:r>
              <w:rPr>
                <w:rFonts w:ascii="Calibri" w:hAnsi="Calibri"/>
                <w:b w:val="0"/>
                <w:sz w:val="19"/>
              </w:rPr>
              <w:t>N</w:t>
            </w:r>
          </w:p>
        </w:tc>
        <w:tc>
          <w:tcPr>
            <w:tcW w:type="dxa" w:w="4392"/>
            <w:vAlign w:val="center"/>
          </w:tcPr>
          <w:p>
            <w:pPr>
              <w:spacing w:after="0"/>
            </w:pPr>
            <w:r/>
            <w:r>
              <w:rPr>
                <w:rFonts w:ascii="Calibri" w:hAnsi="Calibri"/>
                <w:b w:val="0"/>
                <w:sz w:val="19"/>
              </w:rPr>
              <w:t>The exported magnitude is physical; arrow thickness is visual.</w:t>
            </w:r>
          </w:p>
        </w:tc>
      </w:tr>
      <w:tr>
        <w:tc>
          <w:tcPr>
            <w:tcW w:type="dxa" w:w="2088"/>
            <w:vAlign w:val="center"/>
          </w:tcPr>
          <w:p>
            <w:pPr>
              <w:spacing w:after="0"/>
            </w:pPr>
            <w:r/>
            <w:r>
              <w:rPr>
                <w:rFonts w:ascii="Calibri" w:hAnsi="Calibri"/>
                <w:b w:val="0"/>
                <w:sz w:val="19"/>
              </w:rPr>
              <w:t>Young's modulus</w:t>
            </w:r>
          </w:p>
        </w:tc>
        <w:tc>
          <w:tcPr>
            <w:tcW w:type="dxa" w:w="2880"/>
            <w:vAlign w:val="center"/>
          </w:tcPr>
          <w:p>
            <w:pPr>
              <w:spacing w:after="0"/>
            </w:pPr>
            <w:r/>
            <w:r>
              <w:rPr>
                <w:rFonts w:ascii="Calibri" w:hAnsi="Calibri"/>
                <w:b w:val="0"/>
                <w:sz w:val="19"/>
              </w:rPr>
              <w:t>Pa</w:t>
            </w:r>
          </w:p>
        </w:tc>
        <w:tc>
          <w:tcPr>
            <w:tcW w:type="dxa" w:w="4392"/>
            <w:vAlign w:val="center"/>
          </w:tcPr>
          <w:p>
            <w:pPr>
              <w:spacing w:after="0"/>
            </w:pPr>
            <w:r/>
            <w:r>
              <w:rPr>
                <w:rFonts w:ascii="Calibri" w:hAnsi="Calibri"/>
                <w:b w:val="0"/>
                <w:sz w:val="19"/>
              </w:rPr>
              <w:t>1 GPa = 1e9 Pa.</w:t>
            </w:r>
          </w:p>
        </w:tc>
      </w:tr>
      <w:tr>
        <w:tc>
          <w:tcPr>
            <w:tcW w:type="dxa" w:w="2088"/>
            <w:vAlign w:val="center"/>
          </w:tcPr>
          <w:p>
            <w:pPr>
              <w:spacing w:after="0"/>
            </w:pPr>
            <w:r/>
            <w:r>
              <w:rPr>
                <w:rFonts w:ascii="Calibri" w:hAnsi="Calibri"/>
                <w:b w:val="0"/>
                <w:sz w:val="19"/>
              </w:rPr>
              <w:t>Stress</w:t>
            </w:r>
          </w:p>
        </w:tc>
        <w:tc>
          <w:tcPr>
            <w:tcW w:type="dxa" w:w="2880"/>
            <w:vAlign w:val="center"/>
          </w:tcPr>
          <w:p>
            <w:pPr>
              <w:spacing w:after="0"/>
            </w:pPr>
            <w:r/>
            <w:r>
              <w:rPr>
                <w:rFonts w:ascii="Calibri" w:hAnsi="Calibri"/>
                <w:b w:val="0"/>
                <w:sz w:val="19"/>
              </w:rPr>
              <w:t>Pa</w:t>
            </w:r>
          </w:p>
        </w:tc>
        <w:tc>
          <w:tcPr>
            <w:tcW w:type="dxa" w:w="4392"/>
            <w:vAlign w:val="center"/>
          </w:tcPr>
          <w:p>
            <w:pPr>
              <w:spacing w:after="0"/>
            </w:pPr>
            <w:r/>
            <w:r>
              <w:rPr>
                <w:rFonts w:ascii="Calibri" w:hAnsi="Calibri"/>
                <w:b w:val="0"/>
                <w:sz w:val="19"/>
              </w:rPr>
              <w:t>Computed from C:epsilon.</w:t>
            </w:r>
          </w:p>
        </w:tc>
      </w:tr>
      <w:tr>
        <w:tc>
          <w:tcPr>
            <w:tcW w:type="dxa" w:w="2088"/>
            <w:vAlign w:val="center"/>
          </w:tcPr>
          <w:p>
            <w:pPr>
              <w:spacing w:after="0"/>
            </w:pPr>
            <w:r/>
            <w:r>
              <w:rPr>
                <w:rFonts w:ascii="Calibri" w:hAnsi="Calibri"/>
                <w:b w:val="0"/>
                <w:sz w:val="19"/>
              </w:rPr>
              <w:t>Displacement</w:t>
            </w:r>
          </w:p>
        </w:tc>
        <w:tc>
          <w:tcPr>
            <w:tcW w:type="dxa" w:w="2880"/>
            <w:vAlign w:val="center"/>
          </w:tcPr>
          <w:p>
            <w:pPr>
              <w:spacing w:after="0"/>
            </w:pPr>
            <w:r/>
            <w:r>
              <w:rPr>
                <w:rFonts w:ascii="Calibri" w:hAnsi="Calibri"/>
                <w:b w:val="0"/>
                <w:sz w:val="19"/>
              </w:rPr>
              <w:t>m</w:t>
            </w:r>
          </w:p>
        </w:tc>
        <w:tc>
          <w:tcPr>
            <w:tcW w:type="dxa" w:w="4392"/>
            <w:vAlign w:val="center"/>
          </w:tcPr>
          <w:p>
            <w:pPr>
              <w:spacing w:after="0"/>
            </w:pPr>
            <w:r/>
            <w:r>
              <w:rPr>
                <w:rFonts w:ascii="Calibri" w:hAnsi="Calibri"/>
                <w:b w:val="0"/>
                <w:sz w:val="19"/>
              </w:rPr>
              <w:t>Convert to mm or micrometres only for reporting.</w:t>
            </w:r>
          </w:p>
        </w:tc>
      </w:tr>
    </w:tbl>
    <w:p/>
    <w:p>
      <w:pPr>
        <w:pStyle w:val="Heading1"/>
      </w:pPr>
      <w:r>
        <w:t>4. Solver strategy</w:t>
      </w:r>
    </w:p>
    <w:p>
      <w:pPr>
        <w:jc w:val="center"/>
      </w:pPr>
      <w:r>
        <w:drawing>
          <wp:inline xmlns:a="http://schemas.openxmlformats.org/drawingml/2006/main" xmlns:pic="http://schemas.openxmlformats.org/drawingml/2006/picture">
            <wp:extent cx="5715000" cy="3193676"/>
            <wp:docPr id="6" name="Picture 6"/>
            <wp:cNvGraphicFramePr>
              <a:graphicFrameLocks noChangeAspect="1"/>
            </wp:cNvGraphicFramePr>
            <a:graphic>
              <a:graphicData uri="http://schemas.openxmlformats.org/drawingml/2006/picture">
                <pic:pic>
                  <pic:nvPicPr>
                    <pic:cNvPr id="0" name="fig05_solver_map.png"/>
                    <pic:cNvPicPr/>
                  </pic:nvPicPr>
                  <pic:blipFill>
                    <a:blip r:embed="rId16"/>
                    <a:stretch>
                      <a:fillRect/>
                    </a:stretch>
                  </pic:blipFill>
                  <pic:spPr>
                    <a:xfrm>
                      <a:off x="0" y="0"/>
                      <a:ext cx="5715000" cy="3193676"/>
                    </a:xfrm>
                    <a:prstGeom prst="rect"/>
                  </pic:spPr>
                </pic:pic>
              </a:graphicData>
            </a:graphic>
          </wp:inline>
        </w:drawing>
      </w:r>
    </w:p>
    <w:p>
      <w:pPr>
        <w:pStyle w:val="Caption"/>
        <w:jc w:val="center"/>
      </w:pPr>
      <w:r>
        <w:rPr>
          <w:i/>
          <w:color w:val="555555"/>
          <w:sz w:val="18"/>
        </w:rPr>
        <w:t>Figure 6. Solver map and recommended use in VoxFE-UV 0.41.</w:t>
      </w:r>
    </w:p>
    <w:p>
      <w:r>
        <w:t>All solvers try to find the displacement vector u that satisfies the same mechanical equilibrium equation, K u = f. They differ in how they build or apply K, how they reduce the residual, how much memory they need, and how quickly they reach an acceptable solution. The most important practical distinction is between direct sparse factorization, classical iterative CG, row-by-row voxel-specialized CG, and PETSc/MPI multigrid-preconditioned CG.</w:t>
      </w:r>
    </w:p>
    <w:p>
      <w:pPr>
        <w:jc w:val="center"/>
      </w:pPr>
      <w:r>
        <w:drawing>
          <wp:inline xmlns:a="http://schemas.openxmlformats.org/drawingml/2006/main" xmlns:pic="http://schemas.openxmlformats.org/drawingml/2006/picture">
            <wp:extent cx="5715000" cy="3294529"/>
            <wp:docPr id="7" name="Picture 7"/>
            <wp:cNvGraphicFramePr>
              <a:graphicFrameLocks noChangeAspect="1"/>
            </wp:cNvGraphicFramePr>
            <a:graphic>
              <a:graphicData uri="http://schemas.openxmlformats.org/drawingml/2006/picture">
                <pic:pic>
                  <pic:nvPicPr>
                    <pic:cNvPr id="0" name="fig08_cg_loop.png"/>
                    <pic:cNvPicPr/>
                  </pic:nvPicPr>
                  <pic:blipFill>
                    <a:blip r:embed="rId17"/>
                    <a:stretch>
                      <a:fillRect/>
                    </a:stretch>
                  </pic:blipFill>
                  <pic:spPr>
                    <a:xfrm>
                      <a:off x="0" y="0"/>
                      <a:ext cx="5715000" cy="3294529"/>
                    </a:xfrm>
                    <a:prstGeom prst="rect"/>
                  </pic:spPr>
                </pic:pic>
              </a:graphicData>
            </a:graphic>
          </wp:inline>
        </w:drawing>
      </w:r>
    </w:p>
    <w:p>
      <w:pPr>
        <w:pStyle w:val="Caption"/>
        <w:jc w:val="center"/>
      </w:pPr>
      <w:r>
        <w:rPr>
          <w:i/>
          <w:color w:val="555555"/>
          <w:sz w:val="18"/>
        </w:rPr>
        <w:t>Figure 7. Generic conjugate-gradient loop used by several iterative solver variants.</w:t>
      </w:r>
    </w:p>
    <w:p>
      <w:r>
        <w:t>Conjugate Gradient does not compute K inverse. Instead, it repeatedly evaluates matrix-vector products and updates the current displacement estimate. The preconditioner M is a cheaper approximation that makes the system easier for CG. A Jacobi preconditioner uses only the diagonal of K, while GAMG builds a multilevel algebraic approximation.</w:t>
      </w:r>
    </w:p>
    <w:p>
      <w:pPr>
        <w:pStyle w:val="Heading2"/>
      </w:pPr>
      <w:r>
        <w:t>4.1 MRBRJAPCG on Windows</w:t>
      </w:r>
    </w:p>
    <w:p>
      <w:r>
        <w:t>MRBRJAPCG is the recommended native Windows solver in the clean 0.41 release. MRBR means Modified Row-By-Row sparse matrix assembly, inspired by the legacy VoxFEA approach. JAPCG means Jacobi-preconditioned conjugate gradient with a convergence metric compatible with the old solver.</w:t>
      </w:r>
    </w:p>
    <w:p>
      <w:pPr>
        <w:jc w:val="center"/>
      </w:pPr>
      <w:r>
        <w:drawing>
          <wp:inline xmlns:a="http://schemas.openxmlformats.org/drawingml/2006/main" xmlns:pic="http://schemas.openxmlformats.org/drawingml/2006/picture">
            <wp:extent cx="5715000" cy="3294529"/>
            <wp:docPr id="8" name="Picture 8"/>
            <wp:cNvGraphicFramePr>
              <a:graphicFrameLocks noChangeAspect="1"/>
            </wp:cNvGraphicFramePr>
            <a:graphic>
              <a:graphicData uri="http://schemas.openxmlformats.org/drawingml/2006/picture">
                <pic:pic>
                  <pic:nvPicPr>
                    <pic:cNvPr id="0" name="fig09_mrbrjapcg_scheme.png"/>
                    <pic:cNvPicPr/>
                  </pic:nvPicPr>
                  <pic:blipFill>
                    <a:blip r:embed="rId18"/>
                    <a:stretch>
                      <a:fillRect/>
                    </a:stretch>
                  </pic:blipFill>
                  <pic:spPr>
                    <a:xfrm>
                      <a:off x="0" y="0"/>
                      <a:ext cx="5715000" cy="3294529"/>
                    </a:xfrm>
                    <a:prstGeom prst="rect"/>
                  </pic:spPr>
                </pic:pic>
              </a:graphicData>
            </a:graphic>
          </wp:inline>
        </w:drawing>
      </w:r>
    </w:p>
    <w:p>
      <w:pPr>
        <w:pStyle w:val="Caption"/>
        <w:jc w:val="center"/>
      </w:pPr>
      <w:r>
        <w:rPr>
          <w:i/>
          <w:color w:val="555555"/>
          <w:sz w:val="18"/>
        </w:rPr>
        <w:t>Figure 8. MRBRJAPCG builds the sparse matrix using the voxel neighborhood pattern directly.</w:t>
      </w:r>
    </w:p>
    <w:p>
      <w:r>
        <w:t>The row-by-row idea is important for voxel models because the connectivity pattern is highly regular. A node is influenced only by nearby voxel elements, so each global row has a limited neighborhood of non-zero coefficients. MRBRJAPCG exploits this locality: it preallocates and fills the sparse matrix in a structure closer to the original VoxFEA implementation rather than using a generic element-COO path.</w:t>
      </w:r>
    </w:p>
    <w:p>
      <w:pPr>
        <w:pStyle w:val="ListBullet"/>
      </w:pPr>
      <w:r>
        <w:t>Strength: validated against the old VoxFEA result on the Macaque test case when material constants match.</w:t>
      </w:r>
    </w:p>
    <w:p>
      <w:pPr>
        <w:pStyle w:val="ListBullet"/>
      </w:pPr>
      <w:r>
        <w:t>Limitation: very large models can become memory-limited on Windows.</w:t>
      </w:r>
    </w:p>
    <w:p>
      <w:pPr>
        <w:pStyle w:val="ListBullet"/>
      </w:pPr>
      <w:r>
        <w:t>Recommended use: small-to-medium models, validation, and comparison runs.</w:t>
      </w:r>
    </w:p>
    <w:p>
      <w:pPr>
        <w:pStyle w:val="Heading2"/>
      </w:pPr>
      <w:r>
        <w:t>4.2 PETSCGAMG on Ubuntu/WSL2</w:t>
      </w:r>
    </w:p>
    <w:p>
      <w:r>
        <w:t>PETSCGAMG uses PETSc/MPI and an algebraic multigrid preconditioner. It is the preferred strategy for large models, particularly on Linux machines with enough RAM. Runtime can be dominated by preconditioner setup, not only by the visible CG iterations.</w:t>
      </w:r>
    </w:p>
    <w:p>
      <w:pPr>
        <w:jc w:val="center"/>
      </w:pPr>
      <w:r>
        <w:drawing>
          <wp:inline xmlns:a="http://schemas.openxmlformats.org/drawingml/2006/main" xmlns:pic="http://schemas.openxmlformats.org/drawingml/2006/picture">
            <wp:extent cx="5715000" cy="3294529"/>
            <wp:docPr id="9" name="Picture 9"/>
            <wp:cNvGraphicFramePr>
              <a:graphicFrameLocks noChangeAspect="1"/>
            </wp:cNvGraphicFramePr>
            <a:graphic>
              <a:graphicData uri="http://schemas.openxmlformats.org/drawingml/2006/picture">
                <pic:pic>
                  <pic:nvPicPr>
                    <pic:cNvPr id="0" name="fig10_petsc_gamg_scheme.png"/>
                    <pic:cNvPicPr/>
                  </pic:nvPicPr>
                  <pic:blipFill>
                    <a:blip r:embed="rId19"/>
                    <a:stretch>
                      <a:fillRect/>
                    </a:stretch>
                  </pic:blipFill>
                  <pic:spPr>
                    <a:xfrm>
                      <a:off x="0" y="0"/>
                      <a:ext cx="5715000" cy="3294529"/>
                    </a:xfrm>
                    <a:prstGeom prst="rect"/>
                  </pic:spPr>
                </pic:pic>
              </a:graphicData>
            </a:graphic>
          </wp:inline>
        </w:drawing>
      </w:r>
    </w:p>
    <w:p>
      <w:pPr>
        <w:pStyle w:val="Caption"/>
        <w:jc w:val="center"/>
      </w:pPr>
      <w:r>
        <w:rPr>
          <w:i/>
          <w:color w:val="555555"/>
          <w:sz w:val="18"/>
        </w:rPr>
        <w:t>Figure 9. PETSCGAMG distributes matrix rows across MPI ranks and uses a multigrid hierarchy as preconditioner.</w:t>
      </w:r>
    </w:p>
    <w:p>
      <w:r>
        <w:t>PETSc distributes the global sparse matrix across MPI ranks. Each rank owns a subset of rows and communicates when a matrix-vector product requires values from neighbouring ranks. GAMG then builds coarser algebraic representations of the problem. During each CG iteration, this hierarchy helps remove error components that Jacobi alone would reduce slowly.</w:t>
      </w:r>
    </w:p>
    <w:p>
      <w:pPr>
        <w:pStyle w:val="ListBullet"/>
      </w:pPr>
      <w:r>
        <w:t>Strength: better scaling route for large voxel models.</w:t>
      </w:r>
    </w:p>
    <w:p>
      <w:pPr>
        <w:pStyle w:val="ListBullet"/>
      </w:pPr>
      <w:r>
        <w:t>Limitation: GAMG setup can require substantial memory.</w:t>
      </w:r>
    </w:p>
    <w:p>
      <w:pPr>
        <w:pStyle w:val="ListBullet"/>
      </w:pPr>
      <w:r>
        <w:t>Recommended use: full-resolution models and high-RAM Linux/WSL2 systems.</w:t>
      </w:r>
    </w:p>
    <w:p>
      <w:pPr>
        <w:jc w:val="center"/>
      </w:pPr>
      <w:r>
        <w:drawing>
          <wp:inline xmlns:a="http://schemas.openxmlformats.org/drawingml/2006/main" xmlns:pic="http://schemas.openxmlformats.org/drawingml/2006/picture">
            <wp:extent cx="5715000" cy="3294529"/>
            <wp:docPr id="10" name="Picture 10"/>
            <wp:cNvGraphicFramePr>
              <a:graphicFrameLocks noChangeAspect="1"/>
            </wp:cNvGraphicFramePr>
            <a:graphic>
              <a:graphicData uri="http://schemas.openxmlformats.org/drawingml/2006/picture">
                <pic:pic>
                  <pic:nvPicPr>
                    <pic:cNvPr id="0" name="fig11_solver_decision.png"/>
                    <pic:cNvPicPr/>
                  </pic:nvPicPr>
                  <pic:blipFill>
                    <a:blip r:embed="rId20"/>
                    <a:stretch>
                      <a:fillRect/>
                    </a:stretch>
                  </pic:blipFill>
                  <pic:spPr>
                    <a:xfrm>
                      <a:off x="0" y="0"/>
                      <a:ext cx="5715000" cy="3294529"/>
                    </a:xfrm>
                    <a:prstGeom prst="rect"/>
                  </pic:spPr>
                </pic:pic>
              </a:graphicData>
            </a:graphic>
          </wp:inline>
        </w:drawing>
      </w:r>
    </w:p>
    <w:p>
      <w:pPr>
        <w:pStyle w:val="Caption"/>
        <w:jc w:val="center"/>
      </w:pPr>
      <w:r>
        <w:rPr>
          <w:i/>
          <w:color w:val="555555"/>
          <w:sz w:val="18"/>
        </w:rPr>
        <w:t>Figure 10. Practical solver decision guide for the 0.41 release.</w:t>
      </w:r>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c>
          <w:tcPr>
            <w:tcW w:type="dxa" w:w="1944"/>
            <w:vAlign w:val="center"/>
            <w:shd w:fill="E8EEF5"/>
          </w:tcPr>
          <w:p>
            <w:pPr>
              <w:spacing w:after="0"/>
            </w:pPr>
            <w:r/>
            <w:r>
              <w:rPr>
                <w:rFonts w:ascii="Calibri" w:hAnsi="Calibri"/>
                <w:b/>
                <w:color w:val="1F4D78"/>
                <w:sz w:val="19"/>
              </w:rPr>
              <w:t>Method</w:t>
            </w:r>
          </w:p>
        </w:tc>
        <w:tc>
          <w:tcPr>
            <w:tcW w:type="dxa" w:w="4680"/>
            <w:vAlign w:val="center"/>
            <w:shd w:fill="E8EEF5"/>
          </w:tcPr>
          <w:p>
            <w:pPr>
              <w:spacing w:after="0"/>
            </w:pPr>
            <w:r/>
            <w:r>
              <w:rPr>
                <w:rFonts w:ascii="Calibri" w:hAnsi="Calibri"/>
                <w:b/>
                <w:color w:val="1F4D78"/>
                <w:sz w:val="19"/>
              </w:rPr>
              <w:t>What it does</w:t>
            </w:r>
          </w:p>
        </w:tc>
        <w:tc>
          <w:tcPr>
            <w:tcW w:type="dxa" w:w="2736"/>
            <w:vAlign w:val="center"/>
            <w:shd w:fill="E8EEF5"/>
          </w:tcPr>
          <w:p>
            <w:pPr>
              <w:spacing w:after="0"/>
            </w:pPr>
            <w:r/>
            <w:r>
              <w:rPr>
                <w:rFonts w:ascii="Calibri" w:hAnsi="Calibri"/>
                <w:b/>
                <w:color w:val="1F4D78"/>
                <w:sz w:val="19"/>
              </w:rPr>
              <w:t>When to use it</w:t>
            </w:r>
          </w:p>
        </w:tc>
      </w:tr>
      <w:tr>
        <w:tc>
          <w:tcPr>
            <w:tcW w:type="dxa" w:w="1944"/>
            <w:vAlign w:val="center"/>
          </w:tcPr>
          <w:p>
            <w:pPr>
              <w:spacing w:after="0"/>
            </w:pPr>
            <w:r/>
            <w:r>
              <w:rPr>
                <w:rFonts w:ascii="Calibri" w:hAnsi="Calibri"/>
                <w:b w:val="0"/>
                <w:sz w:val="19"/>
              </w:rPr>
              <w:t>MRBRJAPCG</w:t>
            </w:r>
          </w:p>
        </w:tc>
        <w:tc>
          <w:tcPr>
            <w:tcW w:type="dxa" w:w="4680"/>
            <w:vAlign w:val="center"/>
          </w:tcPr>
          <w:p>
            <w:pPr>
              <w:spacing w:after="0"/>
            </w:pPr>
            <w:r/>
            <w:r>
              <w:rPr>
                <w:rFonts w:ascii="Calibri" w:hAnsi="Calibri"/>
                <w:b w:val="0"/>
                <w:sz w:val="19"/>
              </w:rPr>
              <w:t>Row-by-row CSR assembly + Jacobi-preconditioned CG.</w:t>
            </w:r>
          </w:p>
        </w:tc>
        <w:tc>
          <w:tcPr>
            <w:tcW w:type="dxa" w:w="2736"/>
            <w:vAlign w:val="center"/>
          </w:tcPr>
          <w:p>
            <w:pPr>
              <w:spacing w:after="0"/>
            </w:pPr>
            <w:r/>
            <w:r>
              <w:rPr>
                <w:rFonts w:ascii="Calibri" w:hAnsi="Calibri"/>
                <w:b w:val="0"/>
                <w:sz w:val="19"/>
              </w:rPr>
              <w:t>Default Windows 0.41 solver.</w:t>
            </w:r>
          </w:p>
        </w:tc>
      </w:tr>
      <w:tr>
        <w:tc>
          <w:tcPr>
            <w:tcW w:type="dxa" w:w="1944"/>
            <w:vAlign w:val="center"/>
          </w:tcPr>
          <w:p>
            <w:pPr>
              <w:spacing w:after="0"/>
            </w:pPr>
            <w:r/>
            <w:r>
              <w:rPr>
                <w:rFonts w:ascii="Calibri" w:hAnsi="Calibri"/>
                <w:b w:val="0"/>
                <w:sz w:val="19"/>
              </w:rPr>
              <w:t>PETSCGAMG</w:t>
            </w:r>
          </w:p>
        </w:tc>
        <w:tc>
          <w:tcPr>
            <w:tcW w:type="dxa" w:w="4680"/>
            <w:vAlign w:val="center"/>
          </w:tcPr>
          <w:p>
            <w:pPr>
              <w:spacing w:after="0"/>
            </w:pPr>
            <w:r/>
            <w:r>
              <w:rPr>
                <w:rFonts w:ascii="Calibri" w:hAnsi="Calibri"/>
                <w:b w:val="0"/>
                <w:sz w:val="19"/>
              </w:rPr>
              <w:t>PETSc/MPI CG + algebraic multigrid preconditioning.</w:t>
            </w:r>
          </w:p>
        </w:tc>
        <w:tc>
          <w:tcPr>
            <w:tcW w:type="dxa" w:w="2736"/>
            <w:vAlign w:val="center"/>
          </w:tcPr>
          <w:p>
            <w:pPr>
              <w:spacing w:after="0"/>
            </w:pPr>
            <w:r/>
            <w:r>
              <w:rPr>
                <w:rFonts w:ascii="Calibri" w:hAnsi="Calibri"/>
                <w:b w:val="0"/>
                <w:sz w:val="19"/>
              </w:rPr>
              <w:t>Default Ubuntu/WSL2 solver for large models.</w:t>
            </w:r>
          </w:p>
        </w:tc>
      </w:tr>
      <w:tr>
        <w:tc>
          <w:tcPr>
            <w:tcW w:type="dxa" w:w="1944"/>
            <w:vAlign w:val="center"/>
          </w:tcPr>
          <w:p>
            <w:pPr>
              <w:spacing w:after="0"/>
            </w:pPr>
            <w:r/>
            <w:r>
              <w:rPr>
                <w:rFonts w:ascii="Calibri" w:hAnsi="Calibri"/>
                <w:b w:val="0"/>
                <w:sz w:val="19"/>
              </w:rPr>
              <w:t>PETSCJAPCG</w:t>
            </w:r>
          </w:p>
        </w:tc>
        <w:tc>
          <w:tcPr>
            <w:tcW w:type="dxa" w:w="4680"/>
            <w:vAlign w:val="center"/>
          </w:tcPr>
          <w:p>
            <w:pPr>
              <w:spacing w:after="0"/>
            </w:pPr>
            <w:r/>
            <w:r>
              <w:rPr>
                <w:rFonts w:ascii="Calibri" w:hAnsi="Calibri"/>
                <w:b w:val="0"/>
                <w:sz w:val="19"/>
              </w:rPr>
              <w:t>PETSc CG with simpler preconditioning.</w:t>
            </w:r>
          </w:p>
        </w:tc>
        <w:tc>
          <w:tcPr>
            <w:tcW w:type="dxa" w:w="2736"/>
            <w:vAlign w:val="center"/>
          </w:tcPr>
          <w:p>
            <w:pPr>
              <w:spacing w:after="0"/>
            </w:pPr>
            <w:r/>
            <w:r>
              <w:rPr>
                <w:rFonts w:ascii="Calibri" w:hAnsi="Calibri"/>
                <w:b w:val="0"/>
                <w:sz w:val="19"/>
              </w:rPr>
              <w:t>Comparison if GAMG uses too much RAM.</w:t>
            </w:r>
          </w:p>
        </w:tc>
      </w:tr>
      <w:tr>
        <w:tc>
          <w:tcPr>
            <w:tcW w:type="dxa" w:w="1944"/>
            <w:vAlign w:val="center"/>
          </w:tcPr>
          <w:p>
            <w:pPr>
              <w:spacing w:after="0"/>
            </w:pPr>
            <w:r/>
            <w:r>
              <w:rPr>
                <w:rFonts w:ascii="Calibri" w:hAnsi="Calibri"/>
                <w:b w:val="0"/>
                <w:sz w:val="19"/>
              </w:rPr>
              <w:t>CG</w:t>
            </w:r>
          </w:p>
        </w:tc>
        <w:tc>
          <w:tcPr>
            <w:tcW w:type="dxa" w:w="4680"/>
            <w:vAlign w:val="center"/>
          </w:tcPr>
          <w:p>
            <w:pPr>
              <w:spacing w:after="0"/>
            </w:pPr>
            <w:r/>
            <w:r>
              <w:rPr>
                <w:rFonts w:ascii="Calibri" w:hAnsi="Calibri"/>
                <w:b w:val="0"/>
                <w:sz w:val="19"/>
              </w:rPr>
              <w:t>Basic conjugate gradient.</w:t>
            </w:r>
          </w:p>
        </w:tc>
        <w:tc>
          <w:tcPr>
            <w:tcW w:type="dxa" w:w="2736"/>
            <w:vAlign w:val="center"/>
          </w:tcPr>
          <w:p>
            <w:pPr>
              <w:spacing w:after="0"/>
            </w:pPr>
            <w:r/>
            <w:r>
              <w:rPr>
                <w:rFonts w:ascii="Calibri" w:hAnsi="Calibri"/>
                <w:b w:val="0"/>
                <w:sz w:val="19"/>
              </w:rPr>
              <w:t>Benchmark only, often slow.</w:t>
            </w:r>
          </w:p>
        </w:tc>
      </w:tr>
      <w:tr>
        <w:tc>
          <w:tcPr>
            <w:tcW w:type="dxa" w:w="1944"/>
            <w:vAlign w:val="center"/>
          </w:tcPr>
          <w:p>
            <w:pPr>
              <w:spacing w:after="0"/>
            </w:pPr>
            <w:r/>
            <w:r>
              <w:rPr>
                <w:rFonts w:ascii="Calibri" w:hAnsi="Calibri"/>
                <w:b w:val="0"/>
                <w:sz w:val="19"/>
              </w:rPr>
              <w:t>SPSOLVE</w:t>
            </w:r>
          </w:p>
        </w:tc>
        <w:tc>
          <w:tcPr>
            <w:tcW w:type="dxa" w:w="4680"/>
            <w:vAlign w:val="center"/>
          </w:tcPr>
          <w:p>
            <w:pPr>
              <w:spacing w:after="0"/>
            </w:pPr>
            <w:r/>
            <w:r>
              <w:rPr>
                <w:rFonts w:ascii="Calibri" w:hAnsi="Calibri"/>
                <w:b w:val="0"/>
                <w:sz w:val="19"/>
              </w:rPr>
              <w:t>Direct sparse factorization.</w:t>
            </w:r>
          </w:p>
        </w:tc>
        <w:tc>
          <w:tcPr>
            <w:tcW w:type="dxa" w:w="2736"/>
            <w:vAlign w:val="center"/>
          </w:tcPr>
          <w:p>
            <w:pPr>
              <w:spacing w:after="0"/>
            </w:pPr>
            <w:r/>
            <w:r>
              <w:rPr>
                <w:rFonts w:ascii="Calibri" w:hAnsi="Calibri"/>
                <w:b w:val="0"/>
                <w:sz w:val="19"/>
              </w:rPr>
              <w:t>Small tests only; not recommended for full models.</w:t>
            </w:r>
          </w:p>
        </w:tc>
      </w:tr>
    </w:tbl>
    <w:p/>
    <w:p>
      <w:pPr>
        <w:pStyle w:val="Heading2"/>
      </w:pPr>
      <w:r>
        <w:t>4.3 Convergence and residuals</w:t>
      </w:r>
    </w:p>
    <w:p>
      <w:r>
        <w:t>An iterative solver produces both a displacement field and a residual history. The residual measures how well the current solution satisfies K u = f. A residual curve that does not decrease, oscillates strongly, or stops only because the maximum iteration count was reached should be treated with caution.</w:t>
      </w:r>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Residual</w:t>
            </w:r>
          </w:p>
          <w:p>
            <w:pPr>
              <w:spacing w:before="40" w:after="40"/>
              <w:jc w:val="center"/>
            </w:pPr>
            <w:r>
              <w:rPr>
                <w:rFonts w:ascii="Cambria Math" w:hAnsi="Cambria Math"/>
                <w:color w:val="0B2545"/>
                <w:sz w:val="26"/>
              </w:rPr>
              <w:t>rₖ = f − K uₖ</w:t>
            </w:r>
          </w:p>
          <w:p>
            <w:pPr>
              <w:spacing w:before="40" w:after="0"/>
            </w:pPr>
            <w:r>
              <w:rPr>
                <w:rFonts w:ascii="Calibri" w:hAnsi="Calibri"/>
                <w:color w:val="505050"/>
                <w:sz w:val="19"/>
              </w:rPr>
              <w:t>The residual measures the remaining force imbalance.</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Relative residual</w:t>
            </w:r>
          </w:p>
          <w:p>
            <w:pPr>
              <w:spacing w:before="40" w:after="40"/>
              <w:jc w:val="center"/>
            </w:pPr>
            <w:r>
              <w:rPr>
                <w:rFonts w:ascii="Cambria Math" w:hAnsi="Cambria Math"/>
                <w:color w:val="0B2545"/>
                <w:sz w:val="26"/>
              </w:rPr>
              <w:t>relresₖ = ‖rₖ‖ / ‖r₀‖</w:t>
            </w:r>
          </w:p>
          <w:p>
            <w:pPr>
              <w:spacing w:before="40" w:after="0"/>
            </w:pPr>
            <w:r>
              <w:rPr>
                <w:rFonts w:ascii="Calibri" w:hAnsi="Calibri"/>
                <w:color w:val="505050"/>
                <w:sz w:val="19"/>
              </w:rPr>
              <w:t>This normalizes the residual by the initial residual.</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Typical stopping criterion</w:t>
            </w:r>
          </w:p>
          <w:p>
            <w:pPr>
              <w:spacing w:before="40" w:after="40"/>
              <w:jc w:val="center"/>
            </w:pPr>
            <w:r>
              <w:rPr>
                <w:rFonts w:ascii="Cambria Math" w:hAnsi="Cambria Math"/>
                <w:color w:val="0B2545"/>
                <w:sz w:val="26"/>
              </w:rPr>
              <w:t>converged if ‖rₖ‖ ≤ tolerance · ‖r₀‖</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FF8E1"/>
          </w:tcPr>
          <w:p>
            <w:pPr>
              <w:spacing w:after="60"/>
            </w:pPr>
            <w:r>
              <w:rPr>
                <w:b/>
                <w:color w:val="1F4D78"/>
                <w:sz w:val="21"/>
              </w:rPr>
              <w:t>Important</w:t>
            </w:r>
          </w:p>
          <w:p>
            <w:pPr>
              <w:spacing w:after="0"/>
            </w:pPr>
            <w:r>
              <w:rPr>
                <w:sz w:val="20"/>
              </w:rPr>
              <w:t>Numerical convergence does not guarantee physical correctness. A model with wrong material constants, wrong voxel size, or wrong force scaling can converge to the wrong physical answer.</w:t>
            </w:r>
          </w:p>
        </w:tc>
      </w:tr>
    </w:tbl>
    <w:p/>
    <w:p>
      <w:pPr>
        <w:pStyle w:val="Heading2"/>
      </w:pPr>
      <w:r>
        <w:t>4.4 How to read solver timing</w:t>
      </w:r>
    </w:p>
    <w:p>
      <w:r>
        <w:t>Solver time is usually split into phases. Parsing and renumbering identify active nodes and degrees of freedom. Assembly builds or prepares the stiffness operator. Preconditioner setup builds Jacobi, GAMG, or another acceleration structure. Iteration time is the repeated process of reducing the residual. Export time writes displacement, force, energy, and coordinate files.</w:t>
      </w:r>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c>
          <w:tcPr>
            <w:tcW w:type="dxa" w:w="2376"/>
            <w:vAlign w:val="center"/>
            <w:shd w:fill="E8EEF5"/>
          </w:tcPr>
          <w:p>
            <w:pPr>
              <w:spacing w:after="0"/>
            </w:pPr>
            <w:r/>
            <w:r>
              <w:rPr>
                <w:rFonts w:ascii="Calibri" w:hAnsi="Calibri"/>
                <w:b/>
                <w:color w:val="1F4D78"/>
                <w:sz w:val="19"/>
              </w:rPr>
              <w:t>Timing field</w:t>
            </w:r>
          </w:p>
        </w:tc>
        <w:tc>
          <w:tcPr>
            <w:tcW w:type="dxa" w:w="3671"/>
            <w:vAlign w:val="center"/>
            <w:shd w:fill="E8EEF5"/>
          </w:tcPr>
          <w:p>
            <w:pPr>
              <w:spacing w:after="0"/>
            </w:pPr>
            <w:r/>
            <w:r>
              <w:rPr>
                <w:rFonts w:ascii="Calibri" w:hAnsi="Calibri"/>
                <w:b/>
                <w:color w:val="1F4D78"/>
                <w:sz w:val="19"/>
              </w:rPr>
              <w:t>Meaning</w:t>
            </w:r>
          </w:p>
        </w:tc>
        <w:tc>
          <w:tcPr>
            <w:tcW w:type="dxa" w:w="3311"/>
            <w:vAlign w:val="center"/>
            <w:shd w:fill="E8EEF5"/>
          </w:tcPr>
          <w:p>
            <w:pPr>
              <w:spacing w:after="0"/>
            </w:pPr>
            <w:r/>
            <w:r>
              <w:rPr>
                <w:rFonts w:ascii="Calibri" w:hAnsi="Calibri"/>
                <w:b/>
                <w:color w:val="1F4D78"/>
                <w:sz w:val="19"/>
              </w:rPr>
              <w:t>Interpretation</w:t>
            </w:r>
          </w:p>
        </w:tc>
      </w:tr>
      <w:tr>
        <w:tc>
          <w:tcPr>
            <w:tcW w:type="dxa" w:w="2376"/>
            <w:vAlign w:val="center"/>
          </w:tcPr>
          <w:p>
            <w:pPr>
              <w:spacing w:after="0"/>
            </w:pPr>
            <w:r/>
            <w:r>
              <w:rPr>
                <w:rFonts w:ascii="Calibri" w:hAnsi="Calibri"/>
                <w:b w:val="0"/>
                <w:sz w:val="19"/>
              </w:rPr>
              <w:t>assembly_time_seconds</w:t>
            </w:r>
          </w:p>
        </w:tc>
        <w:tc>
          <w:tcPr>
            <w:tcW w:type="dxa" w:w="3671"/>
            <w:vAlign w:val="center"/>
          </w:tcPr>
          <w:p>
            <w:pPr>
              <w:spacing w:after="0"/>
            </w:pPr>
            <w:r/>
            <w:r>
              <w:rPr>
                <w:rFonts w:ascii="Calibri" w:hAnsi="Calibri"/>
                <w:b w:val="0"/>
                <w:sz w:val="19"/>
              </w:rPr>
              <w:t>Time spent building the stiffness matrix/operator.</w:t>
            </w:r>
          </w:p>
        </w:tc>
        <w:tc>
          <w:tcPr>
            <w:tcW w:type="dxa" w:w="3311"/>
            <w:vAlign w:val="center"/>
          </w:tcPr>
          <w:p>
            <w:pPr>
              <w:spacing w:after="0"/>
            </w:pPr>
            <w:r/>
            <w:r>
              <w:rPr>
                <w:rFonts w:ascii="Calibri" w:hAnsi="Calibri"/>
                <w:b w:val="0"/>
                <w:sz w:val="19"/>
              </w:rPr>
              <w:t>High values suggest matrix construction or I/O is the bottleneck.</w:t>
            </w:r>
          </w:p>
        </w:tc>
      </w:tr>
      <w:tr>
        <w:tc>
          <w:tcPr>
            <w:tcW w:type="dxa" w:w="2376"/>
            <w:vAlign w:val="center"/>
          </w:tcPr>
          <w:p>
            <w:pPr>
              <w:spacing w:after="0"/>
            </w:pPr>
            <w:r/>
            <w:r>
              <w:rPr>
                <w:rFonts w:ascii="Calibri" w:hAnsi="Calibri"/>
                <w:b w:val="0"/>
                <w:sz w:val="19"/>
              </w:rPr>
              <w:t>solve_time_seconds</w:t>
            </w:r>
          </w:p>
        </w:tc>
        <w:tc>
          <w:tcPr>
            <w:tcW w:type="dxa" w:w="3671"/>
            <w:vAlign w:val="center"/>
          </w:tcPr>
          <w:p>
            <w:pPr>
              <w:spacing w:after="0"/>
            </w:pPr>
            <w:r/>
            <w:r>
              <w:rPr>
                <w:rFonts w:ascii="Calibri" w:hAnsi="Calibri"/>
                <w:b w:val="0"/>
                <w:sz w:val="19"/>
              </w:rPr>
              <w:t>Time spent in the numerical linear solve.</w:t>
            </w:r>
          </w:p>
        </w:tc>
        <w:tc>
          <w:tcPr>
            <w:tcW w:type="dxa" w:w="3311"/>
            <w:vAlign w:val="center"/>
          </w:tcPr>
          <w:p>
            <w:pPr>
              <w:spacing w:after="0"/>
            </w:pPr>
            <w:r/>
            <w:r>
              <w:rPr>
                <w:rFonts w:ascii="Calibri" w:hAnsi="Calibri"/>
                <w:b w:val="0"/>
                <w:sz w:val="19"/>
              </w:rPr>
              <w:t>High values suggest slow convergence or weak preconditioning.</w:t>
            </w:r>
          </w:p>
        </w:tc>
      </w:tr>
      <w:tr>
        <w:tc>
          <w:tcPr>
            <w:tcW w:type="dxa" w:w="2376"/>
            <w:vAlign w:val="center"/>
          </w:tcPr>
          <w:p>
            <w:pPr>
              <w:spacing w:after="0"/>
            </w:pPr>
            <w:r/>
            <w:r>
              <w:rPr>
                <w:rFonts w:ascii="Calibri" w:hAnsi="Calibri"/>
                <w:b w:val="0"/>
                <w:sz w:val="19"/>
              </w:rPr>
              <w:t>summary_total_time_seconds</w:t>
            </w:r>
          </w:p>
        </w:tc>
        <w:tc>
          <w:tcPr>
            <w:tcW w:type="dxa" w:w="3671"/>
            <w:vAlign w:val="center"/>
          </w:tcPr>
          <w:p>
            <w:pPr>
              <w:spacing w:after="0"/>
            </w:pPr>
            <w:r/>
            <w:r>
              <w:rPr>
                <w:rFonts w:ascii="Calibri" w:hAnsi="Calibri"/>
                <w:b w:val="0"/>
                <w:sz w:val="19"/>
              </w:rPr>
              <w:t>Total time measured by the solver internals.</w:t>
            </w:r>
          </w:p>
        </w:tc>
        <w:tc>
          <w:tcPr>
            <w:tcW w:type="dxa" w:w="3311"/>
            <w:vAlign w:val="center"/>
          </w:tcPr>
          <w:p>
            <w:pPr>
              <w:spacing w:after="0"/>
            </w:pPr>
            <w:r/>
            <w:r>
              <w:rPr>
                <w:rFonts w:ascii="Calibri" w:hAnsi="Calibri"/>
                <w:b w:val="0"/>
                <w:sz w:val="19"/>
              </w:rPr>
              <w:t>Useful for comparing algorithms under the same setup.</w:t>
            </w:r>
          </w:p>
        </w:tc>
      </w:tr>
      <w:tr>
        <w:tc>
          <w:tcPr>
            <w:tcW w:type="dxa" w:w="2376"/>
            <w:vAlign w:val="center"/>
          </w:tcPr>
          <w:p>
            <w:pPr>
              <w:spacing w:after="0"/>
            </w:pPr>
            <w:r/>
            <w:r>
              <w:rPr>
                <w:rFonts w:ascii="Calibri" w:hAnsi="Calibri"/>
                <w:b w:val="0"/>
                <w:sz w:val="19"/>
              </w:rPr>
              <w:t>wall_time_seconds</w:t>
            </w:r>
          </w:p>
        </w:tc>
        <w:tc>
          <w:tcPr>
            <w:tcW w:type="dxa" w:w="3671"/>
            <w:vAlign w:val="center"/>
          </w:tcPr>
          <w:p>
            <w:pPr>
              <w:spacing w:after="0"/>
            </w:pPr>
            <w:r/>
            <w:r>
              <w:rPr>
                <w:rFonts w:ascii="Calibri" w:hAnsi="Calibri"/>
                <w:b w:val="0"/>
                <w:sz w:val="19"/>
              </w:rPr>
              <w:t>External elapsed time measured by the launcher.</w:t>
            </w:r>
          </w:p>
        </w:tc>
        <w:tc>
          <w:tcPr>
            <w:tcW w:type="dxa" w:w="3311"/>
            <w:vAlign w:val="center"/>
          </w:tcPr>
          <w:p>
            <w:pPr>
              <w:spacing w:after="0"/>
            </w:pPr>
            <w:r/>
            <w:r>
              <w:rPr>
                <w:rFonts w:ascii="Calibri" w:hAnsi="Calibri"/>
                <w:b w:val="0"/>
                <w:sz w:val="19"/>
              </w:rPr>
              <w:t>Includes Python startup, script preparation, export, and logging.</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4F6F9"/>
          </w:tcPr>
          <w:p>
            <w:pPr>
              <w:spacing w:after="60"/>
            </w:pPr>
            <w:r>
              <w:rPr>
                <w:b/>
                <w:color w:val="1F4D78"/>
                <w:sz w:val="21"/>
              </w:rPr>
              <w:t>Practical reading</w:t>
            </w:r>
          </w:p>
          <w:p>
            <w:pPr>
              <w:spacing w:after="0"/>
            </w:pPr>
            <w:r>
              <w:rPr>
                <w:sz w:val="20"/>
              </w:rPr>
              <w:t>If assembly is fast but solve time is high, improve preconditioning or boundary conditions. If setup/assembly is slow, improve matrix construction, file location, or use the voxel-specialized MRBR path. If GAMG setup uses too much memory, reduce MPI ranks or try a simpler PETSc preconditioner.</w:t>
            </w:r>
          </w:p>
        </w:tc>
      </w:tr>
    </w:tbl>
    <w:p/>
    <w:p>
      <w:pPr>
        <w:pStyle w:val="Heading1"/>
      </w:pPr>
      <w:r>
        <w:t>5. Windows tutorial: using VoxFE-UV 0.41</w:t>
      </w:r>
    </w:p>
    <w:p>
      <w:pPr>
        <w:pStyle w:val="Heading2"/>
      </w:pPr>
      <w:r>
        <w:t>5.1 Launching the application</w:t>
      </w:r>
    </w:p>
    <w:p>
      <w:pPr>
        <w:pStyle w:val="ListNumber"/>
      </w:pPr>
      <w:r>
        <w:t>Open the 01_Windows_VoxFE_UV_0_40 folder.</w:t>
      </w:r>
    </w:p>
    <w:p>
      <w:pPr>
        <w:pStyle w:val="ListNumber"/>
      </w:pPr>
      <w:r>
        <w:t>Double-click LAUNCH_VoxFE_UV_0_40_WINDOWS.bat.</w:t>
      </w:r>
    </w:p>
    <w:p>
      <w:pPr>
        <w:pStyle w:val="ListNumber"/>
      </w:pPr>
      <w:r>
        <w:t>If the app does not start, run INSTALL_OR_UPDATE_DEPENDENCIES.bat and try again.</w:t>
      </w:r>
    </w:p>
    <w:p>
      <w:pPr>
        <w:pStyle w:val="ListNumber"/>
      </w:pPr>
      <w:r>
        <w:t>Use Open or Import project to load an existing model.</w:t>
      </w:r>
    </w:p>
    <w:p>
      <w:pPr>
        <w:pStyle w:val="Heading2"/>
      </w:pPr>
      <w:r>
        <w:t>5.2 Importing a model and script</w:t>
      </w:r>
    </w:p>
    <w:p>
      <w:pPr>
        <w:pStyle w:val="ListNumber"/>
      </w:pPr>
      <w:r>
        <w:t>Load model.txt or an existing VoxFE-UV project.</w:t>
      </w:r>
    </w:p>
    <w:p>
      <w:pPr>
        <w:pStyle w:val="ListNumber"/>
      </w:pPr>
      <w:r>
        <w:t>Import Script.txt to recover materials, voxel size, forces, and constraints.</w:t>
      </w:r>
    </w:p>
    <w:p>
      <w:pPr>
        <w:pStyle w:val="ListNumber"/>
      </w:pPr>
      <w:r>
        <w:t>Open Properties and check voxel size, bounds, voxel count, and material IDs.</w:t>
      </w:r>
    </w:p>
    <w:p>
      <w:pPr>
        <w:pStyle w:val="ListNumber"/>
      </w:pPr>
      <w:r>
        <w:t>In Materials/Solver, verify that every material has the correct E and nu.</w:t>
      </w:r>
    </w:p>
    <w:p>
      <w:pPr>
        <w:pStyle w:val="Heading2"/>
      </w:pPr>
      <w:r>
        <w:t>5.3 Defining materials</w:t>
      </w:r>
    </w:p>
    <w:p>
      <w:r>
        <w:t>The safest convention is to treat materials as numerical IDs with neutral labels. For example, MATERIAL_2 can be renamed cortical bone or trabecular bone for readability, but the solver uses the ID and numerical E, nu values.</w:t>
      </w:r>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c>
          <w:tcPr>
            <w:tcW w:type="dxa" w:w="936"/>
            <w:vAlign w:val="center"/>
            <w:shd w:fill="E8EEF5"/>
          </w:tcPr>
          <w:p>
            <w:pPr>
              <w:spacing w:after="0"/>
            </w:pPr>
            <w:r/>
            <w:r>
              <w:rPr>
                <w:rFonts w:ascii="Calibri" w:hAnsi="Calibri"/>
                <w:b/>
                <w:color w:val="1F4D78"/>
                <w:sz w:val="19"/>
              </w:rPr>
              <w:t>Step</w:t>
            </w:r>
          </w:p>
        </w:tc>
        <w:tc>
          <w:tcPr>
            <w:tcW w:type="dxa" w:w="4248"/>
            <w:vAlign w:val="center"/>
            <w:shd w:fill="E8EEF5"/>
          </w:tcPr>
          <w:p>
            <w:pPr>
              <w:spacing w:after="0"/>
            </w:pPr>
            <w:r/>
            <w:r>
              <w:rPr>
                <w:rFonts w:ascii="Calibri" w:hAnsi="Calibri"/>
                <w:b/>
                <w:color w:val="1F4D78"/>
                <w:sz w:val="19"/>
              </w:rPr>
              <w:t>Action</w:t>
            </w:r>
          </w:p>
        </w:tc>
        <w:tc>
          <w:tcPr>
            <w:tcW w:type="dxa" w:w="4176"/>
            <w:vAlign w:val="center"/>
            <w:shd w:fill="E8EEF5"/>
          </w:tcPr>
          <w:p>
            <w:pPr>
              <w:spacing w:after="0"/>
            </w:pPr>
            <w:r/>
            <w:r>
              <w:rPr>
                <w:rFonts w:ascii="Calibri" w:hAnsi="Calibri"/>
                <w:b/>
                <w:color w:val="1F4D78"/>
                <w:sz w:val="19"/>
              </w:rPr>
              <w:t>Check</w:t>
            </w:r>
          </w:p>
        </w:tc>
      </w:tr>
      <w:tr>
        <w:tc>
          <w:tcPr>
            <w:tcW w:type="dxa" w:w="936"/>
            <w:vAlign w:val="center"/>
          </w:tcPr>
          <w:p>
            <w:pPr>
              <w:spacing w:after="0"/>
            </w:pPr>
            <w:r/>
            <w:r>
              <w:rPr>
                <w:rFonts w:ascii="Calibri" w:hAnsi="Calibri"/>
                <w:b w:val="0"/>
                <w:sz w:val="19"/>
              </w:rPr>
              <w:t>1</w:t>
            </w:r>
          </w:p>
        </w:tc>
        <w:tc>
          <w:tcPr>
            <w:tcW w:type="dxa" w:w="4248"/>
            <w:vAlign w:val="center"/>
          </w:tcPr>
          <w:p>
            <w:pPr>
              <w:spacing w:after="0"/>
            </w:pPr>
            <w:r/>
            <w:r>
              <w:rPr>
                <w:rFonts w:ascii="Calibri" w:hAnsi="Calibri"/>
                <w:b w:val="0"/>
                <w:sz w:val="19"/>
              </w:rPr>
              <w:t>Open Materials/Solver.</w:t>
            </w:r>
          </w:p>
        </w:tc>
        <w:tc>
          <w:tcPr>
            <w:tcW w:type="dxa" w:w="4176"/>
            <w:vAlign w:val="center"/>
          </w:tcPr>
          <w:p>
            <w:pPr>
              <w:spacing w:after="0"/>
            </w:pPr>
            <w:r/>
            <w:r>
              <w:rPr>
                <w:rFonts w:ascii="Calibri" w:hAnsi="Calibri"/>
                <w:b w:val="0"/>
                <w:sz w:val="19"/>
              </w:rPr>
              <w:t>Verify the list of material IDs.</w:t>
            </w:r>
          </w:p>
        </w:tc>
      </w:tr>
      <w:tr>
        <w:tc>
          <w:tcPr>
            <w:tcW w:type="dxa" w:w="936"/>
            <w:vAlign w:val="center"/>
          </w:tcPr>
          <w:p>
            <w:pPr>
              <w:spacing w:after="0"/>
            </w:pPr>
            <w:r/>
            <w:r>
              <w:rPr>
                <w:rFonts w:ascii="Calibri" w:hAnsi="Calibri"/>
                <w:b w:val="0"/>
                <w:sz w:val="19"/>
              </w:rPr>
              <w:t>2</w:t>
            </w:r>
          </w:p>
        </w:tc>
        <w:tc>
          <w:tcPr>
            <w:tcW w:type="dxa" w:w="4248"/>
            <w:vAlign w:val="center"/>
          </w:tcPr>
          <w:p>
            <w:pPr>
              <w:spacing w:after="0"/>
            </w:pPr>
            <w:r/>
            <w:r>
              <w:rPr>
                <w:rFonts w:ascii="Calibri" w:hAnsi="Calibri"/>
                <w:b w:val="0"/>
                <w:sz w:val="19"/>
              </w:rPr>
              <w:t>Select a material.</w:t>
            </w:r>
          </w:p>
        </w:tc>
        <w:tc>
          <w:tcPr>
            <w:tcW w:type="dxa" w:w="4176"/>
            <w:vAlign w:val="center"/>
          </w:tcPr>
          <w:p>
            <w:pPr>
              <w:spacing w:after="0"/>
            </w:pPr>
            <w:r/>
            <w:r>
              <w:rPr>
                <w:rFonts w:ascii="Calibri" w:hAnsi="Calibri"/>
                <w:b w:val="0"/>
                <w:sz w:val="19"/>
              </w:rPr>
              <w:t>Check Young's modulus in Pa.</w:t>
            </w:r>
          </w:p>
        </w:tc>
      </w:tr>
      <w:tr>
        <w:tc>
          <w:tcPr>
            <w:tcW w:type="dxa" w:w="936"/>
            <w:vAlign w:val="center"/>
          </w:tcPr>
          <w:p>
            <w:pPr>
              <w:spacing w:after="0"/>
            </w:pPr>
            <w:r/>
            <w:r>
              <w:rPr>
                <w:rFonts w:ascii="Calibri" w:hAnsi="Calibri"/>
                <w:b w:val="0"/>
                <w:sz w:val="19"/>
              </w:rPr>
              <w:t>3</w:t>
            </w:r>
          </w:p>
        </w:tc>
        <w:tc>
          <w:tcPr>
            <w:tcW w:type="dxa" w:w="4248"/>
            <w:vAlign w:val="center"/>
          </w:tcPr>
          <w:p>
            <w:pPr>
              <w:spacing w:after="0"/>
            </w:pPr>
            <w:r/>
            <w:r>
              <w:rPr>
                <w:rFonts w:ascii="Calibri" w:hAnsi="Calibri"/>
                <w:b w:val="0"/>
                <w:sz w:val="19"/>
              </w:rPr>
              <w:t>Set Poisson's ratio.</w:t>
            </w:r>
          </w:p>
        </w:tc>
        <w:tc>
          <w:tcPr>
            <w:tcW w:type="dxa" w:w="4176"/>
            <w:vAlign w:val="center"/>
          </w:tcPr>
          <w:p>
            <w:pPr>
              <w:spacing w:after="0"/>
            </w:pPr>
            <w:r/>
            <w:r>
              <w:rPr>
                <w:rFonts w:ascii="Calibri" w:hAnsi="Calibri"/>
                <w:b w:val="0"/>
                <w:sz w:val="19"/>
              </w:rPr>
              <w:t>Use a value appropriate for the specimen/material.</w:t>
            </w:r>
          </w:p>
        </w:tc>
      </w:tr>
      <w:tr>
        <w:tc>
          <w:tcPr>
            <w:tcW w:type="dxa" w:w="936"/>
            <w:vAlign w:val="center"/>
          </w:tcPr>
          <w:p>
            <w:pPr>
              <w:spacing w:after="0"/>
            </w:pPr>
            <w:r/>
            <w:r>
              <w:rPr>
                <w:rFonts w:ascii="Calibri" w:hAnsi="Calibri"/>
                <w:b w:val="0"/>
                <w:sz w:val="19"/>
              </w:rPr>
              <w:t>4</w:t>
            </w:r>
          </w:p>
        </w:tc>
        <w:tc>
          <w:tcPr>
            <w:tcW w:type="dxa" w:w="4248"/>
            <w:vAlign w:val="center"/>
          </w:tcPr>
          <w:p>
            <w:pPr>
              <w:spacing w:after="0"/>
            </w:pPr>
            <w:r/>
            <w:r>
              <w:rPr>
                <w:rFonts w:ascii="Calibri" w:hAnsi="Calibri"/>
                <w:b w:val="0"/>
                <w:sz w:val="19"/>
              </w:rPr>
              <w:t>Export the script.</w:t>
            </w:r>
          </w:p>
        </w:tc>
        <w:tc>
          <w:tcPr>
            <w:tcW w:type="dxa" w:w="4176"/>
            <w:vAlign w:val="center"/>
          </w:tcPr>
          <w:p>
            <w:pPr>
              <w:spacing w:after="0"/>
            </w:pPr>
            <w:r/>
            <w:r>
              <w:rPr>
                <w:rFonts w:ascii="Calibri" w:hAnsi="Calibri"/>
                <w:b w:val="0"/>
                <w:sz w:val="19"/>
              </w:rPr>
              <w:t>Reopen the script if you need to inspect MATERIAL lines.</w:t>
            </w:r>
          </w:p>
        </w:tc>
      </w:tr>
    </w:tbl>
    <w:p/>
    <w:p>
      <w:pPr>
        <w:pStyle w:val="Heading2"/>
      </w:pPr>
      <w:r>
        <w:t>5.4 Defining constraints and forces</w:t>
      </w:r>
    </w:p>
    <w:p>
      <w:pPr>
        <w:pStyle w:val="ListNumber"/>
      </w:pPr>
      <w:r>
        <w:t>Use the selection tools to create node or voxel groups.</w:t>
      </w:r>
    </w:p>
    <w:p>
      <w:pPr>
        <w:pStyle w:val="ListNumber"/>
      </w:pPr>
      <w:r>
        <w:t>Save a group as a constraint if it represents prescribed displacement.</w:t>
      </w:r>
    </w:p>
    <w:p>
      <w:pPr>
        <w:pStyle w:val="ListNumber"/>
      </w:pPr>
      <w:r>
        <w:t>Save a group as a force if it represents an applied load.</w:t>
      </w:r>
    </w:p>
    <w:p>
      <w:pPr>
        <w:pStyle w:val="ListNumber"/>
      </w:pPr>
      <w:r>
        <w:t>Verify magnitude, normalized direction, and visual arrow thickness.</w:t>
      </w:r>
    </w:p>
    <w:p>
      <w:pPr>
        <w:pStyle w:val="ListNumber"/>
      </w:pPr>
      <w:r>
        <w:t>Use distinct colours for different groups and check the active selection before export.</w:t>
      </w:r>
    </w:p>
    <w:p>
      <w:pPr>
        <w:pStyle w:val="Heading2"/>
      </w:pPr>
      <w:r>
        <w:t>5.5 Solving on Windows</w:t>
      </w:r>
    </w:p>
    <w:p>
      <w:pPr>
        <w:pStyle w:val="ListNumber"/>
      </w:pPr>
      <w:r>
        <w:t>Export the project/script from the GUI.</w:t>
      </w:r>
    </w:p>
    <w:p>
      <w:pPr>
        <w:pStyle w:val="ListNumber"/>
      </w:pPr>
      <w:r>
        <w:t>For the included validation case, run RUN_MACAQUE_OLD_WINDOWS_MRBRJAPCG_0_40.bat.</w:t>
      </w:r>
    </w:p>
    <w:p>
      <w:pPr>
        <w:pStyle w:val="ListNumber"/>
      </w:pPr>
      <w:r>
        <w:t>For a custom model, copy the BAT and modify CASE_DIR, or place the script in the model folder.</w:t>
      </w:r>
    </w:p>
    <w:p>
      <w:pPr>
        <w:pStyle w:val="ListNumber"/>
      </w:pPr>
      <w:r>
        <w:t>During the run, inspect residual_history.csv and the solver log.</w:t>
      </w:r>
    </w:p>
    <w:p>
      <w:pPr>
        <w:pStyle w:val="ListNumber"/>
      </w:pPr>
      <w:r>
        <w:t>After solving, import displacement.txt into the GUI and inspect displacement magnitude and deformed shape.</w:t>
      </w:r>
    </w:p>
    <w:p>
      <w:pPr>
        <w:pStyle w:val="Heading1"/>
      </w:pPr>
      <w:r>
        <w:t>6. Ubuntu/WSL2 tutorial: PETSc/MPI solver</w:t>
      </w:r>
    </w:p>
    <w:p>
      <w:pPr>
        <w:pStyle w:val="Heading2"/>
      </w:pPr>
      <w:r>
        <w:t>6.1 Installing WSL2 and Ubuntu</w:t>
      </w:r>
    </w:p>
    <w:p>
      <w:pPr>
        <w:pStyle w:val="ListNumber"/>
      </w:pPr>
      <w:r>
        <w:t>From Windows, open PowerShell or Command Prompt as administrator if WSL is not installed.</w:t>
      </w:r>
    </w:p>
    <w:p>
      <w:pPr>
        <w:pStyle w:val="ListNumber"/>
      </w:pPr>
      <w:r>
        <w:t>Run: wsl --install -d Ubuntu.</w:t>
      </w:r>
    </w:p>
    <w:p>
      <w:pPr>
        <w:pStyle w:val="ListNumber"/>
      </w:pPr>
      <w:r>
        <w:t>If Ubuntu already exists, check it with: wsl -l -v.</w:t>
      </w:r>
    </w:p>
    <w:p>
      <w:pPr>
        <w:pStyle w:val="ListNumber"/>
      </w:pPr>
      <w:r>
        <w:t>Open Ubuntu from the Start menu or run: wsl -d Ubuntu.</w:t>
      </w:r>
    </w:p>
    <w:p>
      <w:pPr>
        <w:pStyle w:val="Heading2"/>
      </w:pPr>
      <w:r>
        <w:t>6.2 Installing Miniforge and PETSc</w:t>
      </w:r>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Download Miniforge</w:t>
            </w:r>
          </w:p>
          <w:p>
            <w:pPr>
              <w:spacing w:before="40" w:after="40"/>
              <w:jc w:val="center"/>
            </w:pPr>
            <w:r>
              <w:rPr>
                <w:rFonts w:ascii="Cambria Math" w:hAnsi="Cambria Math"/>
                <w:color w:val="0B2545"/>
                <w:sz w:val="26"/>
              </w:rPr>
              <w:t>wget -O Miniforge3.sh https://github.com/conda-forge/miniforge/releases/latest/download/Miniforge3-Linux-x86_64.sh</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Install</w:t>
            </w:r>
          </w:p>
          <w:p>
            <w:pPr>
              <w:spacing w:before="40" w:after="40"/>
              <w:jc w:val="center"/>
            </w:pPr>
            <w:r>
              <w:rPr>
                <w:rFonts w:ascii="Cambria Math" w:hAnsi="Cambria Math"/>
                <w:color w:val="0B2545"/>
                <w:sz w:val="26"/>
              </w:rPr>
              <w:t>bash Miniforge3.sh</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Enable conda</w:t>
            </w:r>
          </w:p>
          <w:p>
            <w:pPr>
              <w:spacing w:before="40" w:after="40"/>
              <w:jc w:val="center"/>
            </w:pPr>
            <w:r>
              <w:rPr>
                <w:rFonts w:ascii="Cambria Math" w:hAnsi="Cambria Math"/>
                <w:color w:val="0B2545"/>
                <w:sz w:val="26"/>
              </w:rPr>
              <w:t>source ~/miniforge3/etc/profile.d/conda.sh</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Create environment</w:t>
            </w:r>
          </w:p>
          <w:p>
            <w:pPr>
              <w:spacing w:before="40" w:after="40"/>
              <w:jc w:val="center"/>
            </w:pPr>
            <w:r>
              <w:rPr>
                <w:rFonts w:ascii="Cambria Math" w:hAnsi="Cambria Math"/>
                <w:color w:val="0B2545"/>
                <w:sz w:val="26"/>
              </w:rPr>
              <w:t>conda create -n voxfe-petsc-mpi -c conda-forge python=3.11 numpy scipy mpi4py petsc petsc4py openmpi -y</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Activate environment</w:t>
            </w:r>
          </w:p>
          <w:p>
            <w:pPr>
              <w:spacing w:before="40" w:after="40"/>
              <w:jc w:val="center"/>
            </w:pPr>
            <w:r>
              <w:rPr>
                <w:rFonts w:ascii="Cambria Math" w:hAnsi="Cambria Math"/>
                <w:color w:val="0B2545"/>
                <w:sz w:val="26"/>
              </w:rPr>
              <w:t>conda activate voxfe-petsc-mpi</w:t>
            </w:r>
          </w:p>
        </w:tc>
      </w:tr>
    </w:tbl>
    <w:p/>
    <w:p>
      <w:pPr>
        <w:pStyle w:val="Heading2"/>
      </w:pPr>
      <w:r>
        <w:t>6.3 Copying the solver folder into Ubuntu</w:t>
      </w:r>
    </w:p>
    <w:p>
      <w:r>
        <w:t>For better performance, copy the solver folder into the Ubuntu home directory. Avoid solving large models directly from /mnt/c when possible, because Windows-to-WSL file I/O can be slower.</w:t>
      </w:r>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Example copy command</w:t>
            </w:r>
          </w:p>
          <w:p>
            <w:pPr>
              <w:spacing w:before="40" w:after="40"/>
              <w:jc w:val="center"/>
            </w:pPr>
            <w:r>
              <w:rPr>
                <w:rFonts w:ascii="Cambria Math" w:hAnsi="Cambria Math"/>
                <w:color w:val="0B2545"/>
                <w:sz w:val="26"/>
              </w:rPr>
              <w:t>cp -r "/mnt/c/path/to/VoxFE_0.41/02_Ubuntu_WSL_PETSc_MPI_0_40" ~/VoxFE_0.41</w:t>
            </w:r>
          </w:p>
        </w:tc>
      </w:tr>
    </w:tbl>
    <w:p/>
    <w:p>
      <w:pPr>
        <w:pStyle w:val="Heading2"/>
      </w:pPr>
      <w:r>
        <w:t>6.4 Running a model</w:t>
      </w:r>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Macaque validation model</w:t>
            </w:r>
          </w:p>
          <w:p>
            <w:pPr>
              <w:spacing w:before="40" w:after="40"/>
              <w:jc w:val="center"/>
            </w:pPr>
            <w:r>
              <w:rPr>
                <w:rFonts w:ascii="Cambria Math" w:hAnsi="Cambria Math"/>
                <w:color w:val="0B2545"/>
                <w:sz w:val="26"/>
              </w:rPr>
              <w:t>cd ~/VoxFE_0.41 &amp;&amp; MPI_PROCS=4 METHOD=PETSCGAMG bash ./solve_macaque_old_petsc_mpi_0_40.sh</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Macaque 2.5M model</w:t>
            </w:r>
          </w:p>
          <w:p>
            <w:pPr>
              <w:spacing w:before="40" w:after="40"/>
              <w:jc w:val="center"/>
            </w:pPr>
            <w:r>
              <w:rPr>
                <w:rFonts w:ascii="Cambria Math" w:hAnsi="Cambria Math"/>
                <w:color w:val="0B2545"/>
                <w:sz w:val="26"/>
              </w:rPr>
              <w:t>cd ~/VoxFE_0.41 &amp;&amp; MPI_PROCS=4 METHOD=PETSCGAMG bash ./solve_macaque_2_5m_petsc_mpi_0_40.sh</w:t>
            </w:r>
          </w:p>
        </w:tc>
      </w:tr>
    </w:tbl>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c>
          <w:tcPr>
            <w:tcW w:type="dxa" w:w="1800"/>
            <w:vAlign w:val="center"/>
            <w:shd w:fill="E8EEF5"/>
          </w:tcPr>
          <w:p>
            <w:pPr>
              <w:spacing w:after="0"/>
            </w:pPr>
            <w:r/>
            <w:r>
              <w:rPr>
                <w:rFonts w:ascii="Calibri" w:hAnsi="Calibri"/>
                <w:b/>
                <w:color w:val="1F4D78"/>
                <w:sz w:val="19"/>
              </w:rPr>
              <w:t>Variable</w:t>
            </w:r>
          </w:p>
        </w:tc>
        <w:tc>
          <w:tcPr>
            <w:tcW w:type="dxa" w:w="2376"/>
            <w:vAlign w:val="center"/>
            <w:shd w:fill="E8EEF5"/>
          </w:tcPr>
          <w:p>
            <w:pPr>
              <w:spacing w:after="0"/>
            </w:pPr>
            <w:r/>
            <w:r>
              <w:rPr>
                <w:rFonts w:ascii="Calibri" w:hAnsi="Calibri"/>
                <w:b/>
                <w:color w:val="1F4D78"/>
                <w:sz w:val="19"/>
              </w:rPr>
              <w:t>Example</w:t>
            </w:r>
          </w:p>
        </w:tc>
        <w:tc>
          <w:tcPr>
            <w:tcW w:type="dxa" w:w="5184"/>
            <w:vAlign w:val="center"/>
            <w:shd w:fill="E8EEF5"/>
          </w:tcPr>
          <w:p>
            <w:pPr>
              <w:spacing w:after="0"/>
            </w:pPr>
            <w:r/>
            <w:r>
              <w:rPr>
                <w:rFonts w:ascii="Calibri" w:hAnsi="Calibri"/>
                <w:b/>
                <w:color w:val="1F4D78"/>
                <w:sz w:val="19"/>
              </w:rPr>
              <w:t>Meaning</w:t>
            </w:r>
          </w:p>
        </w:tc>
      </w:tr>
      <w:tr>
        <w:tc>
          <w:tcPr>
            <w:tcW w:type="dxa" w:w="1800"/>
            <w:vAlign w:val="center"/>
          </w:tcPr>
          <w:p>
            <w:pPr>
              <w:spacing w:after="0"/>
            </w:pPr>
            <w:r/>
            <w:r>
              <w:rPr>
                <w:rFonts w:ascii="Calibri" w:hAnsi="Calibri"/>
                <w:b w:val="0"/>
                <w:sz w:val="19"/>
              </w:rPr>
              <w:t>MPI_PROCS</w:t>
            </w:r>
          </w:p>
        </w:tc>
        <w:tc>
          <w:tcPr>
            <w:tcW w:type="dxa" w:w="2376"/>
            <w:vAlign w:val="center"/>
          </w:tcPr>
          <w:p>
            <w:pPr>
              <w:spacing w:after="0"/>
            </w:pPr>
            <w:r/>
            <w:r>
              <w:rPr>
                <w:rFonts w:ascii="Calibri" w:hAnsi="Calibri"/>
                <w:b w:val="0"/>
                <w:sz w:val="19"/>
              </w:rPr>
              <w:t>4</w:t>
            </w:r>
          </w:p>
        </w:tc>
        <w:tc>
          <w:tcPr>
            <w:tcW w:type="dxa" w:w="5184"/>
            <w:vAlign w:val="center"/>
          </w:tcPr>
          <w:p>
            <w:pPr>
              <w:spacing w:after="0"/>
            </w:pPr>
            <w:r/>
            <w:r>
              <w:rPr>
                <w:rFonts w:ascii="Calibri" w:hAnsi="Calibri"/>
                <w:b w:val="0"/>
                <w:sz w:val="19"/>
              </w:rPr>
              <w:t>Number of MPI processes. Start with 4 on a 32 GB RAM machine.</w:t>
            </w:r>
          </w:p>
        </w:tc>
      </w:tr>
      <w:tr>
        <w:tc>
          <w:tcPr>
            <w:tcW w:type="dxa" w:w="1800"/>
            <w:vAlign w:val="center"/>
          </w:tcPr>
          <w:p>
            <w:pPr>
              <w:spacing w:after="0"/>
            </w:pPr>
            <w:r/>
            <w:r>
              <w:rPr>
                <w:rFonts w:ascii="Calibri" w:hAnsi="Calibri"/>
                <w:b w:val="0"/>
                <w:sz w:val="19"/>
              </w:rPr>
              <w:t>METHOD</w:t>
            </w:r>
          </w:p>
        </w:tc>
        <w:tc>
          <w:tcPr>
            <w:tcW w:type="dxa" w:w="2376"/>
            <w:vAlign w:val="center"/>
          </w:tcPr>
          <w:p>
            <w:pPr>
              <w:spacing w:after="0"/>
            </w:pPr>
            <w:r/>
            <w:r>
              <w:rPr>
                <w:rFonts w:ascii="Calibri" w:hAnsi="Calibri"/>
                <w:b w:val="0"/>
                <w:sz w:val="19"/>
              </w:rPr>
              <w:t>PETSCGAMG</w:t>
            </w:r>
          </w:p>
        </w:tc>
        <w:tc>
          <w:tcPr>
            <w:tcW w:type="dxa" w:w="5184"/>
            <w:vAlign w:val="center"/>
          </w:tcPr>
          <w:p>
            <w:pPr>
              <w:spacing w:after="0"/>
            </w:pPr>
            <w:r/>
            <w:r>
              <w:rPr>
                <w:rFonts w:ascii="Calibri" w:hAnsi="Calibri"/>
                <w:b w:val="0"/>
                <w:sz w:val="19"/>
              </w:rPr>
              <w:t>Solver method. PETSCGAMG is the recommended Ubuntu default.</w:t>
            </w:r>
          </w:p>
        </w:tc>
      </w:tr>
      <w:tr>
        <w:tc>
          <w:tcPr>
            <w:tcW w:type="dxa" w:w="1800"/>
            <w:vAlign w:val="center"/>
          </w:tcPr>
          <w:p>
            <w:pPr>
              <w:spacing w:after="0"/>
            </w:pPr>
            <w:r/>
            <w:r>
              <w:rPr>
                <w:rFonts w:ascii="Calibri" w:hAnsi="Calibri"/>
                <w:b w:val="0"/>
                <w:sz w:val="19"/>
              </w:rPr>
              <w:t>TOLERANCE</w:t>
            </w:r>
          </w:p>
        </w:tc>
        <w:tc>
          <w:tcPr>
            <w:tcW w:type="dxa" w:w="2376"/>
            <w:vAlign w:val="center"/>
          </w:tcPr>
          <w:p>
            <w:pPr>
              <w:spacing w:after="0"/>
            </w:pPr>
            <w:r/>
            <w:r>
              <w:rPr>
                <w:rFonts w:ascii="Calibri" w:hAnsi="Calibri"/>
                <w:b w:val="0"/>
                <w:sz w:val="19"/>
              </w:rPr>
              <w:t>1e-06</w:t>
            </w:r>
          </w:p>
        </w:tc>
        <w:tc>
          <w:tcPr>
            <w:tcW w:type="dxa" w:w="5184"/>
            <w:vAlign w:val="center"/>
          </w:tcPr>
          <w:p>
            <w:pPr>
              <w:spacing w:after="0"/>
            </w:pPr>
            <w:r/>
            <w:r>
              <w:rPr>
                <w:rFonts w:ascii="Calibri" w:hAnsi="Calibri"/>
                <w:b w:val="0"/>
                <w:sz w:val="19"/>
              </w:rPr>
              <w:t>Numerical convergence tolerance.</w:t>
            </w:r>
          </w:p>
        </w:tc>
      </w:tr>
      <w:tr>
        <w:tc>
          <w:tcPr>
            <w:tcW w:type="dxa" w:w="1800"/>
            <w:vAlign w:val="center"/>
          </w:tcPr>
          <w:p>
            <w:pPr>
              <w:spacing w:after="0"/>
            </w:pPr>
            <w:r/>
            <w:r>
              <w:rPr>
                <w:rFonts w:ascii="Calibri" w:hAnsi="Calibri"/>
                <w:b w:val="0"/>
                <w:sz w:val="19"/>
              </w:rPr>
              <w:t>MAX_ITER</w:t>
            </w:r>
          </w:p>
        </w:tc>
        <w:tc>
          <w:tcPr>
            <w:tcW w:type="dxa" w:w="2376"/>
            <w:vAlign w:val="center"/>
          </w:tcPr>
          <w:p>
            <w:pPr>
              <w:spacing w:after="0"/>
            </w:pPr>
            <w:r/>
            <w:r>
              <w:rPr>
                <w:rFonts w:ascii="Calibri" w:hAnsi="Calibri"/>
                <w:b w:val="0"/>
                <w:sz w:val="19"/>
              </w:rPr>
              <w:t>60000</w:t>
            </w:r>
          </w:p>
        </w:tc>
        <w:tc>
          <w:tcPr>
            <w:tcW w:type="dxa" w:w="5184"/>
            <w:vAlign w:val="center"/>
          </w:tcPr>
          <w:p>
            <w:pPr>
              <w:spacing w:after="0"/>
            </w:pPr>
            <w:r/>
            <w:r>
              <w:rPr>
                <w:rFonts w:ascii="Calibri" w:hAnsi="Calibri"/>
                <w:b w:val="0"/>
                <w:sz w:val="19"/>
              </w:rPr>
              <w:t>Maximum iteration count.</w:t>
            </w:r>
          </w:p>
        </w:tc>
      </w:tr>
    </w:tbl>
    <w:p/>
    <w:p>
      <w:pPr>
        <w:pStyle w:val="Heading1"/>
      </w:pPr>
      <w:r>
        <w:t>7. Understanding output files</w:t>
      </w:r>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c>
          <w:tcPr>
            <w:tcW w:type="dxa" w:w="2520"/>
            <w:vAlign w:val="center"/>
            <w:shd w:fill="E8EEF5"/>
          </w:tcPr>
          <w:p>
            <w:pPr>
              <w:spacing w:after="0"/>
            </w:pPr>
            <w:r/>
            <w:r>
              <w:rPr>
                <w:rFonts w:ascii="Calibri" w:hAnsi="Calibri"/>
                <w:b/>
                <w:color w:val="1F4D78"/>
                <w:sz w:val="19"/>
              </w:rPr>
              <w:t>File</w:t>
            </w:r>
          </w:p>
        </w:tc>
        <w:tc>
          <w:tcPr>
            <w:tcW w:type="dxa" w:w="3960"/>
            <w:vAlign w:val="center"/>
            <w:shd w:fill="E8EEF5"/>
          </w:tcPr>
          <w:p>
            <w:pPr>
              <w:spacing w:after="0"/>
            </w:pPr>
            <w:r/>
            <w:r>
              <w:rPr>
                <w:rFonts w:ascii="Calibri" w:hAnsi="Calibri"/>
                <w:b/>
                <w:color w:val="1F4D78"/>
                <w:sz w:val="19"/>
              </w:rPr>
              <w:t>Content</w:t>
            </w:r>
          </w:p>
        </w:tc>
        <w:tc>
          <w:tcPr>
            <w:tcW w:type="dxa" w:w="2880"/>
            <w:vAlign w:val="center"/>
            <w:shd w:fill="E8EEF5"/>
          </w:tcPr>
          <w:p>
            <w:pPr>
              <w:spacing w:after="0"/>
            </w:pPr>
            <w:r/>
            <w:r>
              <w:rPr>
                <w:rFonts w:ascii="Calibri" w:hAnsi="Calibri"/>
                <w:b/>
                <w:color w:val="1F4D78"/>
                <w:sz w:val="19"/>
              </w:rPr>
              <w:t>Use</w:t>
            </w:r>
          </w:p>
        </w:tc>
      </w:tr>
      <w:tr>
        <w:tc>
          <w:tcPr>
            <w:tcW w:type="dxa" w:w="2520"/>
            <w:vAlign w:val="center"/>
          </w:tcPr>
          <w:p>
            <w:pPr>
              <w:spacing w:after="0"/>
            </w:pPr>
            <w:r/>
            <w:r>
              <w:rPr>
                <w:rFonts w:ascii="Calibri" w:hAnsi="Calibri"/>
                <w:b w:val="0"/>
                <w:sz w:val="19"/>
              </w:rPr>
              <w:t>displacement.txt</w:t>
            </w:r>
          </w:p>
        </w:tc>
        <w:tc>
          <w:tcPr>
            <w:tcW w:type="dxa" w:w="3960"/>
            <w:vAlign w:val="center"/>
          </w:tcPr>
          <w:p>
            <w:pPr>
              <w:spacing w:after="0"/>
            </w:pPr>
            <w:r/>
            <w:r>
              <w:rPr>
                <w:rFonts w:ascii="Calibri" w:hAnsi="Calibri"/>
                <w:b w:val="0"/>
                <w:sz w:val="19"/>
              </w:rPr>
              <w:t>Nodal displacements ux, uy, uz.</w:t>
            </w:r>
          </w:p>
        </w:tc>
        <w:tc>
          <w:tcPr>
            <w:tcW w:type="dxa" w:w="2880"/>
            <w:vAlign w:val="center"/>
          </w:tcPr>
          <w:p>
            <w:pPr>
              <w:spacing w:after="0"/>
            </w:pPr>
            <w:r/>
            <w:r>
              <w:rPr>
                <w:rFonts w:ascii="Calibri" w:hAnsi="Calibri"/>
                <w:b w:val="0"/>
                <w:sz w:val="19"/>
              </w:rPr>
              <w:t>Import into the GUI and compute |u|.</w:t>
            </w:r>
          </w:p>
        </w:tc>
      </w:tr>
      <w:tr>
        <w:tc>
          <w:tcPr>
            <w:tcW w:type="dxa" w:w="2520"/>
            <w:vAlign w:val="center"/>
          </w:tcPr>
          <w:p>
            <w:pPr>
              <w:spacing w:after="0"/>
            </w:pPr>
            <w:r/>
            <w:r>
              <w:rPr>
                <w:rFonts w:ascii="Calibri" w:hAnsi="Calibri"/>
                <w:b w:val="0"/>
                <w:sz w:val="19"/>
              </w:rPr>
              <w:t>force.txt</w:t>
            </w:r>
          </w:p>
        </w:tc>
        <w:tc>
          <w:tcPr>
            <w:tcW w:type="dxa" w:w="3960"/>
            <w:vAlign w:val="center"/>
          </w:tcPr>
          <w:p>
            <w:pPr>
              <w:spacing w:after="0"/>
            </w:pPr>
            <w:r/>
            <w:r>
              <w:rPr>
                <w:rFonts w:ascii="Calibri" w:hAnsi="Calibri"/>
                <w:b w:val="0"/>
                <w:sz w:val="19"/>
              </w:rPr>
              <w:t>Forces actually exported/solved.</w:t>
            </w:r>
          </w:p>
        </w:tc>
        <w:tc>
          <w:tcPr>
            <w:tcW w:type="dxa" w:w="2880"/>
            <w:vAlign w:val="center"/>
          </w:tcPr>
          <w:p>
            <w:pPr>
              <w:spacing w:after="0"/>
            </w:pPr>
            <w:r/>
            <w:r>
              <w:rPr>
                <w:rFonts w:ascii="Calibri" w:hAnsi="Calibri"/>
                <w:b w:val="0"/>
                <w:sz w:val="19"/>
              </w:rPr>
              <w:t>Check magnitudes and directions.</w:t>
            </w:r>
          </w:p>
        </w:tc>
      </w:tr>
      <w:tr>
        <w:tc>
          <w:tcPr>
            <w:tcW w:type="dxa" w:w="2520"/>
            <w:vAlign w:val="center"/>
          </w:tcPr>
          <w:p>
            <w:pPr>
              <w:spacing w:after="0"/>
            </w:pPr>
            <w:r/>
            <w:r>
              <w:rPr>
                <w:rFonts w:ascii="Calibri" w:hAnsi="Calibri"/>
                <w:b w:val="0"/>
                <w:sz w:val="19"/>
              </w:rPr>
              <w:t>sed.csv</w:t>
            </w:r>
          </w:p>
        </w:tc>
        <w:tc>
          <w:tcPr>
            <w:tcW w:type="dxa" w:w="3960"/>
            <w:vAlign w:val="center"/>
          </w:tcPr>
          <w:p>
            <w:pPr>
              <w:spacing w:after="0"/>
            </w:pPr>
            <w:r/>
            <w:r>
              <w:rPr>
                <w:rFonts w:ascii="Calibri" w:hAnsi="Calibri"/>
                <w:b w:val="0"/>
                <w:sz w:val="19"/>
              </w:rPr>
              <w:t>Strain energy density or related energy values.</w:t>
            </w:r>
          </w:p>
        </w:tc>
        <w:tc>
          <w:tcPr>
            <w:tcW w:type="dxa" w:w="2880"/>
            <w:vAlign w:val="center"/>
          </w:tcPr>
          <w:p>
            <w:pPr>
              <w:spacing w:after="0"/>
            </w:pPr>
            <w:r/>
            <w:r>
              <w:rPr>
                <w:rFonts w:ascii="Calibri" w:hAnsi="Calibri"/>
                <w:b w:val="0"/>
                <w:sz w:val="19"/>
              </w:rPr>
              <w:t>Identify high-energy regions.</w:t>
            </w:r>
          </w:p>
        </w:tc>
      </w:tr>
      <w:tr>
        <w:tc>
          <w:tcPr>
            <w:tcW w:type="dxa" w:w="2520"/>
            <w:vAlign w:val="center"/>
          </w:tcPr>
          <w:p>
            <w:pPr>
              <w:spacing w:after="0"/>
            </w:pPr>
            <w:r/>
            <w:r>
              <w:rPr>
                <w:rFonts w:ascii="Calibri" w:hAnsi="Calibri"/>
                <w:b w:val="0"/>
                <w:sz w:val="19"/>
              </w:rPr>
              <w:t>residual_history.csv</w:t>
            </w:r>
          </w:p>
        </w:tc>
        <w:tc>
          <w:tcPr>
            <w:tcW w:type="dxa" w:w="3960"/>
            <w:vAlign w:val="center"/>
          </w:tcPr>
          <w:p>
            <w:pPr>
              <w:spacing w:after="0"/>
            </w:pPr>
            <w:r/>
            <w:r>
              <w:rPr>
                <w:rFonts w:ascii="Calibri" w:hAnsi="Calibri"/>
                <w:b w:val="0"/>
                <w:sz w:val="19"/>
              </w:rPr>
              <w:t>Residual values by iteration.</w:t>
            </w:r>
          </w:p>
        </w:tc>
        <w:tc>
          <w:tcPr>
            <w:tcW w:type="dxa" w:w="2880"/>
            <w:vAlign w:val="center"/>
          </w:tcPr>
          <w:p>
            <w:pPr>
              <w:spacing w:after="0"/>
            </w:pPr>
            <w:r/>
            <w:r>
              <w:rPr>
                <w:rFonts w:ascii="Calibri" w:hAnsi="Calibri"/>
                <w:b w:val="0"/>
                <w:sz w:val="19"/>
              </w:rPr>
              <w:t>Check convergence.</w:t>
            </w:r>
          </w:p>
        </w:tc>
      </w:tr>
      <w:tr>
        <w:tc>
          <w:tcPr>
            <w:tcW w:type="dxa" w:w="2520"/>
            <w:vAlign w:val="center"/>
          </w:tcPr>
          <w:p>
            <w:pPr>
              <w:spacing w:after="0"/>
            </w:pPr>
            <w:r/>
            <w:r>
              <w:rPr>
                <w:rFonts w:ascii="Calibri" w:hAnsi="Calibri"/>
                <w:b w:val="0"/>
                <w:sz w:val="19"/>
              </w:rPr>
              <w:t>voxfe_solver_summary.json</w:t>
            </w:r>
          </w:p>
        </w:tc>
        <w:tc>
          <w:tcPr>
            <w:tcW w:type="dxa" w:w="3960"/>
            <w:vAlign w:val="center"/>
          </w:tcPr>
          <w:p>
            <w:pPr>
              <w:spacing w:after="0"/>
            </w:pPr>
            <w:r/>
            <w:r>
              <w:rPr>
                <w:rFonts w:ascii="Calibri" w:hAnsi="Calibri"/>
                <w:b w:val="0"/>
                <w:sz w:val="19"/>
              </w:rPr>
              <w:t>Run metadata, timing, DOF, convergence status.</w:t>
            </w:r>
          </w:p>
        </w:tc>
        <w:tc>
          <w:tcPr>
            <w:tcW w:type="dxa" w:w="2880"/>
            <w:vAlign w:val="center"/>
          </w:tcPr>
          <w:p>
            <w:pPr>
              <w:spacing w:after="0"/>
            </w:pPr>
            <w:r/>
            <w:r>
              <w:rPr>
                <w:rFonts w:ascii="Calibri" w:hAnsi="Calibri"/>
                <w:b w:val="0"/>
                <w:sz w:val="19"/>
              </w:rPr>
              <w:t>Reporting and debugging.</w:t>
            </w:r>
          </w:p>
        </w:tc>
      </w:tr>
      <w:tr>
        <w:tc>
          <w:tcPr>
            <w:tcW w:type="dxa" w:w="2520"/>
            <w:vAlign w:val="center"/>
          </w:tcPr>
          <w:p>
            <w:pPr>
              <w:spacing w:after="0"/>
            </w:pPr>
            <w:r/>
            <w:r>
              <w:rPr>
                <w:rFonts w:ascii="Calibri" w:hAnsi="Calibri"/>
                <w:b w:val="0"/>
                <w:sz w:val="19"/>
              </w:rPr>
              <w:t>voxel_coordinates_loaded.tsv</w:t>
            </w:r>
          </w:p>
        </w:tc>
        <w:tc>
          <w:tcPr>
            <w:tcW w:type="dxa" w:w="3960"/>
            <w:vAlign w:val="center"/>
          </w:tcPr>
          <w:p>
            <w:pPr>
              <w:spacing w:after="0"/>
            </w:pPr>
            <w:r/>
            <w:r>
              <w:rPr>
                <w:rFonts w:ascii="Calibri" w:hAnsi="Calibri"/>
                <w:b w:val="0"/>
                <w:sz w:val="19"/>
              </w:rPr>
              <w:t>Coordinates after applying displacement.</w:t>
            </w:r>
          </w:p>
        </w:tc>
        <w:tc>
          <w:tcPr>
            <w:tcW w:type="dxa" w:w="2880"/>
            <w:vAlign w:val="center"/>
          </w:tcPr>
          <w:p>
            <w:pPr>
              <w:spacing w:after="0"/>
            </w:pPr>
            <w:r/>
            <w:r>
              <w:rPr>
                <w:rFonts w:ascii="Calibri" w:hAnsi="Calibri"/>
                <w:b w:val="0"/>
                <w:sz w:val="19"/>
              </w:rPr>
              <w:t>Geometry export for comparisons.</w:t>
            </w:r>
          </w:p>
        </w:tc>
      </w:tr>
      <w:tr>
        <w:tc>
          <w:tcPr>
            <w:tcW w:type="dxa" w:w="2520"/>
            <w:vAlign w:val="center"/>
          </w:tcPr>
          <w:p>
            <w:pPr>
              <w:spacing w:after="0"/>
            </w:pPr>
            <w:r/>
            <w:r>
              <w:rPr>
                <w:rFonts w:ascii="Calibri" w:hAnsi="Calibri"/>
                <w:b w:val="0"/>
                <w:sz w:val="19"/>
              </w:rPr>
              <w:t>voxel_coordinates_unloaded.tsv</w:t>
            </w:r>
          </w:p>
        </w:tc>
        <w:tc>
          <w:tcPr>
            <w:tcW w:type="dxa" w:w="3960"/>
            <w:vAlign w:val="center"/>
          </w:tcPr>
          <w:p>
            <w:pPr>
              <w:spacing w:after="0"/>
            </w:pPr>
            <w:r/>
            <w:r>
              <w:rPr>
                <w:rFonts w:ascii="Calibri" w:hAnsi="Calibri"/>
                <w:b w:val="0"/>
                <w:sz w:val="19"/>
              </w:rPr>
              <w:t>Original coordinates.</w:t>
            </w:r>
          </w:p>
        </w:tc>
        <w:tc>
          <w:tcPr>
            <w:tcW w:type="dxa" w:w="2880"/>
            <w:vAlign w:val="center"/>
          </w:tcPr>
          <w:p>
            <w:pPr>
              <w:spacing w:after="0"/>
            </w:pPr>
            <w:r/>
            <w:r>
              <w:rPr>
                <w:rFonts w:ascii="Calibri" w:hAnsi="Calibri"/>
                <w:b w:val="0"/>
                <w:sz w:val="19"/>
              </w:rPr>
              <w:t>Baseline geometry.</w:t>
            </w:r>
          </w:p>
        </w:tc>
      </w:tr>
    </w:tbl>
    <w:p/>
    <w:p>
      <w:pPr>
        <w:pStyle w:val="Heading2"/>
      </w:pPr>
      <w:r>
        <w:t>7.1 Worked example: a tiny voxel beam</w:t>
      </w:r>
    </w:p>
    <w:p>
      <w:r>
        <w:t>A very small beam is useful for learning file structure without the cognitive load of a large anatomical model. The example below represents a cantilever-like voxel beam: one end is fixed and a downward force is applied at the opposite end.</w:t>
      </w:r>
    </w:p>
    <w:p>
      <w:pPr>
        <w:jc w:val="center"/>
      </w:pPr>
      <w:r>
        <w:drawing>
          <wp:inline xmlns:a="http://schemas.openxmlformats.org/drawingml/2006/main" xmlns:pic="http://schemas.openxmlformats.org/drawingml/2006/picture">
            <wp:extent cx="5715000" cy="3294529"/>
            <wp:docPr id="11" name="Picture 11"/>
            <wp:cNvGraphicFramePr>
              <a:graphicFrameLocks noChangeAspect="1"/>
            </wp:cNvGraphicFramePr>
            <a:graphic>
              <a:graphicData uri="http://schemas.openxmlformats.org/drawingml/2006/picture">
                <pic:pic>
                  <pic:nvPicPr>
                    <pic:cNvPr id="0" name="fig12_beam_example.png"/>
                    <pic:cNvPicPr/>
                  </pic:nvPicPr>
                  <pic:blipFill>
                    <a:blip r:embed="rId21"/>
                    <a:stretch>
                      <a:fillRect/>
                    </a:stretch>
                  </pic:blipFill>
                  <pic:spPr>
                    <a:xfrm>
                      <a:off x="0" y="0"/>
                      <a:ext cx="5715000" cy="3294529"/>
                    </a:xfrm>
                    <a:prstGeom prst="rect"/>
                  </pic:spPr>
                </pic:pic>
              </a:graphicData>
            </a:graphic>
          </wp:inline>
        </w:drawing>
      </w:r>
    </w:p>
    <w:p>
      <w:pPr>
        <w:pStyle w:val="Caption"/>
        <w:jc w:val="center"/>
      </w:pPr>
      <w:r>
        <w:rPr>
          <w:i/>
          <w:color w:val="555555"/>
          <w:sz w:val="18"/>
        </w:rPr>
        <w:t>Figure 11. Minimal beam example used to explain model, script, displacement, and visualization outputs.</w:t>
      </w:r>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4F6F9"/>
          </w:tcPr>
          <w:p>
            <w:pPr>
              <w:spacing w:after="80"/>
            </w:pPr>
            <w:r/>
            <w:r>
              <w:rPr>
                <w:rFonts w:ascii="Calibri" w:hAnsi="Calibri"/>
                <w:b/>
                <w:color w:val="1F4D78"/>
                <w:sz w:val="19"/>
              </w:rPr>
              <w:t>Example model.txt</w:t>
            </w:r>
          </w:p>
          <w:p>
            <w:pPr>
              <w:spacing w:after="0"/>
            </w:pPr>
            <w:r>
              <w:rPr>
                <w:rFonts w:ascii="Consolas" w:hAnsi="Consolas"/>
                <w:color w:val="232D37"/>
                <w:sz w:val="17"/>
              </w:rPr>
              <w:t># material_id x y z</w:t>
              <w:br/>
              <w:t>1 0 0 0</w:t>
              <w:br/>
              <w:t>1 1 0 0</w:t>
              <w:br/>
              <w:t>1 2 0 0</w:t>
              <w:br/>
              <w:t>1 3 0 0</w:t>
              <w:br/>
              <w:t>1 4 0 0</w:t>
              <w:br/>
              <w:t>1 5 0 0</w:t>
            </w:r>
          </w:p>
        </w:tc>
      </w:tr>
    </w:tbl>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2376"/>
            <w:vAlign w:val="center"/>
            <w:shd w:fill="E8EEF5"/>
          </w:tcPr>
          <w:p>
            <w:pPr>
              <w:spacing w:after="0"/>
            </w:pPr>
            <w:r/>
            <w:r>
              <w:rPr>
                <w:rFonts w:ascii="Calibri" w:hAnsi="Calibri"/>
                <w:b/>
                <w:color w:val="1F4D78"/>
                <w:sz w:val="19"/>
              </w:rPr>
              <w:t>Line or field</w:t>
            </w:r>
          </w:p>
        </w:tc>
        <w:tc>
          <w:tcPr>
            <w:tcW w:type="dxa" w:w="6983"/>
            <w:vAlign w:val="center"/>
            <w:shd w:fill="E8EEF5"/>
          </w:tcPr>
          <w:p>
            <w:pPr>
              <w:spacing w:after="0"/>
            </w:pPr>
            <w:r/>
            <w:r>
              <w:rPr>
                <w:rFonts w:ascii="Calibri" w:hAnsi="Calibri"/>
                <w:b/>
                <w:color w:val="1F4D78"/>
                <w:sz w:val="19"/>
              </w:rPr>
              <w:t>Meaning</w:t>
            </w:r>
          </w:p>
        </w:tc>
      </w:tr>
      <w:tr>
        <w:tc>
          <w:tcPr>
            <w:tcW w:type="dxa" w:w="2376"/>
            <w:vAlign w:val="center"/>
          </w:tcPr>
          <w:p>
            <w:pPr>
              <w:spacing w:after="0"/>
            </w:pPr>
            <w:r/>
            <w:r>
              <w:rPr>
                <w:rFonts w:ascii="Calibri" w:hAnsi="Calibri"/>
                <w:b w:val="0"/>
                <w:sz w:val="19"/>
              </w:rPr>
              <w:t># material_id x y z</w:t>
            </w:r>
          </w:p>
        </w:tc>
        <w:tc>
          <w:tcPr>
            <w:tcW w:type="dxa" w:w="6983"/>
            <w:vAlign w:val="center"/>
          </w:tcPr>
          <w:p>
            <w:pPr>
              <w:spacing w:after="0"/>
            </w:pPr>
            <w:r/>
            <w:r>
              <w:rPr>
                <w:rFonts w:ascii="Calibri" w:hAnsi="Calibri"/>
                <w:b w:val="0"/>
                <w:sz w:val="19"/>
              </w:rPr>
              <w:t>Comment documenting the column order.</w:t>
            </w:r>
          </w:p>
        </w:tc>
      </w:tr>
      <w:tr>
        <w:tc>
          <w:tcPr>
            <w:tcW w:type="dxa" w:w="2376"/>
            <w:vAlign w:val="center"/>
          </w:tcPr>
          <w:p>
            <w:pPr>
              <w:spacing w:after="0"/>
            </w:pPr>
            <w:r/>
            <w:r>
              <w:rPr>
                <w:rFonts w:ascii="Calibri" w:hAnsi="Calibri"/>
                <w:b w:val="0"/>
                <w:sz w:val="19"/>
              </w:rPr>
              <w:t>1</w:t>
            </w:r>
          </w:p>
        </w:tc>
        <w:tc>
          <w:tcPr>
            <w:tcW w:type="dxa" w:w="6983"/>
            <w:vAlign w:val="center"/>
          </w:tcPr>
          <w:p>
            <w:pPr>
              <w:spacing w:after="0"/>
            </w:pPr>
            <w:r/>
            <w:r>
              <w:rPr>
                <w:rFonts w:ascii="Calibri" w:hAnsi="Calibri"/>
                <w:b w:val="0"/>
                <w:sz w:val="19"/>
              </w:rPr>
              <w:t>Material ID. Here all voxels use MATERIAL_1.</w:t>
            </w:r>
          </w:p>
        </w:tc>
      </w:tr>
      <w:tr>
        <w:tc>
          <w:tcPr>
            <w:tcW w:type="dxa" w:w="2376"/>
            <w:vAlign w:val="center"/>
          </w:tcPr>
          <w:p>
            <w:pPr>
              <w:spacing w:after="0"/>
            </w:pPr>
            <w:r/>
            <w:r>
              <w:rPr>
                <w:rFonts w:ascii="Calibri" w:hAnsi="Calibri"/>
                <w:b w:val="0"/>
                <w:sz w:val="19"/>
              </w:rPr>
              <w:t>x y z</w:t>
            </w:r>
          </w:p>
        </w:tc>
        <w:tc>
          <w:tcPr>
            <w:tcW w:type="dxa" w:w="6983"/>
            <w:vAlign w:val="center"/>
          </w:tcPr>
          <w:p>
            <w:pPr>
              <w:spacing w:after="0"/>
            </w:pPr>
            <w:r/>
            <w:r>
              <w:rPr>
                <w:rFonts w:ascii="Calibri" w:hAnsi="Calibri"/>
                <w:b w:val="0"/>
                <w:sz w:val="19"/>
              </w:rPr>
              <w:t>Integer voxel coordinates in the model grid.</w:t>
            </w:r>
          </w:p>
        </w:tc>
      </w:tr>
      <w:tr>
        <w:tc>
          <w:tcPr>
            <w:tcW w:type="dxa" w:w="2376"/>
            <w:vAlign w:val="center"/>
          </w:tcPr>
          <w:p>
            <w:pPr>
              <w:spacing w:after="0"/>
            </w:pPr>
            <w:r/>
            <w:r>
              <w:rPr>
                <w:rFonts w:ascii="Calibri" w:hAnsi="Calibri"/>
                <w:b w:val="0"/>
                <w:sz w:val="19"/>
              </w:rPr>
              <w:t>0..5</w:t>
            </w:r>
          </w:p>
        </w:tc>
        <w:tc>
          <w:tcPr>
            <w:tcW w:type="dxa" w:w="6983"/>
            <w:vAlign w:val="center"/>
          </w:tcPr>
          <w:p>
            <w:pPr>
              <w:spacing w:after="0"/>
            </w:pPr>
            <w:r/>
            <w:r>
              <w:rPr>
                <w:rFonts w:ascii="Calibri" w:hAnsi="Calibri"/>
                <w:b w:val="0"/>
                <w:sz w:val="19"/>
              </w:rPr>
              <w:t>A six-voxel beam along the x direction.</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4F6F9"/>
          </w:tcPr>
          <w:p>
            <w:pPr>
              <w:spacing w:after="80"/>
            </w:pPr>
            <w:r/>
            <w:r>
              <w:rPr>
                <w:rFonts w:ascii="Calibri" w:hAnsi="Calibri"/>
                <w:b/>
                <w:color w:val="1F4D78"/>
                <w:sz w:val="19"/>
              </w:rPr>
              <w:t>Example Script.txt</w:t>
            </w:r>
          </w:p>
          <w:p>
            <w:pPr>
              <w:spacing w:after="0"/>
            </w:pPr>
            <w:r>
              <w:rPr>
                <w:rFonts w:ascii="Consolas" w:hAnsi="Consolas"/>
                <w:color w:val="232D37"/>
                <w:sz w:val="17"/>
              </w:rPr>
              <w:t>MATERIAL 1 MATERIAL_1 17000000000 0.30 PASSIVE</w:t>
              <w:br/>
              <w:t>VOXEL_SIZE 0.001 0.001 0.001 1</w:t>
              <w:br/>
              <w:t>ALGORITHM_FEA MRBRJAPCG</w:t>
              <w:br/>
              <w:t>MAX_ITER 10000</w:t>
              <w:br/>
              <w:t>TOLERANCE 1e-06</w:t>
              <w:br/>
              <w:br/>
              <w:t>CONSTRAINT_GROUP fixed_left</w:t>
              <w:br/>
              <w:t>SELECT_NODE_3D 0 0 0 0 0 0</w:t>
              <w:br/>
              <w:t>END_GROUP</w:t>
              <w:br/>
              <w:br/>
              <w:t>FORCE_GROUP loaded_right</w:t>
              <w:br/>
              <w:t>SELECT_NODE_3D 5 0 0 0 -1 0</w:t>
              <w:br/>
              <w:t>FORCE_VECTOR 0 -1 0 10</w:t>
              <w:br/>
              <w:t>END_GROUP</w:t>
            </w:r>
          </w:p>
        </w:tc>
      </w:tr>
    </w:tbl>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3024"/>
            <w:vAlign w:val="center"/>
            <w:shd w:fill="E8EEF5"/>
          </w:tcPr>
          <w:p>
            <w:pPr>
              <w:spacing w:after="0"/>
            </w:pPr>
            <w:r/>
            <w:r>
              <w:rPr>
                <w:rFonts w:ascii="Calibri" w:hAnsi="Calibri"/>
                <w:b/>
                <w:color w:val="1F4D78"/>
                <w:sz w:val="19"/>
              </w:rPr>
              <w:t>Script line</w:t>
            </w:r>
          </w:p>
        </w:tc>
        <w:tc>
          <w:tcPr>
            <w:tcW w:type="dxa" w:w="6336"/>
            <w:vAlign w:val="center"/>
            <w:shd w:fill="E8EEF5"/>
          </w:tcPr>
          <w:p>
            <w:pPr>
              <w:spacing w:after="0"/>
            </w:pPr>
            <w:r/>
            <w:r>
              <w:rPr>
                <w:rFonts w:ascii="Calibri" w:hAnsi="Calibri"/>
                <w:b/>
                <w:color w:val="1F4D78"/>
                <w:sz w:val="19"/>
              </w:rPr>
              <w:t>Meaning</w:t>
            </w:r>
          </w:p>
        </w:tc>
      </w:tr>
      <w:tr>
        <w:tc>
          <w:tcPr>
            <w:tcW w:type="dxa" w:w="3024"/>
            <w:vAlign w:val="center"/>
          </w:tcPr>
          <w:p>
            <w:pPr>
              <w:spacing w:after="0"/>
            </w:pPr>
            <w:r/>
            <w:r>
              <w:rPr>
                <w:rFonts w:ascii="Calibri" w:hAnsi="Calibri"/>
                <w:b w:val="0"/>
                <w:sz w:val="19"/>
              </w:rPr>
              <w:t>MATERIAL</w:t>
            </w:r>
          </w:p>
        </w:tc>
        <w:tc>
          <w:tcPr>
            <w:tcW w:type="dxa" w:w="6336"/>
            <w:vAlign w:val="center"/>
          </w:tcPr>
          <w:p>
            <w:pPr>
              <w:spacing w:after="0"/>
            </w:pPr>
            <w:r/>
            <w:r>
              <w:rPr>
                <w:rFonts w:ascii="Calibri" w:hAnsi="Calibri"/>
                <w:b w:val="0"/>
                <w:sz w:val="19"/>
              </w:rPr>
              <w:t>Defines material ID, label, Young's modulus E, Poisson's ratio nu, and status.</w:t>
            </w:r>
          </w:p>
        </w:tc>
      </w:tr>
      <w:tr>
        <w:tc>
          <w:tcPr>
            <w:tcW w:type="dxa" w:w="3024"/>
            <w:vAlign w:val="center"/>
          </w:tcPr>
          <w:p>
            <w:pPr>
              <w:spacing w:after="0"/>
            </w:pPr>
            <w:r/>
            <w:r>
              <w:rPr>
                <w:rFonts w:ascii="Calibri" w:hAnsi="Calibri"/>
                <w:b w:val="0"/>
                <w:sz w:val="19"/>
              </w:rPr>
              <w:t>VOXEL_SIZE</w:t>
            </w:r>
          </w:p>
        </w:tc>
        <w:tc>
          <w:tcPr>
            <w:tcW w:type="dxa" w:w="6336"/>
            <w:vAlign w:val="center"/>
          </w:tcPr>
          <w:p>
            <w:pPr>
              <w:spacing w:after="0"/>
            </w:pPr>
            <w:r/>
            <w:r>
              <w:rPr>
                <w:rFonts w:ascii="Calibri" w:hAnsi="Calibri"/>
                <w:b w:val="0"/>
                <w:sz w:val="19"/>
              </w:rPr>
              <w:t>Defines physical voxel dimensions. Here each voxel is 1 mm.</w:t>
            </w:r>
          </w:p>
        </w:tc>
      </w:tr>
      <w:tr>
        <w:tc>
          <w:tcPr>
            <w:tcW w:type="dxa" w:w="3024"/>
            <w:vAlign w:val="center"/>
          </w:tcPr>
          <w:p>
            <w:pPr>
              <w:spacing w:after="0"/>
            </w:pPr>
            <w:r/>
            <w:r>
              <w:rPr>
                <w:rFonts w:ascii="Calibri" w:hAnsi="Calibri"/>
                <w:b w:val="0"/>
                <w:sz w:val="19"/>
              </w:rPr>
              <w:t>ALGORITHM_FEA</w:t>
            </w:r>
          </w:p>
        </w:tc>
        <w:tc>
          <w:tcPr>
            <w:tcW w:type="dxa" w:w="6336"/>
            <w:vAlign w:val="center"/>
          </w:tcPr>
          <w:p>
            <w:pPr>
              <w:spacing w:after="0"/>
            </w:pPr>
            <w:r/>
            <w:r>
              <w:rPr>
                <w:rFonts w:ascii="Calibri" w:hAnsi="Calibri"/>
                <w:b w:val="0"/>
                <w:sz w:val="19"/>
              </w:rPr>
              <w:t>Requests a solver method. Launchers can override this line.</w:t>
            </w:r>
          </w:p>
        </w:tc>
      </w:tr>
      <w:tr>
        <w:tc>
          <w:tcPr>
            <w:tcW w:type="dxa" w:w="3024"/>
            <w:vAlign w:val="center"/>
          </w:tcPr>
          <w:p>
            <w:pPr>
              <w:spacing w:after="0"/>
            </w:pPr>
            <w:r/>
            <w:r>
              <w:rPr>
                <w:rFonts w:ascii="Calibri" w:hAnsi="Calibri"/>
                <w:b w:val="0"/>
                <w:sz w:val="19"/>
              </w:rPr>
              <w:t>MAX_ITER / TOLERANCE</w:t>
            </w:r>
          </w:p>
        </w:tc>
        <w:tc>
          <w:tcPr>
            <w:tcW w:type="dxa" w:w="6336"/>
            <w:vAlign w:val="center"/>
          </w:tcPr>
          <w:p>
            <w:pPr>
              <w:spacing w:after="0"/>
            </w:pPr>
            <w:r/>
            <w:r>
              <w:rPr>
                <w:rFonts w:ascii="Calibri" w:hAnsi="Calibri"/>
                <w:b w:val="0"/>
                <w:sz w:val="19"/>
              </w:rPr>
              <w:t>Controls iterative solver stopping conditions.</w:t>
            </w:r>
          </w:p>
        </w:tc>
      </w:tr>
      <w:tr>
        <w:tc>
          <w:tcPr>
            <w:tcW w:type="dxa" w:w="3024"/>
            <w:vAlign w:val="center"/>
          </w:tcPr>
          <w:p>
            <w:pPr>
              <w:spacing w:after="0"/>
            </w:pPr>
            <w:r/>
            <w:r>
              <w:rPr>
                <w:rFonts w:ascii="Calibri" w:hAnsi="Calibri"/>
                <w:b w:val="0"/>
                <w:sz w:val="19"/>
              </w:rPr>
              <w:t>CONSTRAINT_GROUP</w:t>
            </w:r>
          </w:p>
        </w:tc>
        <w:tc>
          <w:tcPr>
            <w:tcW w:type="dxa" w:w="6336"/>
            <w:vAlign w:val="center"/>
          </w:tcPr>
          <w:p>
            <w:pPr>
              <w:spacing w:after="0"/>
            </w:pPr>
            <w:r/>
            <w:r>
              <w:rPr>
                <w:rFonts w:ascii="Calibri" w:hAnsi="Calibri"/>
                <w:b w:val="0"/>
                <w:sz w:val="19"/>
              </w:rPr>
              <w:t>Starts a named group of constrained nodes.</w:t>
            </w:r>
          </w:p>
        </w:tc>
      </w:tr>
      <w:tr>
        <w:tc>
          <w:tcPr>
            <w:tcW w:type="dxa" w:w="3024"/>
            <w:vAlign w:val="center"/>
          </w:tcPr>
          <w:p>
            <w:pPr>
              <w:spacing w:after="0"/>
            </w:pPr>
            <w:r/>
            <w:r>
              <w:rPr>
                <w:rFonts w:ascii="Calibri" w:hAnsi="Calibri"/>
                <w:b w:val="0"/>
                <w:sz w:val="19"/>
              </w:rPr>
              <w:t>SELECT_NODE_3D in constraint</w:t>
            </w:r>
          </w:p>
        </w:tc>
        <w:tc>
          <w:tcPr>
            <w:tcW w:type="dxa" w:w="6336"/>
            <w:vAlign w:val="center"/>
          </w:tcPr>
          <w:p>
            <w:pPr>
              <w:spacing w:after="0"/>
            </w:pPr>
            <w:r/>
            <w:r>
              <w:rPr>
                <w:rFonts w:ascii="Calibri" w:hAnsi="Calibri"/>
                <w:b w:val="0"/>
                <w:sz w:val="19"/>
              </w:rPr>
              <w:t>Selects node/voxel coordinates to lock or constrain.</w:t>
            </w:r>
          </w:p>
        </w:tc>
      </w:tr>
      <w:tr>
        <w:tc>
          <w:tcPr>
            <w:tcW w:type="dxa" w:w="3024"/>
            <w:vAlign w:val="center"/>
          </w:tcPr>
          <w:p>
            <w:pPr>
              <w:spacing w:after="0"/>
            </w:pPr>
            <w:r/>
            <w:r>
              <w:rPr>
                <w:rFonts w:ascii="Calibri" w:hAnsi="Calibri"/>
                <w:b w:val="0"/>
                <w:sz w:val="19"/>
              </w:rPr>
              <w:t>FORCE_GROUP</w:t>
            </w:r>
          </w:p>
        </w:tc>
        <w:tc>
          <w:tcPr>
            <w:tcW w:type="dxa" w:w="6336"/>
            <w:vAlign w:val="center"/>
          </w:tcPr>
          <w:p>
            <w:pPr>
              <w:spacing w:after="0"/>
            </w:pPr>
            <w:r/>
            <w:r>
              <w:rPr>
                <w:rFonts w:ascii="Calibri" w:hAnsi="Calibri"/>
                <w:b w:val="0"/>
                <w:sz w:val="19"/>
              </w:rPr>
              <w:t>Starts a named load group.</w:t>
            </w:r>
          </w:p>
        </w:tc>
      </w:tr>
      <w:tr>
        <w:tc>
          <w:tcPr>
            <w:tcW w:type="dxa" w:w="3024"/>
            <w:vAlign w:val="center"/>
          </w:tcPr>
          <w:p>
            <w:pPr>
              <w:spacing w:after="0"/>
            </w:pPr>
            <w:r/>
            <w:r>
              <w:rPr>
                <w:rFonts w:ascii="Calibri" w:hAnsi="Calibri"/>
                <w:b w:val="0"/>
                <w:sz w:val="19"/>
              </w:rPr>
              <w:t>FORCE_VECTOR</w:t>
            </w:r>
          </w:p>
        </w:tc>
        <w:tc>
          <w:tcPr>
            <w:tcW w:type="dxa" w:w="6336"/>
            <w:vAlign w:val="center"/>
          </w:tcPr>
          <w:p>
            <w:pPr>
              <w:spacing w:after="0"/>
            </w:pPr>
            <w:r/>
            <w:r>
              <w:rPr>
                <w:rFonts w:ascii="Calibri" w:hAnsi="Calibri"/>
                <w:b w:val="0"/>
                <w:sz w:val="19"/>
              </w:rPr>
              <w:t>Defines direction and physical magnitude of the applied force.</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4F6F9"/>
          </w:tcPr>
          <w:p>
            <w:pPr>
              <w:spacing w:after="80"/>
            </w:pPr>
            <w:r/>
            <w:r>
              <w:rPr>
                <w:rFonts w:ascii="Calibri" w:hAnsi="Calibri"/>
                <w:b/>
                <w:color w:val="1F4D78"/>
                <w:sz w:val="19"/>
              </w:rPr>
              <w:t>Example displacement.txt</w:t>
            </w:r>
          </w:p>
          <w:p>
            <w:pPr>
              <w:spacing w:after="0"/>
            </w:pPr>
            <w:r>
              <w:rPr>
                <w:rFonts w:ascii="Consolas" w:hAnsi="Consolas"/>
                <w:color w:val="232D37"/>
                <w:sz w:val="17"/>
              </w:rPr>
              <w:t># node_id x y z ux uy uz |u|</w:t>
              <w:br/>
              <w:t>0 0 0 0 0.000000e+00 0.000000e+00 0.000000e+00 0.000000e+00</w:t>
              <w:br/>
              <w:t>1 1 0 0 2.100000e-08 -1.200000e-07 0.000000e+00 1.218236e-07</w:t>
              <w:br/>
              <w:t>2 2 0 0 6.900000e-08 -4.400000e-07 0.000000e+00 4.453089e-07</w:t>
              <w:br/>
              <w:t>5 5 0 0 2.600000e-07 -1.800000e-06 0.000000e+00 1.818681e-06</w:t>
            </w:r>
          </w:p>
        </w:tc>
      </w:tr>
    </w:tbl>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c>
          <w:tcPr>
            <w:tcW w:type="dxa" w:w="1872"/>
            <w:vAlign w:val="center"/>
            <w:shd w:fill="E8EEF5"/>
          </w:tcPr>
          <w:p>
            <w:pPr>
              <w:spacing w:after="0"/>
            </w:pPr>
            <w:r/>
            <w:r>
              <w:rPr>
                <w:rFonts w:ascii="Calibri" w:hAnsi="Calibri"/>
                <w:b/>
                <w:color w:val="1F4D78"/>
                <w:sz w:val="19"/>
              </w:rPr>
              <w:t>Column</w:t>
            </w:r>
          </w:p>
        </w:tc>
        <w:tc>
          <w:tcPr>
            <w:tcW w:type="dxa" w:w="3456"/>
            <w:vAlign w:val="center"/>
            <w:shd w:fill="E8EEF5"/>
          </w:tcPr>
          <w:p>
            <w:pPr>
              <w:spacing w:after="0"/>
            </w:pPr>
            <w:r/>
            <w:r>
              <w:rPr>
                <w:rFonts w:ascii="Calibri" w:hAnsi="Calibri"/>
                <w:b/>
                <w:color w:val="1F4D78"/>
                <w:sz w:val="19"/>
              </w:rPr>
              <w:t>Meaning</w:t>
            </w:r>
          </w:p>
        </w:tc>
        <w:tc>
          <w:tcPr>
            <w:tcW w:type="dxa" w:w="4031"/>
            <w:vAlign w:val="center"/>
            <w:shd w:fill="E8EEF5"/>
          </w:tcPr>
          <w:p>
            <w:pPr>
              <w:spacing w:after="0"/>
            </w:pPr>
            <w:r/>
            <w:r>
              <w:rPr>
                <w:rFonts w:ascii="Calibri" w:hAnsi="Calibri"/>
                <w:b/>
                <w:color w:val="1F4D78"/>
                <w:sz w:val="19"/>
              </w:rPr>
              <w:t>How to read it</w:t>
            </w:r>
          </w:p>
        </w:tc>
      </w:tr>
      <w:tr>
        <w:tc>
          <w:tcPr>
            <w:tcW w:type="dxa" w:w="1872"/>
            <w:vAlign w:val="center"/>
          </w:tcPr>
          <w:p>
            <w:pPr>
              <w:spacing w:after="0"/>
            </w:pPr>
            <w:r/>
            <w:r>
              <w:rPr>
                <w:rFonts w:ascii="Calibri" w:hAnsi="Calibri"/>
                <w:b w:val="0"/>
                <w:sz w:val="19"/>
              </w:rPr>
              <w:t>node_id</w:t>
            </w:r>
          </w:p>
        </w:tc>
        <w:tc>
          <w:tcPr>
            <w:tcW w:type="dxa" w:w="3456"/>
            <w:vAlign w:val="center"/>
          </w:tcPr>
          <w:p>
            <w:pPr>
              <w:spacing w:after="0"/>
            </w:pPr>
            <w:r/>
            <w:r>
              <w:rPr>
                <w:rFonts w:ascii="Calibri" w:hAnsi="Calibri"/>
                <w:b w:val="0"/>
                <w:sz w:val="19"/>
              </w:rPr>
              <w:t>Solver node identifier.</w:t>
            </w:r>
          </w:p>
        </w:tc>
        <w:tc>
          <w:tcPr>
            <w:tcW w:type="dxa" w:w="4031"/>
            <w:vAlign w:val="center"/>
          </w:tcPr>
          <w:p>
            <w:pPr>
              <w:spacing w:after="0"/>
            </w:pPr>
            <w:r/>
            <w:r>
              <w:rPr>
                <w:rFonts w:ascii="Calibri" w:hAnsi="Calibri"/>
                <w:b w:val="0"/>
                <w:sz w:val="19"/>
              </w:rPr>
              <w:t>Useful for comparing solver outputs.</w:t>
            </w:r>
          </w:p>
        </w:tc>
      </w:tr>
      <w:tr>
        <w:tc>
          <w:tcPr>
            <w:tcW w:type="dxa" w:w="1872"/>
            <w:vAlign w:val="center"/>
          </w:tcPr>
          <w:p>
            <w:pPr>
              <w:spacing w:after="0"/>
            </w:pPr>
            <w:r/>
            <w:r>
              <w:rPr>
                <w:rFonts w:ascii="Calibri" w:hAnsi="Calibri"/>
                <w:b w:val="0"/>
                <w:sz w:val="19"/>
              </w:rPr>
              <w:t>x y z</w:t>
            </w:r>
          </w:p>
        </w:tc>
        <w:tc>
          <w:tcPr>
            <w:tcW w:type="dxa" w:w="3456"/>
            <w:vAlign w:val="center"/>
          </w:tcPr>
          <w:p>
            <w:pPr>
              <w:spacing w:after="0"/>
            </w:pPr>
            <w:r/>
            <w:r>
              <w:rPr>
                <w:rFonts w:ascii="Calibri" w:hAnsi="Calibri"/>
                <w:b w:val="0"/>
                <w:sz w:val="19"/>
              </w:rPr>
              <w:t>Original grid coordinate.</w:t>
            </w:r>
          </w:p>
        </w:tc>
        <w:tc>
          <w:tcPr>
            <w:tcW w:type="dxa" w:w="4031"/>
            <w:vAlign w:val="center"/>
          </w:tcPr>
          <w:p>
            <w:pPr>
              <w:spacing w:after="0"/>
            </w:pPr>
            <w:r/>
            <w:r>
              <w:rPr>
                <w:rFonts w:ascii="Calibri" w:hAnsi="Calibri"/>
                <w:b w:val="0"/>
                <w:sz w:val="19"/>
              </w:rPr>
              <w:t>Connects displacement back to model geometry.</w:t>
            </w:r>
          </w:p>
        </w:tc>
      </w:tr>
      <w:tr>
        <w:tc>
          <w:tcPr>
            <w:tcW w:type="dxa" w:w="1872"/>
            <w:vAlign w:val="center"/>
          </w:tcPr>
          <w:p>
            <w:pPr>
              <w:spacing w:after="0"/>
            </w:pPr>
            <w:r/>
            <w:r>
              <w:rPr>
                <w:rFonts w:ascii="Calibri" w:hAnsi="Calibri"/>
                <w:b w:val="0"/>
                <w:sz w:val="19"/>
              </w:rPr>
              <w:t>ux uy uz</w:t>
            </w:r>
          </w:p>
        </w:tc>
        <w:tc>
          <w:tcPr>
            <w:tcW w:type="dxa" w:w="3456"/>
            <w:vAlign w:val="center"/>
          </w:tcPr>
          <w:p>
            <w:pPr>
              <w:spacing w:after="0"/>
            </w:pPr>
            <w:r/>
            <w:r>
              <w:rPr>
                <w:rFonts w:ascii="Calibri" w:hAnsi="Calibri"/>
                <w:b w:val="0"/>
                <w:sz w:val="19"/>
              </w:rPr>
              <w:t>Displacement components.</w:t>
            </w:r>
          </w:p>
        </w:tc>
        <w:tc>
          <w:tcPr>
            <w:tcW w:type="dxa" w:w="4031"/>
            <w:vAlign w:val="center"/>
          </w:tcPr>
          <w:p>
            <w:pPr>
              <w:spacing w:after="0"/>
            </w:pPr>
            <w:r/>
            <w:r>
              <w:rPr>
                <w:rFonts w:ascii="Calibri" w:hAnsi="Calibri"/>
                <w:b w:val="0"/>
                <w:sz w:val="19"/>
              </w:rPr>
              <w:t>Signed values in physical units.</w:t>
            </w:r>
          </w:p>
        </w:tc>
      </w:tr>
      <w:tr>
        <w:tc>
          <w:tcPr>
            <w:tcW w:type="dxa" w:w="1872"/>
            <w:vAlign w:val="center"/>
          </w:tcPr>
          <w:p>
            <w:pPr>
              <w:spacing w:after="0"/>
            </w:pPr>
            <w:r/>
            <w:r>
              <w:rPr>
                <w:rFonts w:ascii="Calibri" w:hAnsi="Calibri"/>
                <w:b w:val="0"/>
                <w:sz w:val="19"/>
              </w:rPr>
              <w:t>|u|</w:t>
            </w:r>
          </w:p>
        </w:tc>
        <w:tc>
          <w:tcPr>
            <w:tcW w:type="dxa" w:w="3456"/>
            <w:vAlign w:val="center"/>
          </w:tcPr>
          <w:p>
            <w:pPr>
              <w:spacing w:after="0"/>
            </w:pPr>
            <w:r/>
            <w:r>
              <w:rPr>
                <w:rFonts w:ascii="Calibri" w:hAnsi="Calibri"/>
                <w:b w:val="0"/>
                <w:sz w:val="19"/>
              </w:rPr>
              <w:t>Total displacement magnitude.</w:t>
            </w:r>
          </w:p>
        </w:tc>
        <w:tc>
          <w:tcPr>
            <w:tcW w:type="dxa" w:w="4031"/>
            <w:vAlign w:val="center"/>
          </w:tcPr>
          <w:p>
            <w:pPr>
              <w:spacing w:after="0"/>
            </w:pPr>
            <w:r/>
            <w:r>
              <w:rPr>
                <w:rFonts w:ascii="Calibri" w:hAnsi="Calibri"/>
                <w:b w:val="0"/>
                <w:sz w:val="19"/>
              </w:rPr>
              <w:t>Scalar used for colour maps.</w:t>
            </w:r>
          </w:p>
        </w:tc>
      </w:tr>
    </w:tbl>
    <w:p/>
    <w:p>
      <w:pPr>
        <w:pStyle w:val="Heading2"/>
      </w:pPr>
      <w:r>
        <w:t>7.2 Graphical visualization of solver outputs</w:t>
      </w:r>
    </w:p>
    <w:p>
      <w:r>
        <w:t>VoxFE-UV visualizes solver outputs as layers on the original or displaced model. The most important distinction is between raw vector quantities, such as displacement components, and derived scalar quantities, such as total displacement, strain energy density, or Von Mises stress.</w:t>
      </w:r>
    </w:p>
    <w:p>
      <w:pPr>
        <w:jc w:val="center"/>
      </w:pPr>
      <w:r>
        <w:drawing>
          <wp:inline xmlns:a="http://schemas.openxmlformats.org/drawingml/2006/main" xmlns:pic="http://schemas.openxmlformats.org/drawingml/2006/picture">
            <wp:extent cx="5715000" cy="3294529"/>
            <wp:docPr id="12" name="Picture 12"/>
            <wp:cNvGraphicFramePr>
              <a:graphicFrameLocks noChangeAspect="1"/>
            </wp:cNvGraphicFramePr>
            <a:graphic>
              <a:graphicData uri="http://schemas.openxmlformats.org/drawingml/2006/picture">
                <pic:pic>
                  <pic:nvPicPr>
                    <pic:cNvPr id="0" name="fig13_result_visualization.png"/>
                    <pic:cNvPicPr/>
                  </pic:nvPicPr>
                  <pic:blipFill>
                    <a:blip r:embed="rId22"/>
                    <a:stretch>
                      <a:fillRect/>
                    </a:stretch>
                  </pic:blipFill>
                  <pic:spPr>
                    <a:xfrm>
                      <a:off x="0" y="0"/>
                      <a:ext cx="5715000" cy="3294529"/>
                    </a:xfrm>
                    <a:prstGeom prst="rect"/>
                  </pic:spPr>
                </pic:pic>
              </a:graphicData>
            </a:graphic>
          </wp:inline>
        </w:drawing>
      </w:r>
    </w:p>
    <w:p>
      <w:pPr>
        <w:pStyle w:val="Caption"/>
        <w:jc w:val="center"/>
      </w:pPr>
      <w:r>
        <w:rPr>
          <w:i/>
          <w:color w:val="555555"/>
          <w:sz w:val="18"/>
        </w:rPr>
        <w:t>Figure 12. Main visualization layers available or expected in the VoxFE-UV result workflow.</w:t>
      </w:r>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40"/>
        <w:gridCol w:w="2340"/>
        <w:gridCol w:w="2340"/>
        <w:gridCol w:w="2340"/>
      </w:tblGrid>
      <w:tr>
        <w:tc>
          <w:tcPr>
            <w:tcW w:type="dxa" w:w="2232"/>
            <w:vAlign w:val="center"/>
            <w:shd w:fill="E8EEF5"/>
          </w:tcPr>
          <w:p>
            <w:pPr>
              <w:spacing w:after="0"/>
            </w:pPr>
            <w:r/>
            <w:r>
              <w:rPr>
                <w:rFonts w:ascii="Calibri" w:hAnsi="Calibri"/>
                <w:b/>
                <w:color w:val="1F4D78"/>
                <w:sz w:val="19"/>
              </w:rPr>
              <w:t>Visualization</w:t>
            </w:r>
          </w:p>
        </w:tc>
        <w:tc>
          <w:tcPr>
            <w:tcW w:type="dxa" w:w="2376"/>
            <w:vAlign w:val="center"/>
            <w:shd w:fill="E8EEF5"/>
          </w:tcPr>
          <w:p>
            <w:pPr>
              <w:spacing w:after="0"/>
            </w:pPr>
            <w:r/>
            <w:r>
              <w:rPr>
                <w:rFonts w:ascii="Calibri" w:hAnsi="Calibri"/>
                <w:b/>
                <w:color w:val="1F4D78"/>
                <w:sz w:val="19"/>
              </w:rPr>
              <w:t>Data source</w:t>
            </w:r>
          </w:p>
        </w:tc>
        <w:tc>
          <w:tcPr>
            <w:tcW w:type="dxa" w:w="2880"/>
            <w:vAlign w:val="center"/>
            <w:shd w:fill="E8EEF5"/>
          </w:tcPr>
          <w:p>
            <w:pPr>
              <w:spacing w:after="0"/>
            </w:pPr>
            <w:r/>
            <w:r>
              <w:rPr>
                <w:rFonts w:ascii="Calibri" w:hAnsi="Calibri"/>
                <w:b/>
                <w:color w:val="1F4D78"/>
                <w:sz w:val="19"/>
              </w:rPr>
              <w:t>What it shows</w:t>
            </w:r>
          </w:p>
        </w:tc>
        <w:tc>
          <w:tcPr>
            <w:tcW w:type="dxa" w:w="1872"/>
            <w:vAlign w:val="center"/>
            <w:shd w:fill="E8EEF5"/>
          </w:tcPr>
          <w:p>
            <w:pPr>
              <w:spacing w:after="0"/>
            </w:pPr>
            <w:r/>
            <w:r>
              <w:rPr>
                <w:rFonts w:ascii="Calibri" w:hAnsi="Calibri"/>
                <w:b/>
                <w:color w:val="1F4D78"/>
                <w:sz w:val="19"/>
              </w:rPr>
              <w:t>Typical check</w:t>
            </w:r>
          </w:p>
        </w:tc>
      </w:tr>
      <w:tr>
        <w:tc>
          <w:tcPr>
            <w:tcW w:type="dxa" w:w="2232"/>
            <w:vAlign w:val="center"/>
          </w:tcPr>
          <w:p>
            <w:pPr>
              <w:spacing w:after="0"/>
            </w:pPr>
            <w:r/>
            <w:r>
              <w:rPr>
                <w:rFonts w:ascii="Calibri" w:hAnsi="Calibri"/>
                <w:b w:val="0"/>
                <w:sz w:val="19"/>
              </w:rPr>
              <w:t>Total displacement |u|</w:t>
            </w:r>
          </w:p>
        </w:tc>
        <w:tc>
          <w:tcPr>
            <w:tcW w:type="dxa" w:w="2376"/>
            <w:vAlign w:val="center"/>
          </w:tcPr>
          <w:p>
            <w:pPr>
              <w:spacing w:after="0"/>
            </w:pPr>
            <w:r/>
            <w:r>
              <w:rPr>
                <w:rFonts w:ascii="Calibri" w:hAnsi="Calibri"/>
                <w:b w:val="0"/>
                <w:sz w:val="19"/>
              </w:rPr>
              <w:t>displacement.txt</w:t>
            </w:r>
          </w:p>
        </w:tc>
        <w:tc>
          <w:tcPr>
            <w:tcW w:type="dxa" w:w="2880"/>
            <w:vAlign w:val="center"/>
          </w:tcPr>
          <w:p>
            <w:pPr>
              <w:spacing w:after="0"/>
            </w:pPr>
            <w:r/>
            <w:r>
              <w:rPr>
                <w:rFonts w:ascii="Calibri" w:hAnsi="Calibri"/>
                <w:b w:val="0"/>
                <w:sz w:val="19"/>
              </w:rPr>
              <w:t>Magnitude of nodal displacement.</w:t>
            </w:r>
          </w:p>
        </w:tc>
        <w:tc>
          <w:tcPr>
            <w:tcW w:type="dxa" w:w="1872"/>
            <w:vAlign w:val="center"/>
          </w:tcPr>
          <w:p>
            <w:pPr>
              <w:spacing w:after="0"/>
            </w:pPr>
            <w:r/>
            <w:r>
              <w:rPr>
                <w:rFonts w:ascii="Calibri" w:hAnsi="Calibri"/>
                <w:b w:val="0"/>
                <w:sz w:val="19"/>
              </w:rPr>
              <w:t>Loaded side moves more than constrained side.</w:t>
            </w:r>
          </w:p>
        </w:tc>
      </w:tr>
      <w:tr>
        <w:tc>
          <w:tcPr>
            <w:tcW w:type="dxa" w:w="2232"/>
            <w:vAlign w:val="center"/>
          </w:tcPr>
          <w:p>
            <w:pPr>
              <w:spacing w:after="0"/>
            </w:pPr>
            <w:r/>
            <w:r>
              <w:rPr>
                <w:rFonts w:ascii="Calibri" w:hAnsi="Calibri"/>
                <w:b w:val="0"/>
                <w:sz w:val="19"/>
              </w:rPr>
              <w:t>Displacement components</w:t>
            </w:r>
          </w:p>
        </w:tc>
        <w:tc>
          <w:tcPr>
            <w:tcW w:type="dxa" w:w="2376"/>
            <w:vAlign w:val="center"/>
          </w:tcPr>
          <w:p>
            <w:pPr>
              <w:spacing w:after="0"/>
            </w:pPr>
            <w:r/>
            <w:r>
              <w:rPr>
                <w:rFonts w:ascii="Calibri" w:hAnsi="Calibri"/>
                <w:b w:val="0"/>
                <w:sz w:val="19"/>
              </w:rPr>
              <w:t>displacement.txt</w:t>
            </w:r>
          </w:p>
        </w:tc>
        <w:tc>
          <w:tcPr>
            <w:tcW w:type="dxa" w:w="2880"/>
            <w:vAlign w:val="center"/>
          </w:tcPr>
          <w:p>
            <w:pPr>
              <w:spacing w:after="0"/>
            </w:pPr>
            <w:r/>
            <w:r>
              <w:rPr>
                <w:rFonts w:ascii="Calibri" w:hAnsi="Calibri"/>
                <w:b w:val="0"/>
                <w:sz w:val="19"/>
              </w:rPr>
              <w:t>ux, uy, uz separately.</w:t>
            </w:r>
          </w:p>
        </w:tc>
        <w:tc>
          <w:tcPr>
            <w:tcW w:type="dxa" w:w="1872"/>
            <w:vAlign w:val="center"/>
          </w:tcPr>
          <w:p>
            <w:pPr>
              <w:spacing w:after="0"/>
            </w:pPr>
            <w:r/>
            <w:r>
              <w:rPr>
                <w:rFonts w:ascii="Calibri" w:hAnsi="Calibri"/>
                <w:b w:val="0"/>
                <w:sz w:val="19"/>
              </w:rPr>
              <w:t>Movement direction matches applied load.</w:t>
            </w:r>
          </w:p>
        </w:tc>
      </w:tr>
      <w:tr>
        <w:tc>
          <w:tcPr>
            <w:tcW w:type="dxa" w:w="2232"/>
            <w:vAlign w:val="center"/>
          </w:tcPr>
          <w:p>
            <w:pPr>
              <w:spacing w:after="0"/>
            </w:pPr>
            <w:r/>
            <w:r>
              <w:rPr>
                <w:rFonts w:ascii="Calibri" w:hAnsi="Calibri"/>
                <w:b w:val="0"/>
                <w:sz w:val="19"/>
              </w:rPr>
              <w:t>Loaded/unloaded geometry</w:t>
            </w:r>
          </w:p>
        </w:tc>
        <w:tc>
          <w:tcPr>
            <w:tcW w:type="dxa" w:w="2376"/>
            <w:vAlign w:val="center"/>
          </w:tcPr>
          <w:p>
            <w:pPr>
              <w:spacing w:after="0"/>
            </w:pPr>
            <w:r/>
            <w:r>
              <w:rPr>
                <w:rFonts w:ascii="Calibri" w:hAnsi="Calibri"/>
                <w:b w:val="0"/>
                <w:sz w:val="19"/>
              </w:rPr>
              <w:t>coordinate export</w:t>
            </w:r>
          </w:p>
        </w:tc>
        <w:tc>
          <w:tcPr>
            <w:tcW w:type="dxa" w:w="2880"/>
            <w:vAlign w:val="center"/>
          </w:tcPr>
          <w:p>
            <w:pPr>
              <w:spacing w:after="0"/>
            </w:pPr>
            <w:r/>
            <w:r>
              <w:rPr>
                <w:rFonts w:ascii="Calibri" w:hAnsi="Calibri"/>
                <w:b w:val="0"/>
                <w:sz w:val="19"/>
              </w:rPr>
              <w:t>Original versus displaced coordinates.</w:t>
            </w:r>
          </w:p>
        </w:tc>
        <w:tc>
          <w:tcPr>
            <w:tcW w:type="dxa" w:w="1872"/>
            <w:vAlign w:val="center"/>
          </w:tcPr>
          <w:p>
            <w:pPr>
              <w:spacing w:after="0"/>
            </w:pPr>
            <w:r/>
            <w:r>
              <w:rPr>
                <w:rFonts w:ascii="Calibri" w:hAnsi="Calibri"/>
                <w:b w:val="0"/>
                <w:sz w:val="19"/>
              </w:rPr>
              <w:t>Deformed shape is plausible after scale factor.</w:t>
            </w:r>
          </w:p>
        </w:tc>
      </w:tr>
      <w:tr>
        <w:tc>
          <w:tcPr>
            <w:tcW w:type="dxa" w:w="2232"/>
            <w:vAlign w:val="center"/>
          </w:tcPr>
          <w:p>
            <w:pPr>
              <w:spacing w:after="0"/>
            </w:pPr>
            <w:r/>
            <w:r>
              <w:rPr>
                <w:rFonts w:ascii="Calibri" w:hAnsi="Calibri"/>
                <w:b w:val="0"/>
                <w:sz w:val="19"/>
              </w:rPr>
              <w:t>Strain</w:t>
            </w:r>
          </w:p>
        </w:tc>
        <w:tc>
          <w:tcPr>
            <w:tcW w:type="dxa" w:w="2376"/>
            <w:vAlign w:val="center"/>
          </w:tcPr>
          <w:p>
            <w:pPr>
              <w:spacing w:after="0"/>
            </w:pPr>
            <w:r/>
            <w:r>
              <w:rPr>
                <w:rFonts w:ascii="Calibri" w:hAnsi="Calibri"/>
                <w:b w:val="0"/>
                <w:sz w:val="19"/>
              </w:rPr>
              <w:t>computed from displacement gradient</w:t>
            </w:r>
          </w:p>
        </w:tc>
        <w:tc>
          <w:tcPr>
            <w:tcW w:type="dxa" w:w="2880"/>
            <w:vAlign w:val="center"/>
          </w:tcPr>
          <w:p>
            <w:pPr>
              <w:spacing w:after="0"/>
            </w:pPr>
            <w:r/>
            <w:r>
              <w:rPr>
                <w:rFonts w:ascii="Calibri" w:hAnsi="Calibri"/>
                <w:b w:val="0"/>
                <w:sz w:val="19"/>
              </w:rPr>
              <w:t>Local deformation.</w:t>
            </w:r>
          </w:p>
        </w:tc>
        <w:tc>
          <w:tcPr>
            <w:tcW w:type="dxa" w:w="1872"/>
            <w:vAlign w:val="center"/>
          </w:tcPr>
          <w:p>
            <w:pPr>
              <w:spacing w:after="0"/>
            </w:pPr>
            <w:r/>
            <w:r>
              <w:rPr>
                <w:rFonts w:ascii="Calibri" w:hAnsi="Calibri"/>
                <w:b w:val="0"/>
                <w:sz w:val="19"/>
              </w:rPr>
              <w:t>High values near bending or load transfer regions.</w:t>
            </w:r>
          </w:p>
        </w:tc>
      </w:tr>
      <w:tr>
        <w:tc>
          <w:tcPr>
            <w:tcW w:type="dxa" w:w="2232"/>
            <w:vAlign w:val="center"/>
          </w:tcPr>
          <w:p>
            <w:pPr>
              <w:spacing w:after="0"/>
            </w:pPr>
            <w:r/>
            <w:r>
              <w:rPr>
                <w:rFonts w:ascii="Calibri" w:hAnsi="Calibri"/>
                <w:b w:val="0"/>
                <w:sz w:val="19"/>
              </w:rPr>
              <w:t>Stress / Von Mises</w:t>
            </w:r>
          </w:p>
        </w:tc>
        <w:tc>
          <w:tcPr>
            <w:tcW w:type="dxa" w:w="2376"/>
            <w:vAlign w:val="center"/>
          </w:tcPr>
          <w:p>
            <w:pPr>
              <w:spacing w:after="0"/>
            </w:pPr>
            <w:r/>
            <w:r>
              <w:rPr>
                <w:rFonts w:ascii="Calibri" w:hAnsi="Calibri"/>
                <w:b w:val="0"/>
                <w:sz w:val="19"/>
              </w:rPr>
              <w:t>material law plus strain</w:t>
            </w:r>
          </w:p>
        </w:tc>
        <w:tc>
          <w:tcPr>
            <w:tcW w:type="dxa" w:w="2880"/>
            <w:vAlign w:val="center"/>
          </w:tcPr>
          <w:p>
            <w:pPr>
              <w:spacing w:after="0"/>
            </w:pPr>
            <w:r/>
            <w:r>
              <w:rPr>
                <w:rFonts w:ascii="Calibri" w:hAnsi="Calibri"/>
                <w:b w:val="0"/>
                <w:sz w:val="19"/>
              </w:rPr>
              <w:t>Equivalent stress measure.</w:t>
            </w:r>
          </w:p>
        </w:tc>
        <w:tc>
          <w:tcPr>
            <w:tcW w:type="dxa" w:w="1872"/>
            <w:vAlign w:val="center"/>
          </w:tcPr>
          <w:p>
            <w:pPr>
              <w:spacing w:after="0"/>
            </w:pPr>
            <w:r/>
            <w:r>
              <w:rPr>
                <w:rFonts w:ascii="Calibri" w:hAnsi="Calibri"/>
                <w:b w:val="0"/>
                <w:sz w:val="19"/>
              </w:rPr>
              <w:t>Peaks near constraints and load application should be interpreted carefully.</w:t>
            </w:r>
          </w:p>
        </w:tc>
      </w:tr>
      <w:tr>
        <w:tc>
          <w:tcPr>
            <w:tcW w:type="dxa" w:w="2232"/>
            <w:vAlign w:val="center"/>
          </w:tcPr>
          <w:p>
            <w:pPr>
              <w:spacing w:after="0"/>
            </w:pPr>
            <w:r/>
            <w:r>
              <w:rPr>
                <w:rFonts w:ascii="Calibri" w:hAnsi="Calibri"/>
                <w:b w:val="0"/>
                <w:sz w:val="19"/>
              </w:rPr>
              <w:t>SED</w:t>
            </w:r>
          </w:p>
        </w:tc>
        <w:tc>
          <w:tcPr>
            <w:tcW w:type="dxa" w:w="2376"/>
            <w:vAlign w:val="center"/>
          </w:tcPr>
          <w:p>
            <w:pPr>
              <w:spacing w:after="0"/>
            </w:pPr>
            <w:r/>
            <w:r>
              <w:rPr>
                <w:rFonts w:ascii="Calibri" w:hAnsi="Calibri"/>
                <w:b w:val="0"/>
                <w:sz w:val="19"/>
              </w:rPr>
              <w:t>sed.csv</w:t>
            </w:r>
          </w:p>
        </w:tc>
        <w:tc>
          <w:tcPr>
            <w:tcW w:type="dxa" w:w="2880"/>
            <w:vAlign w:val="center"/>
          </w:tcPr>
          <w:p>
            <w:pPr>
              <w:spacing w:after="0"/>
            </w:pPr>
            <w:r/>
            <w:r>
              <w:rPr>
                <w:rFonts w:ascii="Calibri" w:hAnsi="Calibri"/>
                <w:b w:val="0"/>
                <w:sz w:val="19"/>
              </w:rPr>
              <w:t>Strain energy density.</w:t>
            </w:r>
          </w:p>
        </w:tc>
        <w:tc>
          <w:tcPr>
            <w:tcW w:type="dxa" w:w="1872"/>
            <w:vAlign w:val="center"/>
          </w:tcPr>
          <w:p>
            <w:pPr>
              <w:spacing w:after="0"/>
            </w:pPr>
            <w:r/>
            <w:r>
              <w:rPr>
                <w:rFonts w:ascii="Calibri" w:hAnsi="Calibri"/>
                <w:b w:val="0"/>
                <w:sz w:val="19"/>
              </w:rPr>
              <w:t>Useful for identifying mechanically active regions.</w:t>
            </w:r>
          </w:p>
        </w:tc>
      </w:tr>
      <w:tr>
        <w:tc>
          <w:tcPr>
            <w:tcW w:type="dxa" w:w="2232"/>
            <w:vAlign w:val="center"/>
          </w:tcPr>
          <w:p>
            <w:pPr>
              <w:spacing w:after="0"/>
            </w:pPr>
            <w:r/>
            <w:r>
              <w:rPr>
                <w:rFonts w:ascii="Calibri" w:hAnsi="Calibri"/>
                <w:b w:val="0"/>
                <w:sz w:val="19"/>
              </w:rPr>
              <w:t>Forces and constraints</w:t>
            </w:r>
          </w:p>
        </w:tc>
        <w:tc>
          <w:tcPr>
            <w:tcW w:type="dxa" w:w="2376"/>
            <w:vAlign w:val="center"/>
          </w:tcPr>
          <w:p>
            <w:pPr>
              <w:spacing w:after="0"/>
            </w:pPr>
            <w:r/>
            <w:r>
              <w:rPr>
                <w:rFonts w:ascii="Calibri" w:hAnsi="Calibri"/>
                <w:b w:val="0"/>
                <w:sz w:val="19"/>
              </w:rPr>
              <w:t>Script.txt / force.txt</w:t>
            </w:r>
          </w:p>
        </w:tc>
        <w:tc>
          <w:tcPr>
            <w:tcW w:type="dxa" w:w="2880"/>
            <w:vAlign w:val="center"/>
          </w:tcPr>
          <w:p>
            <w:pPr>
              <w:spacing w:after="0"/>
            </w:pPr>
            <w:r/>
            <w:r>
              <w:rPr>
                <w:rFonts w:ascii="Calibri" w:hAnsi="Calibri"/>
                <w:b w:val="0"/>
                <w:sz w:val="19"/>
              </w:rPr>
              <w:t>Boundary condition overlays.</w:t>
            </w:r>
          </w:p>
        </w:tc>
        <w:tc>
          <w:tcPr>
            <w:tcW w:type="dxa" w:w="1872"/>
            <w:vAlign w:val="center"/>
          </w:tcPr>
          <w:p>
            <w:pPr>
              <w:spacing w:after="0"/>
            </w:pPr>
            <w:r/>
            <w:r>
              <w:rPr>
                <w:rFonts w:ascii="Calibri" w:hAnsi="Calibri"/>
                <w:b w:val="0"/>
                <w:sz w:val="19"/>
              </w:rPr>
              <w:t>Confirm selected groups, directions, and magnitudes.</w:t>
            </w:r>
          </w:p>
        </w:tc>
      </w:tr>
      <w:tr>
        <w:tc>
          <w:tcPr>
            <w:tcW w:type="dxa" w:w="2232"/>
            <w:vAlign w:val="center"/>
          </w:tcPr>
          <w:p>
            <w:pPr>
              <w:spacing w:after="0"/>
            </w:pPr>
            <w:r/>
            <w:r>
              <w:rPr>
                <w:rFonts w:ascii="Calibri" w:hAnsi="Calibri"/>
                <w:b w:val="0"/>
                <w:sz w:val="19"/>
              </w:rPr>
              <w:t>Slices / cutaway</w:t>
            </w:r>
          </w:p>
        </w:tc>
        <w:tc>
          <w:tcPr>
            <w:tcW w:type="dxa" w:w="2376"/>
            <w:vAlign w:val="center"/>
          </w:tcPr>
          <w:p>
            <w:pPr>
              <w:spacing w:after="0"/>
            </w:pPr>
            <w:r/>
            <w:r>
              <w:rPr>
                <w:rFonts w:ascii="Calibri" w:hAnsi="Calibri"/>
                <w:b w:val="0"/>
                <w:sz w:val="19"/>
              </w:rPr>
              <w:t>viewer state</w:t>
            </w:r>
          </w:p>
        </w:tc>
        <w:tc>
          <w:tcPr>
            <w:tcW w:type="dxa" w:w="2880"/>
            <w:vAlign w:val="center"/>
          </w:tcPr>
          <w:p>
            <w:pPr>
              <w:spacing w:after="0"/>
            </w:pPr>
            <w:r/>
            <w:r>
              <w:rPr>
                <w:rFonts w:ascii="Calibri" w:hAnsi="Calibri"/>
                <w:b w:val="0"/>
                <w:sz w:val="19"/>
              </w:rPr>
              <w:t>Interior values.</w:t>
            </w:r>
          </w:p>
        </w:tc>
        <w:tc>
          <w:tcPr>
            <w:tcW w:type="dxa" w:w="1872"/>
            <w:vAlign w:val="center"/>
          </w:tcPr>
          <w:p>
            <w:pPr>
              <w:spacing w:after="0"/>
            </w:pPr>
            <w:r/>
            <w:r>
              <w:rPr>
                <w:rFonts w:ascii="Calibri" w:hAnsi="Calibri"/>
                <w:b w:val="0"/>
                <w:sz w:val="19"/>
              </w:rPr>
              <w:t>Check whether hot spots are surface-only or internal.</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FF8E1"/>
          </w:tcPr>
          <w:p>
            <w:pPr>
              <w:spacing w:after="60"/>
            </w:pPr>
            <w:r>
              <w:rPr>
                <w:b/>
                <w:color w:val="1F4D78"/>
                <w:sz w:val="21"/>
              </w:rPr>
              <w:t>Interpreting colour maps</w:t>
            </w:r>
          </w:p>
          <w:p>
            <w:pPr>
              <w:spacing w:after="0"/>
            </w:pPr>
            <w:r>
              <w:rPr>
                <w:sz w:val="20"/>
              </w:rPr>
              <w:t>Colour maps are not proof of correctness. Always check the numerical scale, units, material constants, constraints, force magnitudes, convergence, and whether the displayed geometry is visually amplified.</w:t>
            </w:r>
          </w:p>
        </w:tc>
      </w:tr>
    </w:tbl>
    <w:p/>
    <w:p>
      <w:pPr>
        <w:pStyle w:val="Heading2"/>
      </w:pPr>
      <w:r>
        <w:t>7.3 Bone remodelling: SED-driven Z -&gt; T example</w:t>
      </w:r>
    </w:p>
    <w:p>
      <w:r>
        <w:t>Bone remodelling is a model-update loop rather than a single static solve. A mechanical analysis is run, a local stimulus is computed, and the voxel model is updated according to rules for resorption and formation. In this guide, T means an existing tissue/remodelled material voxel, while Z means an empty or background candidate site. The transition T -&gt; Z represents removal/resorption; the transition Z -&gt; T represents formation/addition.</w:t>
      </w:r>
    </w:p>
    <w:p>
      <w:pPr>
        <w:jc w:val="center"/>
      </w:pPr>
      <w:r>
        <w:drawing>
          <wp:inline xmlns:a="http://schemas.openxmlformats.org/drawingml/2006/main" xmlns:pic="http://schemas.openxmlformats.org/drawingml/2006/picture">
            <wp:extent cx="5715000" cy="3294529"/>
            <wp:docPr id="13" name="Picture 13"/>
            <wp:cNvGraphicFramePr>
              <a:graphicFrameLocks noChangeAspect="1"/>
            </wp:cNvGraphicFramePr>
            <a:graphic>
              <a:graphicData uri="http://schemas.openxmlformats.org/drawingml/2006/picture">
                <pic:pic>
                  <pic:nvPicPr>
                    <pic:cNvPr id="0" name="fig14_bone_remodelling.png"/>
                    <pic:cNvPicPr/>
                  </pic:nvPicPr>
                  <pic:blipFill>
                    <a:blip r:embed="rId23"/>
                    <a:stretch>
                      <a:fillRect/>
                    </a:stretch>
                  </pic:blipFill>
                  <pic:spPr>
                    <a:xfrm>
                      <a:off x="0" y="0"/>
                      <a:ext cx="5715000" cy="3294529"/>
                    </a:xfrm>
                    <a:prstGeom prst="rect"/>
                  </pic:spPr>
                </pic:pic>
              </a:graphicData>
            </a:graphic>
          </wp:inline>
        </w:drawing>
      </w:r>
    </w:p>
    <w:p>
      <w:pPr>
        <w:pStyle w:val="Caption"/>
        <w:jc w:val="center"/>
      </w:pPr>
      <w:r>
        <w:rPr>
          <w:i/>
          <w:color w:val="555555"/>
          <w:sz w:val="18"/>
        </w:rPr>
        <w:t>Figure 13. SED-driven remodelling loop with Z -&gt; T formation and T -&gt; Z resorption.</w:t>
      </w:r>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Mechanical stimulus</w:t>
            </w:r>
          </w:p>
          <w:p>
            <w:pPr>
              <w:spacing w:before="40" w:after="40"/>
              <w:jc w:val="center"/>
            </w:pPr>
            <w:r>
              <w:rPr>
                <w:rFonts w:ascii="Cambria Math" w:hAnsi="Cambria Math"/>
                <w:color w:val="0B2545"/>
                <w:sz w:val="26"/>
              </w:rPr>
              <w:t>S = SED = 1/2 · εᵀσ</w:t>
            </w:r>
          </w:p>
          <w:p>
            <w:pPr>
              <w:spacing w:before="40" w:after="0"/>
            </w:pPr>
            <w:r>
              <w:rPr>
                <w:rFonts w:ascii="Calibri" w:hAnsi="Calibri"/>
                <w:color w:val="505050"/>
                <w:sz w:val="19"/>
              </w:rPr>
              <w:t>The current implementation uses strain energy density as the local mechanical signal.</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Resorption rule</w:t>
            </w:r>
          </w:p>
          <w:p>
            <w:pPr>
              <w:spacing w:before="40" w:after="40"/>
              <w:jc w:val="center"/>
            </w:pPr>
            <w:r>
              <w:rPr>
                <w:rFonts w:ascii="Cambria Math" w:hAnsi="Cambria Math"/>
                <w:color w:val="0B2545"/>
                <w:sz w:val="26"/>
              </w:rPr>
              <w:t>if S &lt; lower threshold: T -&gt; Z</w:t>
            </w:r>
          </w:p>
          <w:p>
            <w:pPr>
              <w:spacing w:before="40" w:after="0"/>
            </w:pPr>
            <w:r>
              <w:rPr>
                <w:rFonts w:ascii="Calibri" w:hAnsi="Calibri"/>
                <w:color w:val="505050"/>
                <w:sz w:val="19"/>
              </w:rPr>
              <w:t>Low mechanical stimulus can remove remodelled tissue voxels.</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Formation rule</w:t>
            </w:r>
          </w:p>
          <w:p>
            <w:pPr>
              <w:spacing w:before="40" w:after="40"/>
              <w:jc w:val="center"/>
            </w:pPr>
            <w:r>
              <w:rPr>
                <w:rFonts w:ascii="Cambria Math" w:hAnsi="Cambria Math"/>
                <w:color w:val="0B2545"/>
                <w:sz w:val="26"/>
              </w:rPr>
              <w:t>if S &gt; upper threshold: Z -&gt; T</w:t>
            </w:r>
          </w:p>
          <w:p>
            <w:pPr>
              <w:spacing w:before="40" w:after="0"/>
            </w:pPr>
            <w:r>
              <w:rPr>
                <w:rFonts w:ascii="Calibri" w:hAnsi="Calibri"/>
                <w:color w:val="505050"/>
                <w:sz w:val="19"/>
              </w:rPr>
              <w:t>High mechanical stimulus can add tissue voxels near the current surface, subject to limits.</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4F6F9"/>
          </w:tcPr>
          <w:p>
            <w:pPr>
              <w:spacing w:after="80"/>
            </w:pPr>
            <w:r/>
            <w:r>
              <w:rPr>
                <w:rFonts w:ascii="Calibri" w:hAnsi="Calibri"/>
                <w:b/>
                <w:color w:val="1F4D78"/>
                <w:sz w:val="19"/>
              </w:rPr>
              <w:t>Example remodelling script block</w:t>
            </w:r>
          </w:p>
          <w:p>
            <w:pPr>
              <w:spacing w:after="0"/>
            </w:pPr>
            <w:r>
              <w:rPr>
                <w:rFonts w:ascii="Consolas" w:hAnsi="Consolas"/>
                <w:color w:val="232D37"/>
                <w:sz w:val="17"/>
              </w:rPr>
              <w:t>COMPUTE_SED</w:t>
              <w:br/>
              <w:t>MODEL_ITERATIONS 10</w:t>
              <w:br/>
              <w:t>REMODEL_LOWER_THRESHOLD 2.0e-04</w:t>
              <w:br/>
              <w:t>REMODEL_UPPER_THRESHOLD 8.0e-04</w:t>
              <w:br/>
              <w:t>REMODEL_SURFACE_ONLY 1</w:t>
              <w:br/>
              <w:t>REMODEL_CONNECTIVITY 26</w:t>
              <w:br/>
              <w:t>REMODEL_FORMATION_LAYER 1</w:t>
              <w:br/>
              <w:t>REMODEL_KEEP_LARGEST_COMPONENT 1</w:t>
              <w:br/>
              <w:t>REMODEL_PROTECT_SELECTED_NODES 1</w:t>
              <w:br/>
              <w:t>REMODEL_MAX_REMOVALS 500</w:t>
              <w:br/>
              <w:t>REMODEL_MAX_ADDITIONS 250</w:t>
              <w:br/>
              <w:t>REMODEL_HISTORY_OUTPUT_DIR history_models</w:t>
              <w:br/>
              <w:t>PRINT_SED sed.csv</w:t>
            </w:r>
          </w:p>
        </w:tc>
      </w:tr>
    </w:tbl>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c>
          <w:tcPr>
            <w:tcW w:type="dxa" w:w="2808"/>
            <w:vAlign w:val="center"/>
            <w:shd w:fill="E8EEF5"/>
          </w:tcPr>
          <w:p>
            <w:pPr>
              <w:spacing w:after="0"/>
            </w:pPr>
            <w:r/>
            <w:r>
              <w:rPr>
                <w:rFonts w:ascii="Calibri" w:hAnsi="Calibri"/>
                <w:b/>
                <w:color w:val="1F4D78"/>
                <w:sz w:val="19"/>
              </w:rPr>
              <w:t>Parameter</w:t>
            </w:r>
          </w:p>
        </w:tc>
        <w:tc>
          <w:tcPr>
            <w:tcW w:type="dxa" w:w="3168"/>
            <w:vAlign w:val="center"/>
            <w:shd w:fill="E8EEF5"/>
          </w:tcPr>
          <w:p>
            <w:pPr>
              <w:spacing w:after="0"/>
            </w:pPr>
            <w:r/>
            <w:r>
              <w:rPr>
                <w:rFonts w:ascii="Calibri" w:hAnsi="Calibri"/>
                <w:b/>
                <w:color w:val="1F4D78"/>
                <w:sz w:val="19"/>
              </w:rPr>
              <w:t>Meaning</w:t>
            </w:r>
          </w:p>
        </w:tc>
        <w:tc>
          <w:tcPr>
            <w:tcW w:type="dxa" w:w="3384"/>
            <w:vAlign w:val="center"/>
            <w:shd w:fill="E8EEF5"/>
          </w:tcPr>
          <w:p>
            <w:pPr>
              <w:spacing w:after="0"/>
            </w:pPr>
            <w:r/>
            <w:r>
              <w:rPr>
                <w:rFonts w:ascii="Calibri" w:hAnsi="Calibri"/>
                <w:b/>
                <w:color w:val="1F4D78"/>
                <w:sz w:val="19"/>
              </w:rPr>
              <w:t>Practical effect</w:t>
            </w:r>
          </w:p>
        </w:tc>
      </w:tr>
      <w:tr>
        <w:tc>
          <w:tcPr>
            <w:tcW w:type="dxa" w:w="2808"/>
            <w:vAlign w:val="center"/>
          </w:tcPr>
          <w:p>
            <w:pPr>
              <w:spacing w:after="0"/>
            </w:pPr>
            <w:r/>
            <w:r>
              <w:rPr>
                <w:rFonts w:ascii="Calibri" w:hAnsi="Calibri"/>
                <w:b w:val="0"/>
                <w:sz w:val="19"/>
              </w:rPr>
              <w:t>COMPUTE_SED</w:t>
            </w:r>
          </w:p>
        </w:tc>
        <w:tc>
          <w:tcPr>
            <w:tcW w:type="dxa" w:w="3168"/>
            <w:vAlign w:val="center"/>
          </w:tcPr>
          <w:p>
            <w:pPr>
              <w:spacing w:after="0"/>
            </w:pPr>
            <w:r/>
            <w:r>
              <w:rPr>
                <w:rFonts w:ascii="Calibri" w:hAnsi="Calibri"/>
                <w:b w:val="0"/>
                <w:sz w:val="19"/>
              </w:rPr>
              <w:t>Requests strain energy density output.</w:t>
            </w:r>
          </w:p>
        </w:tc>
        <w:tc>
          <w:tcPr>
            <w:tcW w:type="dxa" w:w="3384"/>
            <w:vAlign w:val="center"/>
          </w:tcPr>
          <w:p>
            <w:pPr>
              <w:spacing w:after="0"/>
            </w:pPr>
            <w:r/>
            <w:r>
              <w:rPr>
                <w:rFonts w:ascii="Calibri" w:hAnsi="Calibri"/>
                <w:b w:val="0"/>
                <w:sz w:val="19"/>
              </w:rPr>
              <w:t>Required if remodelling is driven by SED.</w:t>
            </w:r>
          </w:p>
        </w:tc>
      </w:tr>
      <w:tr>
        <w:tc>
          <w:tcPr>
            <w:tcW w:type="dxa" w:w="2808"/>
            <w:vAlign w:val="center"/>
          </w:tcPr>
          <w:p>
            <w:pPr>
              <w:spacing w:after="0"/>
            </w:pPr>
            <w:r/>
            <w:r>
              <w:rPr>
                <w:rFonts w:ascii="Calibri" w:hAnsi="Calibri"/>
                <w:b w:val="0"/>
                <w:sz w:val="19"/>
              </w:rPr>
              <w:t>MODEL_ITERATIONS</w:t>
            </w:r>
          </w:p>
        </w:tc>
        <w:tc>
          <w:tcPr>
            <w:tcW w:type="dxa" w:w="3168"/>
            <w:vAlign w:val="center"/>
          </w:tcPr>
          <w:p>
            <w:pPr>
              <w:spacing w:after="0"/>
            </w:pPr>
            <w:r/>
            <w:r>
              <w:rPr>
                <w:rFonts w:ascii="Calibri" w:hAnsi="Calibri"/>
                <w:b w:val="0"/>
                <w:sz w:val="19"/>
              </w:rPr>
              <w:t>Number of solve-update cycles.</w:t>
            </w:r>
          </w:p>
        </w:tc>
        <w:tc>
          <w:tcPr>
            <w:tcW w:type="dxa" w:w="3384"/>
            <w:vAlign w:val="center"/>
          </w:tcPr>
          <w:p>
            <w:pPr>
              <w:spacing w:after="0"/>
            </w:pPr>
            <w:r/>
            <w:r>
              <w:rPr>
                <w:rFonts w:ascii="Calibri" w:hAnsi="Calibri"/>
                <w:b w:val="0"/>
                <w:sz w:val="19"/>
              </w:rPr>
              <w:t>More iterations allow progressive shape/material change.</w:t>
            </w:r>
          </w:p>
        </w:tc>
      </w:tr>
      <w:tr>
        <w:tc>
          <w:tcPr>
            <w:tcW w:type="dxa" w:w="2808"/>
            <w:vAlign w:val="center"/>
          </w:tcPr>
          <w:p>
            <w:pPr>
              <w:spacing w:after="0"/>
            </w:pPr>
            <w:r/>
            <w:r>
              <w:rPr>
                <w:rFonts w:ascii="Calibri" w:hAnsi="Calibri"/>
                <w:b w:val="0"/>
                <w:sz w:val="19"/>
              </w:rPr>
              <w:t>REMODEL_LOWER_THRESHOLD</w:t>
            </w:r>
          </w:p>
        </w:tc>
        <w:tc>
          <w:tcPr>
            <w:tcW w:type="dxa" w:w="3168"/>
            <w:vAlign w:val="center"/>
          </w:tcPr>
          <w:p>
            <w:pPr>
              <w:spacing w:after="0"/>
            </w:pPr>
            <w:r/>
            <w:r>
              <w:rPr>
                <w:rFonts w:ascii="Calibri" w:hAnsi="Calibri"/>
                <w:b w:val="0"/>
                <w:sz w:val="19"/>
              </w:rPr>
              <w:t>SED value below which tissue may be removed.</w:t>
            </w:r>
          </w:p>
        </w:tc>
        <w:tc>
          <w:tcPr>
            <w:tcW w:type="dxa" w:w="3384"/>
            <w:vAlign w:val="center"/>
          </w:tcPr>
          <w:p>
            <w:pPr>
              <w:spacing w:after="0"/>
            </w:pPr>
            <w:r/>
            <w:r>
              <w:rPr>
                <w:rFonts w:ascii="Calibri" w:hAnsi="Calibri"/>
                <w:b w:val="0"/>
                <w:sz w:val="19"/>
              </w:rPr>
              <w:t>Controls T -&gt; Z resorption.</w:t>
            </w:r>
          </w:p>
        </w:tc>
      </w:tr>
      <w:tr>
        <w:tc>
          <w:tcPr>
            <w:tcW w:type="dxa" w:w="2808"/>
            <w:vAlign w:val="center"/>
          </w:tcPr>
          <w:p>
            <w:pPr>
              <w:spacing w:after="0"/>
            </w:pPr>
            <w:r/>
            <w:r>
              <w:rPr>
                <w:rFonts w:ascii="Calibri" w:hAnsi="Calibri"/>
                <w:b w:val="0"/>
                <w:sz w:val="19"/>
              </w:rPr>
              <w:t>REMODEL_UPPER_THRESHOLD</w:t>
            </w:r>
          </w:p>
        </w:tc>
        <w:tc>
          <w:tcPr>
            <w:tcW w:type="dxa" w:w="3168"/>
            <w:vAlign w:val="center"/>
          </w:tcPr>
          <w:p>
            <w:pPr>
              <w:spacing w:after="0"/>
            </w:pPr>
            <w:r/>
            <w:r>
              <w:rPr>
                <w:rFonts w:ascii="Calibri" w:hAnsi="Calibri"/>
                <w:b w:val="0"/>
                <w:sz w:val="19"/>
              </w:rPr>
              <w:t>SED value above which tissue may be formed.</w:t>
            </w:r>
          </w:p>
        </w:tc>
        <w:tc>
          <w:tcPr>
            <w:tcW w:type="dxa" w:w="3384"/>
            <w:vAlign w:val="center"/>
          </w:tcPr>
          <w:p>
            <w:pPr>
              <w:spacing w:after="0"/>
            </w:pPr>
            <w:r/>
            <w:r>
              <w:rPr>
                <w:rFonts w:ascii="Calibri" w:hAnsi="Calibri"/>
                <w:b w:val="0"/>
                <w:sz w:val="19"/>
              </w:rPr>
              <w:t>Controls Z -&gt; T formation.</w:t>
            </w:r>
          </w:p>
        </w:tc>
      </w:tr>
      <w:tr>
        <w:tc>
          <w:tcPr>
            <w:tcW w:type="dxa" w:w="2808"/>
            <w:vAlign w:val="center"/>
          </w:tcPr>
          <w:p>
            <w:pPr>
              <w:spacing w:after="0"/>
            </w:pPr>
            <w:r/>
            <w:r>
              <w:rPr>
                <w:rFonts w:ascii="Calibri" w:hAnsi="Calibri"/>
                <w:b w:val="0"/>
                <w:sz w:val="19"/>
              </w:rPr>
              <w:t>REMODEL_SURFACE_ONLY</w:t>
            </w:r>
          </w:p>
        </w:tc>
        <w:tc>
          <w:tcPr>
            <w:tcW w:type="dxa" w:w="3168"/>
            <w:vAlign w:val="center"/>
          </w:tcPr>
          <w:p>
            <w:pPr>
              <w:spacing w:after="0"/>
            </w:pPr>
            <w:r/>
            <w:r>
              <w:rPr>
                <w:rFonts w:ascii="Calibri" w:hAnsi="Calibri"/>
                <w:b w:val="0"/>
                <w:sz w:val="19"/>
              </w:rPr>
              <w:t>Restricts changes to surface voxels/candidates.</w:t>
            </w:r>
          </w:p>
        </w:tc>
        <w:tc>
          <w:tcPr>
            <w:tcW w:type="dxa" w:w="3384"/>
            <w:vAlign w:val="center"/>
          </w:tcPr>
          <w:p>
            <w:pPr>
              <w:spacing w:after="0"/>
            </w:pPr>
            <w:r/>
            <w:r>
              <w:rPr>
                <w:rFonts w:ascii="Calibri" w:hAnsi="Calibri"/>
                <w:b w:val="0"/>
                <w:sz w:val="19"/>
              </w:rPr>
              <w:t>Prevents unrealistic internal holes or growth.</w:t>
            </w:r>
          </w:p>
        </w:tc>
      </w:tr>
      <w:tr>
        <w:tc>
          <w:tcPr>
            <w:tcW w:type="dxa" w:w="2808"/>
            <w:vAlign w:val="center"/>
          </w:tcPr>
          <w:p>
            <w:pPr>
              <w:spacing w:after="0"/>
            </w:pPr>
            <w:r/>
            <w:r>
              <w:rPr>
                <w:rFonts w:ascii="Calibri" w:hAnsi="Calibri"/>
                <w:b w:val="0"/>
                <w:sz w:val="19"/>
              </w:rPr>
              <w:t>REMODEL_CONNECTIVITY</w:t>
            </w:r>
          </w:p>
        </w:tc>
        <w:tc>
          <w:tcPr>
            <w:tcW w:type="dxa" w:w="3168"/>
            <w:vAlign w:val="center"/>
          </w:tcPr>
          <w:p>
            <w:pPr>
              <w:spacing w:after="0"/>
            </w:pPr>
            <w:r/>
            <w:r>
              <w:rPr>
                <w:rFonts w:ascii="Calibri" w:hAnsi="Calibri"/>
                <w:b w:val="0"/>
                <w:sz w:val="19"/>
              </w:rPr>
              <w:t>Neighbourhood used for surface/candidate checks.</w:t>
            </w:r>
          </w:p>
        </w:tc>
        <w:tc>
          <w:tcPr>
            <w:tcW w:type="dxa" w:w="3384"/>
            <w:vAlign w:val="center"/>
          </w:tcPr>
          <w:p>
            <w:pPr>
              <w:spacing w:after="0"/>
            </w:pPr>
            <w:r/>
            <w:r>
              <w:rPr>
                <w:rFonts w:ascii="Calibri" w:hAnsi="Calibri"/>
                <w:b w:val="0"/>
                <w:sz w:val="19"/>
              </w:rPr>
              <w:t>26 is permissive in 3D; 6 is stricter face connectivity.</w:t>
            </w:r>
          </w:p>
        </w:tc>
      </w:tr>
      <w:tr>
        <w:tc>
          <w:tcPr>
            <w:tcW w:type="dxa" w:w="2808"/>
            <w:vAlign w:val="center"/>
          </w:tcPr>
          <w:p>
            <w:pPr>
              <w:spacing w:after="0"/>
            </w:pPr>
            <w:r/>
            <w:r>
              <w:rPr>
                <w:rFonts w:ascii="Calibri" w:hAnsi="Calibri"/>
                <w:b w:val="0"/>
                <w:sz w:val="19"/>
              </w:rPr>
              <w:t>REMODEL_FORMATION_LAYER</w:t>
            </w:r>
          </w:p>
        </w:tc>
        <w:tc>
          <w:tcPr>
            <w:tcW w:type="dxa" w:w="3168"/>
            <w:vAlign w:val="center"/>
          </w:tcPr>
          <w:p>
            <w:pPr>
              <w:spacing w:after="0"/>
            </w:pPr>
            <w:r/>
            <w:r>
              <w:rPr>
                <w:rFonts w:ascii="Calibri" w:hAnsi="Calibri"/>
                <w:b w:val="0"/>
                <w:sz w:val="19"/>
              </w:rPr>
              <w:t>How many candidate layers outside the surface can be considered.</w:t>
            </w:r>
          </w:p>
        </w:tc>
        <w:tc>
          <w:tcPr>
            <w:tcW w:type="dxa" w:w="3384"/>
            <w:vAlign w:val="center"/>
          </w:tcPr>
          <w:p>
            <w:pPr>
              <w:spacing w:after="0"/>
            </w:pPr>
            <w:r/>
            <w:r>
              <w:rPr>
                <w:rFonts w:ascii="Calibri" w:hAnsi="Calibri"/>
                <w:b w:val="0"/>
                <w:sz w:val="19"/>
              </w:rPr>
              <w:t>Higher values allow thicker growth per iteration.</w:t>
            </w:r>
          </w:p>
        </w:tc>
      </w:tr>
      <w:tr>
        <w:tc>
          <w:tcPr>
            <w:tcW w:type="dxa" w:w="2808"/>
            <w:vAlign w:val="center"/>
          </w:tcPr>
          <w:p>
            <w:pPr>
              <w:spacing w:after="0"/>
            </w:pPr>
            <w:r/>
            <w:r>
              <w:rPr>
                <w:rFonts w:ascii="Calibri" w:hAnsi="Calibri"/>
                <w:b w:val="0"/>
                <w:sz w:val="19"/>
              </w:rPr>
              <w:t>REMODEL_KEEP_LARGEST_COMPONENT</w:t>
            </w:r>
          </w:p>
        </w:tc>
        <w:tc>
          <w:tcPr>
            <w:tcW w:type="dxa" w:w="3168"/>
            <w:vAlign w:val="center"/>
          </w:tcPr>
          <w:p>
            <w:pPr>
              <w:spacing w:after="0"/>
            </w:pPr>
            <w:r/>
            <w:r>
              <w:rPr>
                <w:rFonts w:ascii="Calibri" w:hAnsi="Calibri"/>
                <w:b w:val="0"/>
                <w:sz w:val="19"/>
              </w:rPr>
              <w:t>Keeps the model connected after removals.</w:t>
            </w:r>
          </w:p>
        </w:tc>
        <w:tc>
          <w:tcPr>
            <w:tcW w:type="dxa" w:w="3384"/>
            <w:vAlign w:val="center"/>
          </w:tcPr>
          <w:p>
            <w:pPr>
              <w:spacing w:after="0"/>
            </w:pPr>
            <w:r/>
            <w:r>
              <w:rPr>
                <w:rFonts w:ascii="Calibri" w:hAnsi="Calibri"/>
                <w:b w:val="0"/>
                <w:sz w:val="19"/>
              </w:rPr>
              <w:t>Avoids fragmenting the structure.</w:t>
            </w:r>
          </w:p>
        </w:tc>
      </w:tr>
      <w:tr>
        <w:tc>
          <w:tcPr>
            <w:tcW w:type="dxa" w:w="2808"/>
            <w:vAlign w:val="center"/>
          </w:tcPr>
          <w:p>
            <w:pPr>
              <w:spacing w:after="0"/>
            </w:pPr>
            <w:r/>
            <w:r>
              <w:rPr>
                <w:rFonts w:ascii="Calibri" w:hAnsi="Calibri"/>
                <w:b w:val="0"/>
                <w:sz w:val="19"/>
              </w:rPr>
              <w:t>REMODEL_PROTECT_SELECTED_NODES</w:t>
            </w:r>
          </w:p>
        </w:tc>
        <w:tc>
          <w:tcPr>
            <w:tcW w:type="dxa" w:w="3168"/>
            <w:vAlign w:val="center"/>
          </w:tcPr>
          <w:p>
            <w:pPr>
              <w:spacing w:after="0"/>
            </w:pPr>
            <w:r/>
            <w:r>
              <w:rPr>
                <w:rFonts w:ascii="Calibri" w:hAnsi="Calibri"/>
                <w:b w:val="0"/>
                <w:sz w:val="19"/>
              </w:rPr>
              <w:t>Protects selected load/constraint nodes.</w:t>
            </w:r>
          </w:p>
        </w:tc>
        <w:tc>
          <w:tcPr>
            <w:tcW w:type="dxa" w:w="3384"/>
            <w:vAlign w:val="center"/>
          </w:tcPr>
          <w:p>
            <w:pPr>
              <w:spacing w:after="0"/>
            </w:pPr>
            <w:r/>
            <w:r>
              <w:rPr>
                <w:rFonts w:ascii="Calibri" w:hAnsi="Calibri"/>
                <w:b w:val="0"/>
                <w:sz w:val="19"/>
              </w:rPr>
              <w:t>Prevents boundary conditions from disappearing.</w:t>
            </w:r>
          </w:p>
        </w:tc>
      </w:tr>
      <w:tr>
        <w:tc>
          <w:tcPr>
            <w:tcW w:type="dxa" w:w="2808"/>
            <w:vAlign w:val="center"/>
          </w:tcPr>
          <w:p>
            <w:pPr>
              <w:spacing w:after="0"/>
            </w:pPr>
            <w:r/>
            <w:r>
              <w:rPr>
                <w:rFonts w:ascii="Calibri" w:hAnsi="Calibri"/>
                <w:b w:val="0"/>
                <w:sz w:val="19"/>
              </w:rPr>
              <w:t>REMODEL_MAX_REMOVALS</w:t>
            </w:r>
          </w:p>
        </w:tc>
        <w:tc>
          <w:tcPr>
            <w:tcW w:type="dxa" w:w="3168"/>
            <w:vAlign w:val="center"/>
          </w:tcPr>
          <w:p>
            <w:pPr>
              <w:spacing w:after="0"/>
            </w:pPr>
            <w:r/>
            <w:r>
              <w:rPr>
                <w:rFonts w:ascii="Calibri" w:hAnsi="Calibri"/>
                <w:b w:val="0"/>
                <w:sz w:val="19"/>
              </w:rPr>
              <w:t>Maximum removals per iteration.</w:t>
            </w:r>
          </w:p>
        </w:tc>
        <w:tc>
          <w:tcPr>
            <w:tcW w:type="dxa" w:w="3384"/>
            <w:vAlign w:val="center"/>
          </w:tcPr>
          <w:p>
            <w:pPr>
              <w:spacing w:after="0"/>
            </w:pPr>
            <w:r/>
            <w:r>
              <w:rPr>
                <w:rFonts w:ascii="Calibri" w:hAnsi="Calibri"/>
                <w:b w:val="0"/>
                <w:sz w:val="19"/>
              </w:rPr>
              <w:t>Limits how aggressive resorption can be.</w:t>
            </w:r>
          </w:p>
        </w:tc>
      </w:tr>
      <w:tr>
        <w:tc>
          <w:tcPr>
            <w:tcW w:type="dxa" w:w="2808"/>
            <w:vAlign w:val="center"/>
          </w:tcPr>
          <w:p>
            <w:pPr>
              <w:spacing w:after="0"/>
            </w:pPr>
            <w:r/>
            <w:r>
              <w:rPr>
                <w:rFonts w:ascii="Calibri" w:hAnsi="Calibri"/>
                <w:b w:val="0"/>
                <w:sz w:val="19"/>
              </w:rPr>
              <w:t>REMODEL_MAX_ADDITIONS</w:t>
            </w:r>
          </w:p>
        </w:tc>
        <w:tc>
          <w:tcPr>
            <w:tcW w:type="dxa" w:w="3168"/>
            <w:vAlign w:val="center"/>
          </w:tcPr>
          <w:p>
            <w:pPr>
              <w:spacing w:after="0"/>
            </w:pPr>
            <w:r/>
            <w:r>
              <w:rPr>
                <w:rFonts w:ascii="Calibri" w:hAnsi="Calibri"/>
                <w:b w:val="0"/>
                <w:sz w:val="19"/>
              </w:rPr>
              <w:t>Maximum additions per iteration.</w:t>
            </w:r>
          </w:p>
        </w:tc>
        <w:tc>
          <w:tcPr>
            <w:tcW w:type="dxa" w:w="3384"/>
            <w:vAlign w:val="center"/>
          </w:tcPr>
          <w:p>
            <w:pPr>
              <w:spacing w:after="0"/>
            </w:pPr>
            <w:r/>
            <w:r>
              <w:rPr>
                <w:rFonts w:ascii="Calibri" w:hAnsi="Calibri"/>
                <w:b w:val="0"/>
                <w:sz w:val="19"/>
              </w:rPr>
              <w:t>Limits how aggressive formation can be.</w:t>
            </w:r>
          </w:p>
        </w:tc>
      </w:tr>
      <w:tr>
        <w:tc>
          <w:tcPr>
            <w:tcW w:type="dxa" w:w="2808"/>
            <w:vAlign w:val="center"/>
          </w:tcPr>
          <w:p>
            <w:pPr>
              <w:spacing w:after="0"/>
            </w:pPr>
            <w:r/>
            <w:r>
              <w:rPr>
                <w:rFonts w:ascii="Calibri" w:hAnsi="Calibri"/>
                <w:b w:val="0"/>
                <w:sz w:val="19"/>
              </w:rPr>
              <w:t>REMODEL_HISTORY_OUTPUT_DIR</w:t>
            </w:r>
          </w:p>
        </w:tc>
        <w:tc>
          <w:tcPr>
            <w:tcW w:type="dxa" w:w="3168"/>
            <w:vAlign w:val="center"/>
          </w:tcPr>
          <w:p>
            <w:pPr>
              <w:spacing w:after="0"/>
            </w:pPr>
            <w:r/>
            <w:r>
              <w:rPr>
                <w:rFonts w:ascii="Calibri" w:hAnsi="Calibri"/>
                <w:b w:val="0"/>
                <w:sz w:val="19"/>
              </w:rPr>
              <w:t>Folder for intermediate models.</w:t>
            </w:r>
          </w:p>
        </w:tc>
        <w:tc>
          <w:tcPr>
            <w:tcW w:type="dxa" w:w="3384"/>
            <w:vAlign w:val="center"/>
          </w:tcPr>
          <w:p>
            <w:pPr>
              <w:spacing w:after="0"/>
            </w:pPr>
            <w:r/>
            <w:r>
              <w:rPr>
                <w:rFonts w:ascii="Calibri" w:hAnsi="Calibri"/>
                <w:b w:val="0"/>
                <w:sz w:val="19"/>
              </w:rPr>
              <w:t>Allows animation and audit of each remodelling step.</w:t>
            </w:r>
          </w:p>
        </w:tc>
      </w:tr>
      <w:tr>
        <w:tc>
          <w:tcPr>
            <w:tcW w:type="dxa" w:w="2808"/>
            <w:vAlign w:val="center"/>
          </w:tcPr>
          <w:p>
            <w:pPr>
              <w:spacing w:after="0"/>
            </w:pPr>
            <w:r/>
            <w:r>
              <w:rPr>
                <w:rFonts w:ascii="Calibri" w:hAnsi="Calibri"/>
                <w:b w:val="0"/>
                <w:sz w:val="19"/>
              </w:rPr>
              <w:t>PRINT_SED</w:t>
            </w:r>
          </w:p>
        </w:tc>
        <w:tc>
          <w:tcPr>
            <w:tcW w:type="dxa" w:w="3168"/>
            <w:vAlign w:val="center"/>
          </w:tcPr>
          <w:p>
            <w:pPr>
              <w:spacing w:after="0"/>
            </w:pPr>
            <w:r/>
            <w:r>
              <w:rPr>
                <w:rFonts w:ascii="Calibri" w:hAnsi="Calibri"/>
                <w:b w:val="0"/>
                <w:sz w:val="19"/>
              </w:rPr>
              <w:t>Writes the SED file.</w:t>
            </w:r>
          </w:p>
        </w:tc>
        <w:tc>
          <w:tcPr>
            <w:tcW w:type="dxa" w:w="3384"/>
            <w:vAlign w:val="center"/>
          </w:tcPr>
          <w:p>
            <w:pPr>
              <w:spacing w:after="0"/>
            </w:pPr>
            <w:r/>
            <w:r>
              <w:rPr>
                <w:rFonts w:ascii="Calibri" w:hAnsi="Calibri"/>
                <w:b w:val="0"/>
                <w:sz w:val="19"/>
              </w:rPr>
              <w:t>Useful for debugging and visualization.</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FF8E1"/>
          </w:tcPr>
          <w:p>
            <w:pPr>
              <w:spacing w:after="60"/>
            </w:pPr>
            <w:r>
              <w:rPr>
                <w:b/>
                <w:color w:val="1F4D78"/>
                <w:sz w:val="21"/>
              </w:rPr>
              <w:t>Choosing thresholds</w:t>
            </w:r>
          </w:p>
          <w:p>
            <w:pPr>
              <w:spacing w:after="0"/>
            </w:pPr>
            <w:r>
              <w:rPr>
                <w:sz w:val="20"/>
              </w:rPr>
              <w:t>If thresholds are left unspecified in the GUI workflow, percentile-based defaults can be used internally. For reproducible scientific runs, write explicit lower and upper thresholds in the script and report them with the model.</w:t>
            </w:r>
          </w:p>
        </w:tc>
      </w:tr>
    </w:tbl>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40"/>
        <w:gridCol w:w="2340"/>
        <w:gridCol w:w="2340"/>
        <w:gridCol w:w="2340"/>
      </w:tblGrid>
      <w:tr>
        <w:tc>
          <w:tcPr>
            <w:tcW w:type="dxa" w:w="1440"/>
            <w:vAlign w:val="center"/>
            <w:shd w:fill="E8EEF5"/>
          </w:tcPr>
          <w:p>
            <w:pPr>
              <w:spacing w:after="0"/>
            </w:pPr>
            <w:r/>
            <w:r>
              <w:rPr>
                <w:rFonts w:ascii="Calibri" w:hAnsi="Calibri"/>
                <w:b/>
                <w:color w:val="1F4D78"/>
                <w:sz w:val="19"/>
              </w:rPr>
              <w:t>Transition</w:t>
            </w:r>
          </w:p>
        </w:tc>
        <w:tc>
          <w:tcPr>
            <w:tcW w:type="dxa" w:w="2664"/>
            <w:vAlign w:val="center"/>
            <w:shd w:fill="E8EEF5"/>
          </w:tcPr>
          <w:p>
            <w:pPr>
              <w:spacing w:after="0"/>
            </w:pPr>
            <w:r/>
            <w:r>
              <w:rPr>
                <w:rFonts w:ascii="Calibri" w:hAnsi="Calibri"/>
                <w:b/>
                <w:color w:val="1F4D78"/>
                <w:sz w:val="19"/>
              </w:rPr>
              <w:t>Input state</w:t>
            </w:r>
          </w:p>
        </w:tc>
        <w:tc>
          <w:tcPr>
            <w:tcW w:type="dxa" w:w="3960"/>
            <w:vAlign w:val="center"/>
            <w:shd w:fill="E8EEF5"/>
          </w:tcPr>
          <w:p>
            <w:pPr>
              <w:spacing w:after="0"/>
            </w:pPr>
            <w:r/>
            <w:r>
              <w:rPr>
                <w:rFonts w:ascii="Calibri" w:hAnsi="Calibri"/>
                <w:b/>
                <w:color w:val="1F4D78"/>
                <w:sz w:val="19"/>
              </w:rPr>
              <w:t>Condition</w:t>
            </w:r>
          </w:p>
        </w:tc>
        <w:tc>
          <w:tcPr>
            <w:tcW w:type="dxa" w:w="1296"/>
            <w:vAlign w:val="center"/>
            <w:shd w:fill="E8EEF5"/>
          </w:tcPr>
          <w:p>
            <w:pPr>
              <w:spacing w:after="0"/>
            </w:pPr>
            <w:r/>
            <w:r>
              <w:rPr>
                <w:rFonts w:ascii="Calibri" w:hAnsi="Calibri"/>
                <w:b/>
                <w:color w:val="1F4D78"/>
                <w:sz w:val="19"/>
              </w:rPr>
              <w:t>Output state</w:t>
            </w:r>
          </w:p>
        </w:tc>
      </w:tr>
      <w:tr>
        <w:tc>
          <w:tcPr>
            <w:tcW w:type="dxa" w:w="1440"/>
            <w:vAlign w:val="center"/>
          </w:tcPr>
          <w:p>
            <w:pPr>
              <w:spacing w:after="0"/>
            </w:pPr>
            <w:r/>
            <w:r>
              <w:rPr>
                <w:rFonts w:ascii="Calibri" w:hAnsi="Calibri"/>
                <w:b w:val="0"/>
                <w:sz w:val="19"/>
              </w:rPr>
              <w:t>T -&gt; Z</w:t>
            </w:r>
          </w:p>
        </w:tc>
        <w:tc>
          <w:tcPr>
            <w:tcW w:type="dxa" w:w="2664"/>
            <w:vAlign w:val="center"/>
          </w:tcPr>
          <w:p>
            <w:pPr>
              <w:spacing w:after="0"/>
            </w:pPr>
            <w:r/>
            <w:r>
              <w:rPr>
                <w:rFonts w:ascii="Calibri" w:hAnsi="Calibri"/>
                <w:b w:val="0"/>
                <w:sz w:val="19"/>
              </w:rPr>
              <w:t>Existing remodelled tissue voxel</w:t>
            </w:r>
          </w:p>
        </w:tc>
        <w:tc>
          <w:tcPr>
            <w:tcW w:type="dxa" w:w="3960"/>
            <w:vAlign w:val="center"/>
          </w:tcPr>
          <w:p>
            <w:pPr>
              <w:spacing w:after="0"/>
            </w:pPr>
            <w:r/>
            <w:r>
              <w:rPr>
                <w:rFonts w:ascii="Calibri" w:hAnsi="Calibri"/>
                <w:b w:val="0"/>
                <w:sz w:val="19"/>
              </w:rPr>
              <w:t>SED below lower threshold and removal does not violate protection/connectivity rules.</w:t>
            </w:r>
          </w:p>
        </w:tc>
        <w:tc>
          <w:tcPr>
            <w:tcW w:type="dxa" w:w="1296"/>
            <w:vAlign w:val="center"/>
          </w:tcPr>
          <w:p>
            <w:pPr>
              <w:spacing w:after="0"/>
            </w:pPr>
            <w:r/>
            <w:r>
              <w:rPr>
                <w:rFonts w:ascii="Calibri" w:hAnsi="Calibri"/>
                <w:b w:val="0"/>
                <w:sz w:val="19"/>
              </w:rPr>
              <w:t>Voxel is removed or converted to background.</w:t>
            </w:r>
          </w:p>
        </w:tc>
      </w:tr>
      <w:tr>
        <w:tc>
          <w:tcPr>
            <w:tcW w:type="dxa" w:w="1440"/>
            <w:vAlign w:val="center"/>
          </w:tcPr>
          <w:p>
            <w:pPr>
              <w:spacing w:after="0"/>
            </w:pPr>
            <w:r/>
            <w:r>
              <w:rPr>
                <w:rFonts w:ascii="Calibri" w:hAnsi="Calibri"/>
                <w:b w:val="0"/>
                <w:sz w:val="19"/>
              </w:rPr>
              <w:t>Z -&gt; T</w:t>
            </w:r>
          </w:p>
        </w:tc>
        <w:tc>
          <w:tcPr>
            <w:tcW w:type="dxa" w:w="2664"/>
            <w:vAlign w:val="center"/>
          </w:tcPr>
          <w:p>
            <w:pPr>
              <w:spacing w:after="0"/>
            </w:pPr>
            <w:r/>
            <w:r>
              <w:rPr>
                <w:rFonts w:ascii="Calibri" w:hAnsi="Calibri"/>
                <w:b w:val="0"/>
                <w:sz w:val="19"/>
              </w:rPr>
              <w:t>Empty candidate site near the model surface</w:t>
            </w:r>
          </w:p>
        </w:tc>
        <w:tc>
          <w:tcPr>
            <w:tcW w:type="dxa" w:w="3960"/>
            <w:vAlign w:val="center"/>
          </w:tcPr>
          <w:p>
            <w:pPr>
              <w:spacing w:after="0"/>
            </w:pPr>
            <w:r/>
            <w:r>
              <w:rPr>
                <w:rFonts w:ascii="Calibri" w:hAnsi="Calibri"/>
                <w:b w:val="0"/>
                <w:sz w:val="19"/>
              </w:rPr>
              <w:t>Neighbouring tissue has high SED and addition limit is not exceeded.</w:t>
            </w:r>
          </w:p>
        </w:tc>
        <w:tc>
          <w:tcPr>
            <w:tcW w:type="dxa" w:w="1296"/>
            <w:vAlign w:val="center"/>
          </w:tcPr>
          <w:p>
            <w:pPr>
              <w:spacing w:after="0"/>
            </w:pPr>
            <w:r/>
            <w:r>
              <w:rPr>
                <w:rFonts w:ascii="Calibri" w:hAnsi="Calibri"/>
                <w:b w:val="0"/>
                <w:sz w:val="19"/>
              </w:rPr>
              <w:t>New tissue voxel is added with the remodelled material ID.</w:t>
            </w:r>
          </w:p>
        </w:tc>
      </w:tr>
      <w:tr>
        <w:tc>
          <w:tcPr>
            <w:tcW w:type="dxa" w:w="1440"/>
            <w:vAlign w:val="center"/>
          </w:tcPr>
          <w:p>
            <w:pPr>
              <w:spacing w:after="0"/>
            </w:pPr>
            <w:r/>
            <w:r>
              <w:rPr>
                <w:rFonts w:ascii="Calibri" w:hAnsi="Calibri"/>
                <w:b w:val="0"/>
                <w:sz w:val="19"/>
              </w:rPr>
              <w:t>No change</w:t>
            </w:r>
          </w:p>
        </w:tc>
        <w:tc>
          <w:tcPr>
            <w:tcW w:type="dxa" w:w="2664"/>
            <w:vAlign w:val="center"/>
          </w:tcPr>
          <w:p>
            <w:pPr>
              <w:spacing w:after="0"/>
            </w:pPr>
            <w:r/>
            <w:r>
              <w:rPr>
                <w:rFonts w:ascii="Calibri" w:hAnsi="Calibri"/>
                <w:b w:val="0"/>
                <w:sz w:val="19"/>
              </w:rPr>
              <w:t>Tissue or candidate site</w:t>
            </w:r>
          </w:p>
        </w:tc>
        <w:tc>
          <w:tcPr>
            <w:tcW w:type="dxa" w:w="3960"/>
            <w:vAlign w:val="center"/>
          </w:tcPr>
          <w:p>
            <w:pPr>
              <w:spacing w:after="0"/>
            </w:pPr>
            <w:r/>
            <w:r>
              <w:rPr>
                <w:rFonts w:ascii="Calibri" w:hAnsi="Calibri"/>
                <w:b w:val="0"/>
                <w:sz w:val="19"/>
              </w:rPr>
              <w:t>Stimulus remains inside the lazy zone or limits are reached.</w:t>
            </w:r>
          </w:p>
        </w:tc>
        <w:tc>
          <w:tcPr>
            <w:tcW w:type="dxa" w:w="1296"/>
            <w:vAlign w:val="center"/>
          </w:tcPr>
          <w:p>
            <w:pPr>
              <w:spacing w:after="0"/>
            </w:pPr>
            <w:r/>
            <w:r>
              <w:rPr>
                <w:rFonts w:ascii="Calibri" w:hAnsi="Calibri"/>
                <w:b w:val="0"/>
                <w:sz w:val="19"/>
              </w:rPr>
              <w:t>Voxel state is preserved.</w:t>
            </w:r>
          </w:p>
        </w:tc>
      </w:tr>
    </w:tbl>
    <w:p/>
    <w:p>
      <w:pPr>
        <w:pStyle w:val="Heading2"/>
      </w:pPr>
      <w:r>
        <w:t>7.4 Plausible displacement</w:t>
      </w:r>
    </w:p>
    <w:p>
      <w:r>
        <w:t>A plausible displacement field must be consistent with loads, constraints, scale, and material stiffness. There is no universal correct value. A small stiff model under modest load may move very little; a softer material may produce much larger displacement.</w:t>
      </w:r>
    </w:p>
    <w:p>
      <w:pPr>
        <w:pStyle w:val="ListBullet"/>
      </w:pPr>
      <w:r>
        <w:t>Constrained nodes should have zero or prescribed displacement in the locked components.</w:t>
      </w:r>
    </w:p>
    <w:p>
      <w:pPr>
        <w:pStyle w:val="ListBullet"/>
      </w:pPr>
      <w:r>
        <w:t>Loaded regions should move in the expected direction.</w:t>
      </w:r>
    </w:p>
    <w:p>
      <w:pPr>
        <w:pStyle w:val="ListBullet"/>
      </w:pPr>
      <w:r>
        <w:t>If material or voxel size changes, compare displacement ratios, not only colours.</w:t>
      </w:r>
    </w:p>
    <w:p>
      <w:pPr>
        <w:pStyle w:val="ListBullet"/>
      </w:pPr>
      <w:r>
        <w:t>The visually scaled deformed shape is an inspection aid, not the absolute displacement value.</w:t>
      </w:r>
    </w:p>
    <w:p>
      <w:pPr>
        <w:pStyle w:val="Heading1"/>
      </w:pPr>
      <w:r>
        <w:t>8. Validation and troubleshooting</w:t>
      </w:r>
    </w:p>
    <w:p>
      <w:pPr>
        <w:jc w:val="center"/>
      </w:pPr>
      <w:r>
        <w:drawing>
          <wp:inline xmlns:a="http://schemas.openxmlformats.org/drawingml/2006/main" xmlns:pic="http://schemas.openxmlformats.org/drawingml/2006/picture">
            <wp:extent cx="5715000" cy="3393281"/>
            <wp:docPr id="14" name="Picture 14"/>
            <wp:cNvGraphicFramePr>
              <a:graphicFrameLocks noChangeAspect="1"/>
            </wp:cNvGraphicFramePr>
            <a:graphic>
              <a:graphicData uri="http://schemas.openxmlformats.org/drawingml/2006/picture">
                <pic:pic>
                  <pic:nvPicPr>
                    <pic:cNvPr id="0" name="fig07_validation.png"/>
                    <pic:cNvPicPr/>
                  </pic:nvPicPr>
                  <pic:blipFill>
                    <a:blip r:embed="rId24"/>
                    <a:stretch>
                      <a:fillRect/>
                    </a:stretch>
                  </pic:blipFill>
                  <pic:spPr>
                    <a:xfrm>
                      <a:off x="0" y="0"/>
                      <a:ext cx="5715000" cy="3393281"/>
                    </a:xfrm>
                    <a:prstGeom prst="rect"/>
                  </pic:spPr>
                </pic:pic>
              </a:graphicData>
            </a:graphic>
          </wp:inline>
        </w:drawing>
      </w:r>
    </w:p>
    <w:p>
      <w:pPr>
        <w:pStyle w:val="Caption"/>
        <w:jc w:val="center"/>
      </w:pPr>
      <w:r>
        <w:rPr>
          <w:i/>
          <w:color w:val="555555"/>
          <w:sz w:val="18"/>
        </w:rPr>
        <w:t>Figure 7. Validation checklist before accepting a result.</w:t>
      </w:r>
    </w:p>
    <w:p>
      <w:pPr>
        <w:pStyle w:val="Heading2"/>
      </w:pPr>
      <w:r>
        <w:t>8.1 Common problems</w:t>
      </w:r>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c>
          <w:tcPr>
            <w:tcW w:type="dxa" w:w="2376"/>
            <w:vAlign w:val="center"/>
            <w:shd w:fill="E8EEF5"/>
          </w:tcPr>
          <w:p>
            <w:pPr>
              <w:spacing w:after="0"/>
            </w:pPr>
            <w:r/>
            <w:r>
              <w:rPr>
                <w:rFonts w:ascii="Calibri" w:hAnsi="Calibri"/>
                <w:b/>
                <w:color w:val="1F4D78"/>
                <w:sz w:val="19"/>
              </w:rPr>
              <w:t>Symptom</w:t>
            </w:r>
          </w:p>
        </w:tc>
        <w:tc>
          <w:tcPr>
            <w:tcW w:type="dxa" w:w="3816"/>
            <w:vAlign w:val="center"/>
            <w:shd w:fill="E8EEF5"/>
          </w:tcPr>
          <w:p>
            <w:pPr>
              <w:spacing w:after="0"/>
            </w:pPr>
            <w:r/>
            <w:r>
              <w:rPr>
                <w:rFonts w:ascii="Calibri" w:hAnsi="Calibri"/>
                <w:b/>
                <w:color w:val="1F4D78"/>
                <w:sz w:val="19"/>
              </w:rPr>
              <w:t>Possible cause</w:t>
            </w:r>
          </w:p>
        </w:tc>
        <w:tc>
          <w:tcPr>
            <w:tcW w:type="dxa" w:w="3168"/>
            <w:vAlign w:val="center"/>
            <w:shd w:fill="E8EEF5"/>
          </w:tcPr>
          <w:p>
            <w:pPr>
              <w:spacing w:after="0"/>
            </w:pPr>
            <w:r/>
            <w:r>
              <w:rPr>
                <w:rFonts w:ascii="Calibri" w:hAnsi="Calibri"/>
                <w:b/>
                <w:color w:val="1F4D78"/>
                <w:sz w:val="19"/>
              </w:rPr>
              <w:t>Action</w:t>
            </w:r>
          </w:p>
        </w:tc>
      </w:tr>
      <w:tr>
        <w:tc>
          <w:tcPr>
            <w:tcW w:type="dxa" w:w="2376"/>
            <w:vAlign w:val="center"/>
          </w:tcPr>
          <w:p>
            <w:pPr>
              <w:spacing w:after="0"/>
            </w:pPr>
            <w:r/>
            <w:r>
              <w:rPr>
                <w:rFonts w:ascii="Calibri" w:hAnsi="Calibri"/>
                <w:b w:val="0"/>
                <w:sz w:val="19"/>
              </w:rPr>
              <w:t>All-zero displacement</w:t>
            </w:r>
          </w:p>
        </w:tc>
        <w:tc>
          <w:tcPr>
            <w:tcW w:type="dxa" w:w="3816"/>
            <w:vAlign w:val="center"/>
          </w:tcPr>
          <w:p>
            <w:pPr>
              <w:spacing w:after="0"/>
            </w:pPr>
            <w:r/>
            <w:r>
              <w:rPr>
                <w:rFonts w:ascii="Calibri" w:hAnsi="Calibri"/>
                <w:b w:val="0"/>
                <w:sz w:val="19"/>
              </w:rPr>
              <w:t>No applied loads, excessive constraints, export/import issue, or false convergence.</w:t>
            </w:r>
          </w:p>
        </w:tc>
        <w:tc>
          <w:tcPr>
            <w:tcW w:type="dxa" w:w="3168"/>
            <w:vAlign w:val="center"/>
          </w:tcPr>
          <w:p>
            <w:pPr>
              <w:spacing w:after="0"/>
            </w:pPr>
            <w:r/>
            <w:r>
              <w:rPr>
                <w:rFonts w:ascii="Calibri" w:hAnsi="Calibri"/>
                <w:b w:val="0"/>
                <w:sz w:val="19"/>
              </w:rPr>
              <w:t>Check force.txt, selected nodes, and summary JSON.</w:t>
            </w:r>
          </w:p>
        </w:tc>
      </w:tr>
      <w:tr>
        <w:tc>
          <w:tcPr>
            <w:tcW w:type="dxa" w:w="2376"/>
            <w:vAlign w:val="center"/>
          </w:tcPr>
          <w:p>
            <w:pPr>
              <w:spacing w:after="0"/>
            </w:pPr>
            <w:r/>
            <w:r>
              <w:rPr>
                <w:rFonts w:ascii="Calibri" w:hAnsi="Calibri"/>
                <w:b w:val="0"/>
                <w:sz w:val="19"/>
              </w:rPr>
              <w:t>Very large displacement</w:t>
            </w:r>
          </w:p>
        </w:tc>
        <w:tc>
          <w:tcPr>
            <w:tcW w:type="dxa" w:w="3816"/>
            <w:vAlign w:val="center"/>
          </w:tcPr>
          <w:p>
            <w:pPr>
              <w:spacing w:after="0"/>
            </w:pPr>
            <w:r/>
            <w:r>
              <w:rPr>
                <w:rFonts w:ascii="Calibri" w:hAnsi="Calibri"/>
                <w:b w:val="0"/>
                <w:sz w:val="19"/>
              </w:rPr>
              <w:t>Material too soft, wrong voxel size, or force magnitude too high.</w:t>
            </w:r>
          </w:p>
        </w:tc>
        <w:tc>
          <w:tcPr>
            <w:tcW w:type="dxa" w:w="3168"/>
            <w:vAlign w:val="center"/>
          </w:tcPr>
          <w:p>
            <w:pPr>
              <w:spacing w:after="0"/>
            </w:pPr>
            <w:r/>
            <w:r>
              <w:rPr>
                <w:rFonts w:ascii="Calibri" w:hAnsi="Calibri"/>
                <w:b w:val="0"/>
                <w:sz w:val="19"/>
              </w:rPr>
              <w:t>Check E in Pa, voxel size, and Newton units.</w:t>
            </w:r>
          </w:p>
        </w:tc>
      </w:tr>
      <w:tr>
        <w:tc>
          <w:tcPr>
            <w:tcW w:type="dxa" w:w="2376"/>
            <w:vAlign w:val="center"/>
          </w:tcPr>
          <w:p>
            <w:pPr>
              <w:spacing w:after="0"/>
            </w:pPr>
            <w:r/>
            <w:r>
              <w:rPr>
                <w:rFonts w:ascii="Calibri" w:hAnsi="Calibri"/>
                <w:b w:val="0"/>
                <w:sz w:val="19"/>
              </w:rPr>
              <w:t>Slow assembly</w:t>
            </w:r>
          </w:p>
        </w:tc>
        <w:tc>
          <w:tcPr>
            <w:tcW w:type="dxa" w:w="3816"/>
            <w:vAlign w:val="center"/>
          </w:tcPr>
          <w:p>
            <w:pPr>
              <w:spacing w:after="0"/>
            </w:pPr>
            <w:r/>
            <w:r>
              <w:rPr>
                <w:rFonts w:ascii="Calibri" w:hAnsi="Calibri"/>
                <w:b w:val="0"/>
                <w:sz w:val="19"/>
              </w:rPr>
              <w:t>Large sparse matrix or file I/O through /mnt/c.</w:t>
            </w:r>
          </w:p>
        </w:tc>
        <w:tc>
          <w:tcPr>
            <w:tcW w:type="dxa" w:w="3168"/>
            <w:vAlign w:val="center"/>
          </w:tcPr>
          <w:p>
            <w:pPr>
              <w:spacing w:after="0"/>
            </w:pPr>
            <w:r/>
            <w:r>
              <w:rPr>
                <w:rFonts w:ascii="Calibri" w:hAnsi="Calibri"/>
                <w:b w:val="0"/>
                <w:sz w:val="19"/>
              </w:rPr>
              <w:t>Use MRBR on Windows or copy the case into Ubuntu home.</w:t>
            </w:r>
          </w:p>
        </w:tc>
      </w:tr>
      <w:tr>
        <w:tc>
          <w:tcPr>
            <w:tcW w:type="dxa" w:w="2376"/>
            <w:vAlign w:val="center"/>
          </w:tcPr>
          <w:p>
            <w:pPr>
              <w:spacing w:after="0"/>
            </w:pPr>
            <w:r/>
            <w:r>
              <w:rPr>
                <w:rFonts w:ascii="Calibri" w:hAnsi="Calibri"/>
                <w:b w:val="0"/>
                <w:sz w:val="19"/>
              </w:rPr>
              <w:t>GAMG uses too much RAM</w:t>
            </w:r>
          </w:p>
        </w:tc>
        <w:tc>
          <w:tcPr>
            <w:tcW w:type="dxa" w:w="3816"/>
            <w:vAlign w:val="center"/>
          </w:tcPr>
          <w:p>
            <w:pPr>
              <w:spacing w:after="0"/>
            </w:pPr>
            <w:r/>
            <w:r>
              <w:rPr>
                <w:rFonts w:ascii="Calibri" w:hAnsi="Calibri"/>
                <w:b w:val="0"/>
                <w:sz w:val="19"/>
              </w:rPr>
              <w:t>Multigrid preconditioner setup is memory-heavy.</w:t>
            </w:r>
          </w:p>
        </w:tc>
        <w:tc>
          <w:tcPr>
            <w:tcW w:type="dxa" w:w="3168"/>
            <w:vAlign w:val="center"/>
          </w:tcPr>
          <w:p>
            <w:pPr>
              <w:spacing w:after="0"/>
            </w:pPr>
            <w:r/>
            <w:r>
              <w:rPr>
                <w:rFonts w:ascii="Calibri" w:hAnsi="Calibri"/>
                <w:b w:val="0"/>
                <w:sz w:val="19"/>
              </w:rPr>
              <w:t>Reduce MPI_PROCS or try a simpler method.</w:t>
            </w:r>
          </w:p>
        </w:tc>
      </w:tr>
      <w:tr>
        <w:tc>
          <w:tcPr>
            <w:tcW w:type="dxa" w:w="2376"/>
            <w:vAlign w:val="center"/>
          </w:tcPr>
          <w:p>
            <w:pPr>
              <w:spacing w:after="0"/>
            </w:pPr>
            <w:r/>
            <w:r>
              <w:rPr>
                <w:rFonts w:ascii="Calibri" w:hAnsi="Calibri"/>
                <w:b w:val="0"/>
                <w:sz w:val="19"/>
              </w:rPr>
              <w:t>Residual does not decrease</w:t>
            </w:r>
          </w:p>
        </w:tc>
        <w:tc>
          <w:tcPr>
            <w:tcW w:type="dxa" w:w="3816"/>
            <w:vAlign w:val="center"/>
          </w:tcPr>
          <w:p>
            <w:pPr>
              <w:spacing w:after="0"/>
            </w:pPr>
            <w:r/>
            <w:r>
              <w:rPr>
                <w:rFonts w:ascii="Calibri" w:hAnsi="Calibri"/>
                <w:b w:val="0"/>
                <w:sz w:val="19"/>
              </w:rPr>
              <w:t>Poor conditioning, insufficient constraints, or extreme material contrast.</w:t>
            </w:r>
          </w:p>
        </w:tc>
        <w:tc>
          <w:tcPr>
            <w:tcW w:type="dxa" w:w="3168"/>
            <w:vAlign w:val="center"/>
          </w:tcPr>
          <w:p>
            <w:pPr>
              <w:spacing w:after="0"/>
            </w:pPr>
            <w:r/>
            <w:r>
              <w:rPr>
                <w:rFonts w:ascii="Calibri" w:hAnsi="Calibri"/>
                <w:b w:val="0"/>
                <w:sz w:val="19"/>
              </w:rPr>
              <w:t>Check rigid body modes and boundary conditions.</w:t>
            </w:r>
          </w:p>
        </w:tc>
      </w:tr>
    </w:tbl>
    <w:p/>
    <w:p>
      <w:pPr>
        <w:pStyle w:val="Heading2"/>
      </w:pPr>
      <w:r>
        <w:t>8.2 Comparing with legacy VoxFEA</w:t>
      </w:r>
    </w:p>
    <w:p>
      <w:r>
        <w:t>A meaningful comparison with legacy VoxFEA requires the same model, voxel size, materials, loads, and constraints. During VoxFE-UV 0.41 development, a key issue was ambiguous legacy material handling: a label such as METAL must not automatically imply metallic stiffness if the material actually represents biological tissue.</w:t>
      </w:r>
    </w:p>
    <w:p>
      <w:pPr>
        <w:pStyle w:val="ListBullet"/>
      </w:pPr>
      <w:r>
        <w:t>Compare displacement.txt node by node.</w:t>
      </w:r>
    </w:p>
    <w:p>
      <w:pPr>
        <w:pStyle w:val="ListBullet"/>
      </w:pPr>
      <w:r>
        <w:t>Compute relative L2 error between old and new displacement vectors.</w:t>
      </w:r>
    </w:p>
    <w:p>
      <w:pPr>
        <w:pStyle w:val="ListBullet"/>
      </w:pPr>
      <w:r>
        <w:t>Compare directions and magnitudes, not only the rendered colour map.</w:t>
      </w:r>
    </w:p>
    <w:p>
      <w:pPr>
        <w:pStyle w:val="ListBullet"/>
      </w:pPr>
      <w:r>
        <w:t>If cases are identical, the mean displacement magnitude ratio should be close to 1.</w:t>
      </w:r>
    </w:p>
    <w:p>
      <w:pPr>
        <w:pStyle w:val="Heading1"/>
      </w:pPr>
      <w:r>
        <w:t>9. Appendix A: essential formulas</w:t>
      </w:r>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Strain-displacement</w:t>
            </w:r>
          </w:p>
          <w:p>
            <w:pPr>
              <w:spacing w:before="40" w:after="40"/>
              <w:jc w:val="center"/>
            </w:pPr>
            <w:r>
              <w:rPr>
                <w:rFonts w:ascii="Cambria Math" w:hAnsi="Cambria Math"/>
                <w:color w:val="0B2545"/>
                <w:sz w:val="26"/>
              </w:rPr>
              <w:t>ε = B uₑ</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Element stress</w:t>
            </w:r>
          </w:p>
          <w:p>
            <w:pPr>
              <w:spacing w:before="40" w:after="40"/>
              <w:jc w:val="center"/>
            </w:pPr>
            <w:r>
              <w:rPr>
                <w:rFonts w:ascii="Cambria Math" w:hAnsi="Cambria Math"/>
                <w:color w:val="0B2545"/>
                <w:sz w:val="26"/>
              </w:rPr>
              <w:t>σ = C B uₑ</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Element stiffness</w:t>
            </w:r>
          </w:p>
          <w:p>
            <w:pPr>
              <w:spacing w:before="40" w:after="40"/>
              <w:jc w:val="center"/>
            </w:pPr>
            <w:r>
              <w:rPr>
                <w:rFonts w:ascii="Cambria Math" w:hAnsi="Cambria Math"/>
                <w:color w:val="0B2545"/>
                <w:sz w:val="26"/>
              </w:rPr>
              <w:t>Kₑ = ∫element volume Bᵀ C B dV</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Assembly</w:t>
            </w:r>
          </w:p>
          <w:p>
            <w:pPr>
              <w:spacing w:before="40" w:after="40"/>
              <w:jc w:val="center"/>
            </w:pPr>
            <w:r>
              <w:rPr>
                <w:rFonts w:ascii="Cambria Math" w:hAnsi="Cambria Math"/>
                <w:color w:val="0B2545"/>
                <w:sz w:val="26"/>
              </w:rPr>
              <w:t>K = Σₑ Aₑᵀ Kₑ Aₑ</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Global equilibrium</w:t>
            </w:r>
          </w:p>
          <w:p>
            <w:pPr>
              <w:spacing w:before="40" w:after="40"/>
              <w:jc w:val="center"/>
            </w:pPr>
            <w:r>
              <w:rPr>
                <w:rFonts w:ascii="Cambria Math" w:hAnsi="Cambria Math"/>
                <w:color w:val="0B2545"/>
                <w:sz w:val="26"/>
              </w:rPr>
              <w:t>K u = f</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Strain energy density</w:t>
            </w:r>
          </w:p>
          <w:p>
            <w:pPr>
              <w:spacing w:before="40" w:after="40"/>
              <w:jc w:val="center"/>
            </w:pPr>
            <w:r>
              <w:rPr>
                <w:rFonts w:ascii="Cambria Math" w:hAnsi="Cambria Math"/>
                <w:color w:val="0B2545"/>
                <w:sz w:val="26"/>
              </w:rPr>
              <w:t>SED = 1/2 · εᵀσ</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Residual</w:t>
            </w:r>
          </w:p>
          <w:p>
            <w:pPr>
              <w:spacing w:before="40" w:after="40"/>
              <w:jc w:val="center"/>
            </w:pPr>
            <w:r>
              <w:rPr>
                <w:rFonts w:ascii="Cambria Math" w:hAnsi="Cambria Math"/>
                <w:color w:val="0B2545"/>
                <w:sz w:val="26"/>
              </w:rPr>
              <w:t>r = f − K u</w:t>
            </w:r>
          </w:p>
        </w:tc>
      </w:tr>
    </w:tbl>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8FAFC"/>
          </w:tcPr>
          <w:p>
            <w:pPr>
              <w:spacing w:after="40"/>
            </w:pPr>
            <w:r/>
            <w:r>
              <w:rPr>
                <w:rFonts w:ascii="Calibri" w:hAnsi="Calibri"/>
                <w:b/>
                <w:color w:val="1F4D78"/>
                <w:sz w:val="19"/>
              </w:rPr>
              <w:t>Euclidean norm</w:t>
            </w:r>
          </w:p>
          <w:p>
            <w:pPr>
              <w:spacing w:before="40" w:after="40"/>
              <w:jc w:val="center"/>
            </w:pPr>
            <w:r>
              <w:rPr>
                <w:rFonts w:ascii="Cambria Math" w:hAnsi="Cambria Math"/>
                <w:color w:val="0B2545"/>
                <w:sz w:val="26"/>
              </w:rPr>
              <w:t>‖r‖₂ = √(Σᵢ rᵢ²)</w:t>
            </w:r>
          </w:p>
        </w:tc>
      </w:tr>
    </w:tbl>
    <w:p/>
    <w:p>
      <w:pPr>
        <w:pStyle w:val="Heading1"/>
      </w:pPr>
      <w:r>
        <w:t>10. Appendix B: operational checklist</w:t>
      </w:r>
    </w:p>
    <w:tbl>
      <w:tblPr>
        <w:tblW w:type="auto" w:w="0"/>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c>
          <w:tcPr>
            <w:tcW w:type="dxa" w:w="1944"/>
            <w:vAlign w:val="center"/>
            <w:shd w:fill="E8EEF5"/>
          </w:tcPr>
          <w:p>
            <w:pPr>
              <w:spacing w:after="0"/>
            </w:pPr>
            <w:r/>
            <w:r>
              <w:rPr>
                <w:rFonts w:ascii="Calibri" w:hAnsi="Calibri"/>
                <w:b/>
                <w:color w:val="1F4D78"/>
                <w:sz w:val="19"/>
              </w:rPr>
              <w:t>Check</w:t>
            </w:r>
          </w:p>
        </w:tc>
        <w:tc>
          <w:tcPr>
            <w:tcW w:type="dxa" w:w="6552"/>
            <w:vAlign w:val="center"/>
            <w:shd w:fill="E8EEF5"/>
          </w:tcPr>
          <w:p>
            <w:pPr>
              <w:spacing w:after="0"/>
            </w:pPr>
            <w:r/>
            <w:r>
              <w:rPr>
                <w:rFonts w:ascii="Calibri" w:hAnsi="Calibri"/>
                <w:b/>
                <w:color w:val="1F4D78"/>
                <w:sz w:val="19"/>
              </w:rPr>
              <w:t>Question</w:t>
            </w:r>
          </w:p>
        </w:tc>
        <w:tc>
          <w:tcPr>
            <w:tcW w:type="dxa" w:w="864"/>
            <w:vAlign w:val="center"/>
            <w:shd w:fill="E8EEF5"/>
          </w:tcPr>
          <w:p>
            <w:pPr>
              <w:spacing w:after="0"/>
            </w:pPr>
            <w:r/>
            <w:r>
              <w:rPr>
                <w:rFonts w:ascii="Calibri" w:hAnsi="Calibri"/>
                <w:b/>
                <w:color w:val="1F4D78"/>
                <w:sz w:val="19"/>
              </w:rPr>
              <w:t>OK</w:t>
            </w:r>
          </w:p>
        </w:tc>
      </w:tr>
      <w:tr>
        <w:tc>
          <w:tcPr>
            <w:tcW w:type="dxa" w:w="1944"/>
            <w:vAlign w:val="center"/>
          </w:tcPr>
          <w:p>
            <w:pPr>
              <w:spacing w:after="0"/>
            </w:pPr>
            <w:r/>
            <w:r>
              <w:rPr>
                <w:rFonts w:ascii="Calibri" w:hAnsi="Calibri"/>
                <w:b w:val="0"/>
                <w:sz w:val="19"/>
              </w:rPr>
              <w:t>Voxel size</w:t>
            </w:r>
          </w:p>
        </w:tc>
        <w:tc>
          <w:tcPr>
            <w:tcW w:type="dxa" w:w="6552"/>
            <w:vAlign w:val="center"/>
          </w:tcPr>
          <w:p>
            <w:pPr>
              <w:spacing w:after="0"/>
            </w:pPr>
            <w:r/>
            <w:r>
              <w:rPr>
                <w:rFonts w:ascii="Calibri" w:hAnsi="Calibri"/>
                <w:b w:val="0"/>
                <w:sz w:val="19"/>
              </w:rPr>
              <w:t>Is the physical scale correct and documented?</w:t>
            </w:r>
          </w:p>
        </w:tc>
        <w:tc>
          <w:tcPr>
            <w:tcW w:type="dxa" w:w="864"/>
            <w:vAlign w:val="center"/>
          </w:tcPr>
          <w:p>
            <w:pPr>
              <w:spacing w:after="0"/>
            </w:pPr>
            <w:r/>
            <w:r>
              <w:rPr>
                <w:rFonts w:ascii="Calibri" w:hAnsi="Calibri"/>
                <w:b w:val="0"/>
                <w:sz w:val="19"/>
              </w:rPr>
              <w:t>[  ]</w:t>
            </w:r>
          </w:p>
        </w:tc>
      </w:tr>
      <w:tr>
        <w:tc>
          <w:tcPr>
            <w:tcW w:type="dxa" w:w="1944"/>
            <w:vAlign w:val="center"/>
          </w:tcPr>
          <w:p>
            <w:pPr>
              <w:spacing w:after="0"/>
            </w:pPr>
            <w:r/>
            <w:r>
              <w:rPr>
                <w:rFonts w:ascii="Calibri" w:hAnsi="Calibri"/>
                <w:b w:val="0"/>
                <w:sz w:val="19"/>
              </w:rPr>
              <w:t>Materials</w:t>
            </w:r>
          </w:p>
        </w:tc>
        <w:tc>
          <w:tcPr>
            <w:tcW w:type="dxa" w:w="6552"/>
            <w:vAlign w:val="center"/>
          </w:tcPr>
          <w:p>
            <w:pPr>
              <w:spacing w:after="0"/>
            </w:pPr>
            <w:r/>
            <w:r>
              <w:rPr>
                <w:rFonts w:ascii="Calibri" w:hAnsi="Calibri"/>
                <w:b w:val="0"/>
                <w:sz w:val="19"/>
              </w:rPr>
              <w:t>Does every material ID have correct E and nu?</w:t>
            </w:r>
          </w:p>
        </w:tc>
        <w:tc>
          <w:tcPr>
            <w:tcW w:type="dxa" w:w="864"/>
            <w:vAlign w:val="center"/>
          </w:tcPr>
          <w:p>
            <w:pPr>
              <w:spacing w:after="0"/>
            </w:pPr>
            <w:r/>
            <w:r>
              <w:rPr>
                <w:rFonts w:ascii="Calibri" w:hAnsi="Calibri"/>
                <w:b w:val="0"/>
                <w:sz w:val="19"/>
              </w:rPr>
              <w:t>[  ]</w:t>
            </w:r>
          </w:p>
        </w:tc>
      </w:tr>
      <w:tr>
        <w:tc>
          <w:tcPr>
            <w:tcW w:type="dxa" w:w="1944"/>
            <w:vAlign w:val="center"/>
          </w:tcPr>
          <w:p>
            <w:pPr>
              <w:spacing w:after="0"/>
            </w:pPr>
            <w:r/>
            <w:r>
              <w:rPr>
                <w:rFonts w:ascii="Calibri" w:hAnsi="Calibri"/>
                <w:b w:val="0"/>
                <w:sz w:val="19"/>
              </w:rPr>
              <w:t>Forces</w:t>
            </w:r>
          </w:p>
        </w:tc>
        <w:tc>
          <w:tcPr>
            <w:tcW w:type="dxa" w:w="6552"/>
            <w:vAlign w:val="center"/>
          </w:tcPr>
          <w:p>
            <w:pPr>
              <w:spacing w:after="0"/>
            </w:pPr>
            <w:r/>
            <w:r>
              <w:rPr>
                <w:rFonts w:ascii="Calibri" w:hAnsi="Calibri"/>
                <w:b w:val="0"/>
                <w:sz w:val="19"/>
              </w:rPr>
              <w:t>Are magnitudes in Newtons and directions correct?</w:t>
            </w:r>
          </w:p>
        </w:tc>
        <w:tc>
          <w:tcPr>
            <w:tcW w:type="dxa" w:w="864"/>
            <w:vAlign w:val="center"/>
          </w:tcPr>
          <w:p>
            <w:pPr>
              <w:spacing w:after="0"/>
            </w:pPr>
            <w:r/>
            <w:r>
              <w:rPr>
                <w:rFonts w:ascii="Calibri" w:hAnsi="Calibri"/>
                <w:b w:val="0"/>
                <w:sz w:val="19"/>
              </w:rPr>
              <w:t>[  ]</w:t>
            </w:r>
          </w:p>
        </w:tc>
      </w:tr>
      <w:tr>
        <w:tc>
          <w:tcPr>
            <w:tcW w:type="dxa" w:w="1944"/>
            <w:vAlign w:val="center"/>
          </w:tcPr>
          <w:p>
            <w:pPr>
              <w:spacing w:after="0"/>
            </w:pPr>
            <w:r/>
            <w:r>
              <w:rPr>
                <w:rFonts w:ascii="Calibri" w:hAnsi="Calibri"/>
                <w:b w:val="0"/>
                <w:sz w:val="19"/>
              </w:rPr>
              <w:t>Constraints</w:t>
            </w:r>
          </w:p>
        </w:tc>
        <w:tc>
          <w:tcPr>
            <w:tcW w:type="dxa" w:w="6552"/>
            <w:vAlign w:val="center"/>
          </w:tcPr>
          <w:p>
            <w:pPr>
              <w:spacing w:after="0"/>
            </w:pPr>
            <w:r/>
            <w:r>
              <w:rPr>
                <w:rFonts w:ascii="Calibri" w:hAnsi="Calibri"/>
                <w:b w:val="0"/>
                <w:sz w:val="19"/>
              </w:rPr>
              <w:t>Is the model stable without being over-constrained?</w:t>
            </w:r>
          </w:p>
        </w:tc>
        <w:tc>
          <w:tcPr>
            <w:tcW w:type="dxa" w:w="864"/>
            <w:vAlign w:val="center"/>
          </w:tcPr>
          <w:p>
            <w:pPr>
              <w:spacing w:after="0"/>
            </w:pPr>
            <w:r/>
            <w:r>
              <w:rPr>
                <w:rFonts w:ascii="Calibri" w:hAnsi="Calibri"/>
                <w:b w:val="0"/>
                <w:sz w:val="19"/>
              </w:rPr>
              <w:t>[  ]</w:t>
            </w:r>
          </w:p>
        </w:tc>
      </w:tr>
      <w:tr>
        <w:tc>
          <w:tcPr>
            <w:tcW w:type="dxa" w:w="1944"/>
            <w:vAlign w:val="center"/>
          </w:tcPr>
          <w:p>
            <w:pPr>
              <w:spacing w:after="0"/>
            </w:pPr>
            <w:r/>
            <w:r>
              <w:rPr>
                <w:rFonts w:ascii="Calibri" w:hAnsi="Calibri"/>
                <w:b w:val="0"/>
                <w:sz w:val="19"/>
              </w:rPr>
              <w:t>Solver</w:t>
            </w:r>
          </w:p>
        </w:tc>
        <w:tc>
          <w:tcPr>
            <w:tcW w:type="dxa" w:w="6552"/>
            <w:vAlign w:val="center"/>
          </w:tcPr>
          <w:p>
            <w:pPr>
              <w:spacing w:after="0"/>
            </w:pPr>
            <w:r/>
            <w:r>
              <w:rPr>
                <w:rFonts w:ascii="Calibri" w:hAnsi="Calibri"/>
                <w:b w:val="0"/>
                <w:sz w:val="19"/>
              </w:rPr>
              <w:t>Is the method appropriate for problem size?</w:t>
            </w:r>
          </w:p>
        </w:tc>
        <w:tc>
          <w:tcPr>
            <w:tcW w:type="dxa" w:w="864"/>
            <w:vAlign w:val="center"/>
          </w:tcPr>
          <w:p>
            <w:pPr>
              <w:spacing w:after="0"/>
            </w:pPr>
            <w:r/>
            <w:r>
              <w:rPr>
                <w:rFonts w:ascii="Calibri" w:hAnsi="Calibri"/>
                <w:b w:val="0"/>
                <w:sz w:val="19"/>
              </w:rPr>
              <w:t>[  ]</w:t>
            </w:r>
          </w:p>
        </w:tc>
      </w:tr>
      <w:tr>
        <w:tc>
          <w:tcPr>
            <w:tcW w:type="dxa" w:w="1944"/>
            <w:vAlign w:val="center"/>
          </w:tcPr>
          <w:p>
            <w:pPr>
              <w:spacing w:after="0"/>
            </w:pPr>
            <w:r/>
            <w:r>
              <w:rPr>
                <w:rFonts w:ascii="Calibri" w:hAnsi="Calibri"/>
                <w:b w:val="0"/>
                <w:sz w:val="19"/>
              </w:rPr>
              <w:t>Convergence</w:t>
            </w:r>
          </w:p>
        </w:tc>
        <w:tc>
          <w:tcPr>
            <w:tcW w:type="dxa" w:w="6552"/>
            <w:vAlign w:val="center"/>
          </w:tcPr>
          <w:p>
            <w:pPr>
              <w:spacing w:after="0"/>
            </w:pPr>
            <w:r/>
            <w:r>
              <w:rPr>
                <w:rFonts w:ascii="Calibri" w:hAnsi="Calibri"/>
                <w:b w:val="0"/>
                <w:sz w:val="19"/>
              </w:rPr>
              <w:t>Does the residual decrease meaningfully?</w:t>
            </w:r>
          </w:p>
        </w:tc>
        <w:tc>
          <w:tcPr>
            <w:tcW w:type="dxa" w:w="864"/>
            <w:vAlign w:val="center"/>
          </w:tcPr>
          <w:p>
            <w:pPr>
              <w:spacing w:after="0"/>
            </w:pPr>
            <w:r/>
            <w:r>
              <w:rPr>
                <w:rFonts w:ascii="Calibri" w:hAnsi="Calibri"/>
                <w:b w:val="0"/>
                <w:sz w:val="19"/>
              </w:rPr>
              <w:t>[  ]</w:t>
            </w:r>
          </w:p>
        </w:tc>
      </w:tr>
      <w:tr>
        <w:tc>
          <w:tcPr>
            <w:tcW w:type="dxa" w:w="1944"/>
            <w:vAlign w:val="center"/>
          </w:tcPr>
          <w:p>
            <w:pPr>
              <w:spacing w:after="0"/>
            </w:pPr>
            <w:r/>
            <w:r>
              <w:rPr>
                <w:rFonts w:ascii="Calibri" w:hAnsi="Calibri"/>
                <w:b w:val="0"/>
                <w:sz w:val="19"/>
              </w:rPr>
              <w:t>Output</w:t>
            </w:r>
          </w:p>
        </w:tc>
        <w:tc>
          <w:tcPr>
            <w:tcW w:type="dxa" w:w="6552"/>
            <w:vAlign w:val="center"/>
          </w:tcPr>
          <w:p>
            <w:pPr>
              <w:spacing w:after="0"/>
            </w:pPr>
            <w:r/>
            <w:r>
              <w:rPr>
                <w:rFonts w:ascii="Calibri" w:hAnsi="Calibri"/>
                <w:b w:val="0"/>
                <w:sz w:val="19"/>
              </w:rPr>
              <w:t>Are displacement and reactions physically plausible?</w:t>
            </w:r>
          </w:p>
        </w:tc>
        <w:tc>
          <w:tcPr>
            <w:tcW w:type="dxa" w:w="864"/>
            <w:vAlign w:val="center"/>
          </w:tcPr>
          <w:p>
            <w:pPr>
              <w:spacing w:after="0"/>
            </w:pPr>
            <w:r/>
            <w:r>
              <w:rPr>
                <w:rFonts w:ascii="Calibri" w:hAnsi="Calibri"/>
                <w:b w:val="0"/>
                <w:sz w:val="19"/>
              </w:rPr>
              <w:t>[  ]</w:t>
            </w:r>
          </w:p>
        </w:tc>
      </w:tr>
      <w:tr>
        <w:tc>
          <w:tcPr>
            <w:tcW w:type="dxa" w:w="1944"/>
            <w:vAlign w:val="center"/>
          </w:tcPr>
          <w:p>
            <w:pPr>
              <w:spacing w:after="0"/>
            </w:pPr>
            <w:r/>
            <w:r>
              <w:rPr>
                <w:rFonts w:ascii="Calibri" w:hAnsi="Calibri"/>
                <w:b w:val="0"/>
                <w:sz w:val="19"/>
              </w:rPr>
              <w:t>Archive</w:t>
            </w:r>
          </w:p>
        </w:tc>
        <w:tc>
          <w:tcPr>
            <w:tcW w:type="dxa" w:w="6552"/>
            <w:vAlign w:val="center"/>
          </w:tcPr>
          <w:p>
            <w:pPr>
              <w:spacing w:after="0"/>
            </w:pPr>
            <w:r/>
            <w:r>
              <w:rPr>
                <w:rFonts w:ascii="Calibri" w:hAnsi="Calibri"/>
                <w:b w:val="0"/>
                <w:sz w:val="19"/>
              </w:rPr>
              <w:t>Are script, model, summary, and log stored together?</w:t>
            </w:r>
          </w:p>
        </w:tc>
        <w:tc>
          <w:tcPr>
            <w:tcW w:type="dxa" w:w="864"/>
            <w:vAlign w:val="center"/>
          </w:tcPr>
          <w:p>
            <w:pPr>
              <w:spacing w:after="0"/>
            </w:pPr>
            <w:r/>
            <w:r>
              <w:rPr>
                <w:rFonts w:ascii="Calibri" w:hAnsi="Calibri"/>
                <w:b w:val="0"/>
                <w:sz w:val="19"/>
              </w:rPr>
              <w:t>[  ]</w:t>
            </w:r>
          </w:p>
        </w:tc>
      </w:tr>
    </w:tbl>
    <w:p/>
    <w:p>
      <w:pPr>
        <w:pStyle w:val="Heading1"/>
      </w:pPr>
      <w:r>
        <w:t>11. Appendix C: reporting conventions</w:t>
      </w:r>
    </w:p>
    <w:p>
      <w:pPr>
        <w:pStyle w:val="ListBullet"/>
      </w:pPr>
      <w:r>
        <w:t>Always report VoxFE-UV version, solver, backend, maximum iterations, and tolerance.</w:t>
      </w:r>
    </w:p>
    <w:p>
      <w:pPr>
        <w:pStyle w:val="ListBullet"/>
      </w:pPr>
      <w:r>
        <w:t>Report voxel size, voxel count, number of elements, and number of DOF.</w:t>
      </w:r>
    </w:p>
    <w:p>
      <w:pPr>
        <w:pStyle w:val="ListBullet"/>
      </w:pPr>
      <w:r>
        <w:t>Report materials by numerical ID with E, nu, and descriptive biological label.</w:t>
      </w:r>
    </w:p>
    <w:p>
      <w:pPr>
        <w:pStyle w:val="ListBullet"/>
      </w:pPr>
      <w:r>
        <w:t>Specify total force magnitude and how it is distributed over nodes.</w:t>
      </w:r>
    </w:p>
    <w:p>
      <w:pPr>
        <w:pStyle w:val="ListBullet"/>
      </w:pPr>
      <w:r>
        <w:t>Show unloaded geometry, scaled loaded geometry, and a |u| colour map.</w:t>
      </w:r>
    </w:p>
    <w:p>
      <w:pPr>
        <w:pStyle w:val="ListBullet"/>
      </w:pPr>
      <w:r>
        <w:t>Attach residual_history.csv or at least final residual and iteration count.</w:t>
      </w:r>
    </w:p>
    <w:tbl>
      <w:tblPr>
        <w:tblW w:type="auto" w:w="0"/>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4F6F9"/>
          </w:tcPr>
          <w:p>
            <w:pPr>
              <w:spacing w:after="60"/>
            </w:pPr>
            <w:r>
              <w:rPr>
                <w:b/>
                <w:color w:val="1F4D78"/>
                <w:sz w:val="21"/>
              </w:rPr>
              <w:t>Figure note</w:t>
            </w:r>
          </w:p>
          <w:p>
            <w:pPr>
              <w:spacing w:after="0"/>
            </w:pPr>
            <w:r>
              <w:rPr>
                <w:sz w:val="20"/>
              </w:rPr>
              <w:t>The figures included in this document are technical placeholders generated for documentation. They can be replaced later with real VoxFE-UV screenshots, anatomical model views, or validation plots.</w:t>
            </w:r>
          </w:p>
        </w:tc>
      </w:tr>
    </w:tbl>
    <w:p/>
    <w:p>
      <w:r>
        <w:br w:type="page"/>
      </w:r>
    </w:p>
    <w:p>
      <w:pPr>
        <w:pStyle w:val="Heading1"/>
      </w:pPr>
      <w:r>
        <w:rPr>
          <w:color w:val="1F4D78"/>
        </w:rPr>
        <w:t>Version 0.41 Update: Solver Validation Log</w:t>
      </w:r>
    </w:p>
    <w:p>
      <w:r>
        <w:rPr>
          <w:b/>
        </w:rPr>
        <w:t xml:space="preserve">VoxFE-UV 0.41 adds a structured validation report to every solver run. </w:t>
      </w:r>
      <w:r>
        <w:t>The normal console log is still produced, and the solver also writes voxfe_run_validation_log.json inside the model folder. This file is intended to make numerical checks repeatable instead of relying only on a visual inspection of the displacement map.</w:t>
      </w:r>
    </w:p>
    <w:p>
      <w:pPr>
        <w:pStyle w:val="ListBullet"/>
      </w:pPr>
      <w:r>
        <w:rPr>
          <w:b/>
        </w:rPr>
        <w:t xml:space="preserve">Force/reaction equilibrium: </w:t>
      </w:r>
      <w:r>
        <w:t>The log stores total applied force, total reaction, force plus reaction, and a relative balance value. For a balanced static solution, total_applied_force + total_reaction should be close to zero.</w:t>
      </w:r>
    </w:p>
    <w:p>
      <w:pPr>
        <w:pStyle w:val="ListBullet"/>
      </w:pPr>
      <w:r>
        <w:rPr>
          <w:b/>
        </w:rPr>
        <w:t xml:space="preserve">Displacement statistics: </w:t>
      </w:r>
      <w:r>
        <w:t>The log stores minimum, maximum, mean, median, standard deviation, percentiles, component-wise min/mean/max and the node with maximum displacement magnitude.</w:t>
      </w:r>
    </w:p>
    <w:p>
      <w:pPr>
        <w:pStyle w:val="ListBullet"/>
      </w:pPr>
      <w:r>
        <w:rPr>
          <w:b/>
        </w:rPr>
        <w:t xml:space="preserve">Spatial distribution: </w:t>
      </w:r>
      <w:r>
        <w:t>The log stores model bounds and voxel size, making it easier to identify unit or scale mistakes.</w:t>
      </w:r>
    </w:p>
    <w:p>
      <w:pPr>
        <w:pStyle w:val="ListBullet"/>
      </w:pPr>
      <w:r>
        <w:rPr>
          <w:b/>
        </w:rPr>
        <w:t xml:space="preserve">Disconnected islands: </w:t>
      </w:r>
      <w:r>
        <w:t>The log reports connected components using 6-neighbour face connectivity, including how many voxels are outside the largest connected component.</w:t>
      </w:r>
    </w:p>
    <w:p>
      <w:pPr>
        <w:pStyle w:val="ListBullet"/>
      </w:pPr>
      <w:r>
        <w:rPr>
          <w:b/>
        </w:rPr>
        <w:t xml:space="preserve">Materials and units: </w:t>
      </w:r>
      <w:r>
        <w:t>The log lists material IDs, names, voxel counts, Young modulus, Poisson ratio and a reminder that voxel size, force and stiffness must use a consistent unit system.</w:t>
      </w:r>
    </w:p>
    <w:p>
      <w:pPr>
        <w:pStyle w:val="ListBullet"/>
      </w:pPr>
      <w:r>
        <w:rPr>
          <w:b/>
        </w:rPr>
        <w:t xml:space="preserve">Old-vs-new comparison: </w:t>
      </w:r>
      <w:r>
        <w:t>If VOXFE_REFERENCE_DISPLACEMENT points to a previous displacement.txt file, the log reports mean, maximum and RMS vector differences between old and new results.</w:t>
      </w:r>
    </w:p>
    <w:p>
      <w:pPr>
        <w:pStyle w:val="Heading2"/>
      </w:pPr>
      <w:r>
        <w:t>Convergence Interpretation in 0.41</w:t>
      </w:r>
    </w:p>
    <w:p>
      <w:r>
        <w:rPr>
          <w:b/>
        </w:rPr>
        <w:t xml:space="preserve">The historical VoxFE/JAPCG convergence value SigmaNew is preserved for compatibility, but it should not be interpreted as the true relative residual. </w:t>
      </w:r>
      <w:r>
        <w:t>SigmaNew is a Jacobi-preconditioned scalar criterion. It can start near 1e-6 when the system is strongly scaled or when the force vector is small. Therefore, a low SigmaNew at iteration 0 is not by itself proof that the displacement field is mechanically reliable.</w:t>
      </w:r>
    </w:p>
    <w:p>
      <w:r>
        <w:rPr>
          <w:b/>
        </w:rPr>
        <w:t>The historical threshold is:</w:t>
      </w:r>
    </w:p>
    <w:p>
      <w:pPr>
        <w:pStyle w:val="IntenseQuote"/>
      </w:pPr>
      <w:r>
        <w:t>SigmaEnd = number_of_equations * tolerance^2</w:t>
      </w:r>
    </w:p>
    <w:p>
      <w:pPr>
        <w:pStyle w:val="ListBullet"/>
      </w:pPr>
      <w:r>
        <w:t>Check residual_norm_relative when available.</w:t>
      </w:r>
    </w:p>
    <w:p>
      <w:pPr>
        <w:pStyle w:val="ListBullet"/>
      </w:pPr>
      <w:r>
        <w:t>Check force/reaction balance.</w:t>
      </w:r>
    </w:p>
    <w:p>
      <w:pPr>
        <w:pStyle w:val="ListBullet"/>
      </w:pPr>
      <w:r>
        <w:t>Check displacement statistics and spatial distribution.</w:t>
      </w:r>
    </w:p>
    <w:p>
      <w:pPr>
        <w:pStyle w:val="ListBullet"/>
      </w:pPr>
      <w:r>
        <w:t>Compare against a known reference displacement when available.</w:t>
      </w:r>
    </w:p>
    <w:p>
      <w:pPr>
        <w:pStyle w:val="ListBullet"/>
      </w:pPr>
      <w:r>
        <w:t>Use MIN_ITER when you want to force a minimum number of iterations before accepting convergence.</w:t>
      </w:r>
    </w:p>
    <w:p>
      <w:pPr>
        <w:pStyle w:val="Heading2"/>
      </w:pPr>
      <w:r>
        <w:t>MIN_ITER and Saving Non-Production Outputs</w:t>
      </w:r>
    </w:p>
    <w:p>
      <w:r>
        <w:t>Important: the BAT regenerates Script_autorun...txt from Script.txt, so the cleanest way is either edit the original Script.txt, or set MIN_ITER before launching the BAT.</w:t>
      </w:r>
    </w:p>
    <w:p>
      <w:r>
        <w:t>In Script.txt:</w:t>
      </w:r>
    </w:p>
    <w:p>
      <w:pPr>
        <w:pStyle w:val="IntenseQuote"/>
      </w:pPr>
      <w:r>
        <w:t>MIN_ITER 1580</w:t>
      </w:r>
    </w:p>
    <w:p>
      <w:r>
        <w:t>In Windows Command Prompt before launching a BAT:</w:t>
      </w:r>
    </w:p>
    <w:p>
      <w:pPr>
        <w:pStyle w:val="IntenseQuote"/>
      </w:pPr>
      <w:r>
        <w:t>set MIN_ITER=3000</w:t>
      </w:r>
    </w:p>
    <w:p>
      <w:r>
        <w:t>By default, SKIP_NONCONVERGED_OUTPUTS=0. This means displacement and reaction files are saved even when the stricter production_valid flag is false. Set SKIP_NONCONVERGED_OUTPUTS=1 only when you want to avoid writing huge output files for failed or exploratory runs.</w:t>
      </w:r>
    </w:p>
    <w:p>
      <w:pPr>
        <w:pStyle w:val="Heading2"/>
      </w:pPr>
      <w:r>
        <w:t>Reference Displacement Comparison</w:t>
      </w:r>
    </w:p>
    <w:p>
      <w:r>
        <w:t>To compare a new run with a previous solver result, set VOXFE_REFERENCE_DISPLACEMENT before launch:</w:t>
      </w:r>
    </w:p>
    <w:p>
      <w:pPr>
        <w:pStyle w:val="IntenseQuote"/>
      </w:pPr>
      <w:r>
        <w:t>set VOXFE_REFERENCE_DISPLACEMENT=C:\path\to\old\displacement.txt</w:t>
      </w:r>
    </w:p>
    <w:p>
      <w:pPr>
        <w:pStyle w:val="IntenseQuote"/>
      </w:pPr>
      <w:r>
        <w:t>export VOXFE_REFERENCE_DISPLACEMENT=/path/to/old/displacement.txt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Documento tecnico generato per VoxFE-UV 0.40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8"/>
      </w:rPr>
      <w:t>VoxFE-UV 0.40 | Guida FEA voxel-based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40" w:after="80"/>
      <w:ind w:left="360"/>
    </w:pPr>
    <w:rPr>
      <w:rFonts w:ascii="Consolas" w:hAnsi="Consolas"/>
      <w:sz w:val="20"/>
    </w:rPr>
  </w:style>
  <w:style w:type="paragraph" w:customStyle="1" w:styleId="FormulaNote">
    <w:name w:val="FormulaNote"/>
    <w:pPr>
      <w:spacing w:after="120"/>
      <w:ind w:left="360"/>
    </w:pPr>
    <w:rPr>
      <w:rFonts w:ascii="Calibri" w:hAnsi="Calibri"/>
      <w:color w:val="46464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VoxFE-UV 0.41 Technical Documentation and User Guide</dc:title>
  <dc:subject>Voxel-based FEA primer, solver guide, validation logging and tutorial</dc:subject>
  <dc:creator>VoxFE-UV documentation generator</dc:creator>
  <cp:keywords>VoxFE, VoxFEA, voxel-based FEA, PETSc, MRBRJAPCG, displacement, materials</cp:keywords>
  <dc:description>Updated from the 0.40 guide for VoxFE-UV 0.41.</dc:description>
  <cp:lastModifiedBy/>
  <cp:revision>1</cp:revision>
  <dcterms:created xsi:type="dcterms:W3CDTF">2013-12-23T23:15:00Z</dcterms:created>
  <dcterms:modified xsi:type="dcterms:W3CDTF">2013-12-23T23:15:00Z</dcterms:modified>
  <cp:category/>
</cp:coreProperties>
</file>