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4"/>
        <w:tblpPr w:leftFromText="180" w:rightFromText="180" w:vertAnchor="page" w:horzAnchor="page" w:tblpX="2607" w:tblpY="1550"/>
        <w:tblOverlap w:val="never"/>
        <w:tblW w:w="689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1302"/>
        <w:gridCol w:w="603"/>
        <w:gridCol w:w="1166"/>
        <w:gridCol w:w="1731"/>
      </w:tblGrid>
      <w:tr w14:paraId="099441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090" w:type="dxa"/>
            <w:vMerge w:val="restart"/>
            <w:tcBorders>
              <w:top w:val="single" w:color="auto" w:sz="6" w:space="0"/>
              <w:left w:val="single" w:color="auto" w:sz="12" w:space="0"/>
              <w:right w:val="single" w:color="auto" w:sz="6" w:space="0"/>
            </w:tcBorders>
            <w:vAlign w:val="center"/>
          </w:tcPr>
          <w:p w14:paraId="59FFE6A2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对对对项目研发中心</w:t>
            </w: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93FBC54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项目模版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28B670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DEBAAF3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 xml:space="preserve">版本V1.0   </w:t>
            </w: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509F1F6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秘级：机密</w:t>
            </w:r>
          </w:p>
        </w:tc>
      </w:tr>
      <w:tr w14:paraId="792D3B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090" w:type="dxa"/>
            <w:vMerge w:val="continue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179C3BD8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B083A4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项目名称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B710EF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71158F2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文档编号</w:t>
            </w: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F8E17A1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449AF7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90" w:type="dxa"/>
            <w:vMerge w:val="continue"/>
            <w:tcBorders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5275AD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794598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项目来源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46F803A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497311F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7445C6F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08028B54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64A7BE33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12389C92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20DB520D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18E77B5E">
      <w:pPr>
        <w:pStyle w:val="51"/>
        <w:ind w:left="420"/>
        <w:jc w:val="center"/>
        <w:rPr>
          <w:rFonts w:ascii="Arial" w:hAnsi="Arial" w:eastAsia="黑体"/>
          <w:caps/>
          <w:sz w:val="21"/>
          <w:szCs w:val="21"/>
          <w:lang w:val="en-US"/>
        </w:rPr>
      </w:pPr>
      <w:r>
        <w:rPr>
          <w:rFonts w:hint="eastAsia" w:ascii="黑体" w:eastAsia="黑体"/>
          <w:caps/>
          <w:szCs w:val="44"/>
        </w:rPr>
        <w:tab/>
      </w:r>
      <w:r>
        <w:rPr>
          <w:rFonts w:hint="eastAsia" w:ascii="黑体" w:eastAsia="黑体"/>
          <w:caps/>
          <w:szCs w:val="44"/>
          <w:lang w:val="en-US"/>
        </w:rPr>
        <w:t>社团管理</w:t>
      </w:r>
      <w:r>
        <w:rPr>
          <w:rFonts w:hint="eastAsia" w:ascii="Arial" w:hAnsi="Arial" w:eastAsia="黑体"/>
          <w:caps/>
          <w:lang w:val="en-US"/>
        </w:rPr>
        <w:t>系统项目整体计划方案</w:t>
      </w:r>
    </w:p>
    <w:p w14:paraId="037472EF"/>
    <w:p w14:paraId="2569EDA1">
      <w:pPr>
        <w:widowControl/>
        <w:jc w:val="left"/>
      </w:pPr>
      <w:bookmarkStart w:id="0" w:name="_Toc312161398"/>
      <w:bookmarkStart w:id="1" w:name="_Toc208994575"/>
    </w:p>
    <w:p w14:paraId="6BCDF2CE">
      <w:pPr>
        <w:widowControl/>
        <w:jc w:val="left"/>
      </w:pPr>
    </w:p>
    <w:p w14:paraId="56E8C750">
      <w:pPr>
        <w:widowControl/>
        <w:jc w:val="left"/>
      </w:pPr>
    </w:p>
    <w:p w14:paraId="3B333948">
      <w:pPr>
        <w:widowControl/>
        <w:jc w:val="left"/>
      </w:pPr>
    </w:p>
    <w:p w14:paraId="3729443E">
      <w:pPr>
        <w:widowControl/>
        <w:jc w:val="left"/>
      </w:pPr>
    </w:p>
    <w:p w14:paraId="452BC422">
      <w:pPr>
        <w:widowControl/>
        <w:jc w:val="left"/>
      </w:pPr>
    </w:p>
    <w:p w14:paraId="3B101C60">
      <w:pPr>
        <w:widowControl/>
        <w:jc w:val="left"/>
      </w:pPr>
    </w:p>
    <w:tbl>
      <w:tblPr>
        <w:tblStyle w:val="25"/>
        <w:tblW w:w="0" w:type="auto"/>
        <w:tblInd w:w="8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127"/>
        <w:gridCol w:w="850"/>
        <w:gridCol w:w="2835"/>
      </w:tblGrid>
      <w:tr w14:paraId="1DE1E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741D6869">
            <w:pPr>
              <w:widowControl/>
              <w:jc w:val="left"/>
            </w:pPr>
            <w:r>
              <w:rPr>
                <w:rFonts w:hint="eastAsia"/>
              </w:rPr>
              <w:t>编写：</w:t>
            </w:r>
          </w:p>
        </w:tc>
        <w:tc>
          <w:tcPr>
            <w:tcW w:w="2127" w:type="dxa"/>
            <w:tcBorders>
              <w:bottom w:val="single" w:color="auto" w:sz="4" w:space="0"/>
            </w:tcBorders>
            <w:vAlign w:val="bottom"/>
          </w:tcPr>
          <w:p w14:paraId="273B86AC">
            <w:pPr>
              <w:widowControl/>
              <w:spacing w:line="360" w:lineRule="auto"/>
              <w:ind w:firstLine="630" w:firstLineChars="300"/>
              <w:jc w:val="left"/>
            </w:pPr>
            <w:r>
              <w:rPr>
                <w:rFonts w:hint="eastAsia"/>
              </w:rPr>
              <w:t>陈欣</w:t>
            </w:r>
          </w:p>
        </w:tc>
        <w:tc>
          <w:tcPr>
            <w:tcW w:w="850" w:type="dxa"/>
            <w:vAlign w:val="bottom"/>
          </w:tcPr>
          <w:p w14:paraId="31AA3825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bottom w:val="single" w:color="auto" w:sz="4" w:space="0"/>
            </w:tcBorders>
            <w:vAlign w:val="bottom"/>
          </w:tcPr>
          <w:p w14:paraId="6A38BE1A">
            <w:pPr>
              <w:widowControl/>
              <w:spacing w:line="360" w:lineRule="auto"/>
              <w:ind w:firstLine="210" w:firstLineChars="100"/>
              <w:jc w:val="left"/>
            </w:pPr>
            <w:r>
              <w:rPr>
                <w:rFonts w:hint="eastAsia"/>
              </w:rPr>
              <w:t>2025年12月21日</w:t>
            </w:r>
          </w:p>
        </w:tc>
      </w:tr>
      <w:tr w14:paraId="13BAA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7DDDDF33">
            <w:pPr>
              <w:widowControl/>
              <w:jc w:val="left"/>
            </w:pPr>
            <w:r>
              <w:rPr>
                <w:rFonts w:hint="eastAsia"/>
              </w:rPr>
              <w:t>检查：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3C8A03D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02B80F9E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A3BD080">
            <w:pPr>
              <w:widowControl/>
              <w:spacing w:line="360" w:lineRule="auto"/>
              <w:jc w:val="left"/>
            </w:pPr>
          </w:p>
        </w:tc>
      </w:tr>
      <w:tr w14:paraId="67FA0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7BF9C1AB">
            <w:pPr>
              <w:widowControl/>
              <w:jc w:val="left"/>
            </w:pPr>
            <w:r>
              <w:rPr>
                <w:rFonts w:hint="eastAsia"/>
              </w:rPr>
              <w:t>审核：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787BE26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6D96898D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327C695">
            <w:pPr>
              <w:widowControl/>
              <w:spacing w:line="360" w:lineRule="auto"/>
              <w:jc w:val="left"/>
            </w:pPr>
          </w:p>
        </w:tc>
      </w:tr>
      <w:tr w14:paraId="62320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7EB9E5A9">
            <w:pPr>
              <w:widowControl/>
              <w:jc w:val="left"/>
            </w:pPr>
            <w:r>
              <w:rPr>
                <w:rFonts w:hint="eastAsia"/>
              </w:rPr>
              <w:t>批准：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CAC9156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43505D58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D19CF48">
            <w:pPr>
              <w:widowControl/>
              <w:spacing w:line="360" w:lineRule="auto"/>
              <w:jc w:val="left"/>
            </w:pPr>
          </w:p>
        </w:tc>
      </w:tr>
    </w:tbl>
    <w:p w14:paraId="3441739E">
      <w:pPr>
        <w:widowControl/>
        <w:jc w:val="left"/>
      </w:pPr>
    </w:p>
    <w:p w14:paraId="4DFD37FC">
      <w:pPr>
        <w:widowControl/>
        <w:jc w:val="left"/>
      </w:pPr>
    </w:p>
    <w:p w14:paraId="0659923F">
      <w:pPr>
        <w:widowControl/>
        <w:jc w:val="left"/>
      </w:pPr>
    </w:p>
    <w:p w14:paraId="354C2A3E">
      <w:pPr>
        <w:widowControl/>
        <w:jc w:val="left"/>
      </w:pPr>
    </w:p>
    <w:p w14:paraId="45FD5E92">
      <w:pPr>
        <w:widowControl/>
        <w:jc w:val="left"/>
      </w:pPr>
      <w:r>
        <w:br w:type="page"/>
      </w:r>
    </w:p>
    <w:p w14:paraId="2421DCE9">
      <w:pPr>
        <w:pStyle w:val="11"/>
      </w:pPr>
      <w:r>
        <w:rPr>
          <w:rFonts w:hint="eastAsia"/>
          <w:lang w:eastAsia="zh-CN"/>
        </w:rPr>
        <w:t>文档变更记录</w:t>
      </w:r>
      <w:r>
        <w:t xml:space="preserve">  </w:t>
      </w:r>
    </w:p>
    <w:tbl>
      <w:tblPr>
        <w:tblStyle w:val="24"/>
        <w:tblW w:w="870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1550"/>
        <w:gridCol w:w="1457"/>
        <w:gridCol w:w="1457"/>
        <w:gridCol w:w="1011"/>
        <w:gridCol w:w="2254"/>
      </w:tblGrid>
      <w:tr w14:paraId="345E41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71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42249044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版本号</w:t>
            </w:r>
          </w:p>
        </w:tc>
        <w:tc>
          <w:tcPr>
            <w:tcW w:w="15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0FBF4E55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修订日期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392CCD4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生效日期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06CAD6D6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变更人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</w:tcPr>
          <w:p w14:paraId="2EA08744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批准人</w:t>
            </w:r>
          </w:p>
        </w:tc>
        <w:tc>
          <w:tcPr>
            <w:tcW w:w="225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</w:tcPr>
          <w:p w14:paraId="5F720608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变更内容</w:t>
            </w:r>
          </w:p>
        </w:tc>
      </w:tr>
      <w:tr w14:paraId="562CC8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F1476A5">
            <w:pPr>
              <w:jc w:val="center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F186557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5F4ACCD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695E10E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陈欣，陈涛</w:t>
            </w: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EE7B2D9">
            <w:pPr>
              <w:pStyle w:val="11"/>
              <w:spacing w:line="240" w:lineRule="atLeast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9C503BA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项目文档模板确定</w:t>
            </w:r>
          </w:p>
        </w:tc>
      </w:tr>
      <w:tr w14:paraId="1221F9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1C0B24">
            <w:pPr>
              <w:jc w:val="center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1E41994">
            <w:pPr>
              <w:jc w:val="center"/>
              <w:rPr>
                <w:rFonts w:hint="eastAsia" w:eastAsia="宋体"/>
                <w:sz w:val="20"/>
                <w:lang w:eastAsia="zh-CN"/>
              </w:rPr>
            </w:pPr>
            <w:r>
              <w:rPr>
                <w:rFonts w:hint="eastAsia"/>
                <w:sz w:val="20"/>
              </w:rPr>
              <w:t>2025-12-2</w:t>
            </w:r>
            <w:r>
              <w:rPr>
                <w:rFonts w:hint="eastAsia"/>
                <w:sz w:val="20"/>
                <w:lang w:val="en-US" w:eastAsia="zh-CN"/>
              </w:rPr>
              <w:t>1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6B610C4">
            <w:pPr>
              <w:jc w:val="center"/>
              <w:rPr>
                <w:rFonts w:hint="eastAsia" w:eastAsia="宋体"/>
                <w:sz w:val="20"/>
                <w:lang w:eastAsia="zh-CN"/>
              </w:rPr>
            </w:pPr>
            <w:r>
              <w:rPr>
                <w:rFonts w:hint="eastAsia"/>
                <w:sz w:val="20"/>
              </w:rPr>
              <w:t>2025-12-2</w:t>
            </w:r>
            <w:r>
              <w:rPr>
                <w:rFonts w:hint="eastAsia"/>
                <w:sz w:val="20"/>
                <w:lang w:val="en-US" w:eastAsia="zh-CN"/>
              </w:rPr>
              <w:t>1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1AE0C69">
            <w:pPr>
              <w:ind w:firstLine="200" w:firstLineChars="100"/>
              <w:rPr>
                <w:sz w:val="20"/>
              </w:rPr>
            </w:pPr>
            <w:r>
              <w:rPr>
                <w:rFonts w:hint="eastAsia"/>
                <w:sz w:val="20"/>
              </w:rPr>
              <w:t>陈欣</w:t>
            </w: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D1F16D9">
            <w:pPr>
              <w:pStyle w:val="11"/>
              <w:spacing w:line="240" w:lineRule="atLeast"/>
              <w:ind w:firstLine="201" w:firstLineChars="100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CBC62AA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项目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整体计划</w:t>
            </w:r>
            <w:r>
              <w:rPr>
                <w:rFonts w:hint="eastAsia"/>
                <w:b w:val="0"/>
                <w:sz w:val="20"/>
                <w:lang w:eastAsia="zh-CN"/>
              </w:rPr>
              <w:t>落实</w:t>
            </w:r>
          </w:p>
        </w:tc>
      </w:tr>
      <w:tr w14:paraId="5DAF7C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C796353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7E43AED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9B54C6C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419929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E9D9024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DAF6B2D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29A4C0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50F48A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C22D79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573E8B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E072E32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483E386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2BC375D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02E5C1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7FA6A7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29224C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11577FB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FA89EC3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2DFA317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88073C2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433C43A8"/>
    <w:bookmarkEnd w:id="0"/>
    <w:bookmarkEnd w:id="1"/>
    <w:p w14:paraId="79FC51CE"/>
    <w:p w14:paraId="5FDB5182">
      <w:pPr>
        <w:pStyle w:val="2"/>
        <w:numPr>
          <w:ilvl w:val="0"/>
          <w:numId w:val="2"/>
        </w:numPr>
        <w:jc w:val="left"/>
      </w:pPr>
      <w:r>
        <w:rPr>
          <w:rFonts w:hint="eastAsia" w:ascii="宋体" w:hAnsi="宋体" w:eastAsia="宋体" w:cs="宋体"/>
        </w:rPr>
        <w:t>项目介绍</w:t>
      </w:r>
    </w:p>
    <w:p w14:paraId="7BD2C3DC">
      <w:pPr>
        <w:pStyle w:val="3"/>
        <w:numPr>
          <w:ilvl w:val="0"/>
          <w:numId w:val="0"/>
        </w:numPr>
        <w:ind w:left="567" w:hanging="567"/>
      </w:pPr>
      <w:r>
        <w:rPr>
          <w:rFonts w:hint="eastAsia"/>
        </w:rPr>
        <w:t>1.1 项目背景</w:t>
      </w:r>
    </w:p>
    <w:p w14:paraId="5FB0D4BE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随着高校校园信息化水平的不断提升，学生社团数量和社团活动日益增多，传统依赖人工或零散工具进行社团管理和活动组织的方式，已逐渐暴露出效率低、信息不透明、统计困难等问题。例如，社团注册流程繁琐，活动信息发布渠道分散，成员管理和报名统计依赖人工整理，容易出现遗漏和错误。</w:t>
      </w:r>
    </w:p>
    <w:p w14:paraId="1DDE66C0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为提升校园社团管理的规范化、信息化和便捷性，有必要开发一套统一的校园社团活动管理系统，实现对社团、活动及成员信息的集中管理，为学生和管理人员提供高效、可靠的信息服务平台。</w:t>
      </w:r>
    </w:p>
    <w:p w14:paraId="78189289">
      <w:pPr>
        <w:pStyle w:val="3"/>
        <w:numPr>
          <w:ilvl w:val="0"/>
          <w:numId w:val="0"/>
        </w:numPr>
        <w:ind w:left="567" w:hanging="567"/>
      </w:pPr>
      <w:r>
        <w:rPr>
          <w:rFonts w:hint="eastAsia"/>
        </w:rPr>
        <w:t xml:space="preserve">1.2 项目目标 </w:t>
      </w:r>
    </w:p>
    <w:p w14:paraId="61BA9A36">
      <w:pPr>
        <w:spacing w:line="360" w:lineRule="auto"/>
        <w:ind w:firstLine="420" w:firstLineChars="200"/>
        <w:rPr>
          <w:sz w:val="24"/>
        </w:rPr>
      </w:pPr>
      <w:r>
        <w:rPr>
          <w:rFonts w:hint="eastAsia"/>
        </w:rPr>
        <w:t xml:space="preserve">  </w:t>
      </w:r>
      <w:r>
        <w:rPr>
          <w:sz w:val="24"/>
        </w:rPr>
        <w:t>本项目旨在开发一套校园社团活动管理系统，通过信息化手段支持校园社团的日常管理和活动组织。具体目标包括：</w:t>
      </w:r>
    </w:p>
    <w:p w14:paraId="4EBB00FA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sz w:val="24"/>
        </w:rPr>
        <w:t>实现社团的统一注册与管理，提高社团信息管理的规范性；</w:t>
      </w:r>
    </w:p>
    <w:p w14:paraId="77215E38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sz w:val="24"/>
        </w:rPr>
        <w:t>支持社团活动的在线发布、报名与统计，提升活动组织效率；</w:t>
      </w:r>
    </w:p>
    <w:p w14:paraId="56287DA8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sz w:val="24"/>
        </w:rPr>
        <w:t>提供成员管理功能，便于社团负责人维护成员信息；</w:t>
      </w:r>
    </w:p>
    <w:p w14:paraId="6A6984D9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sz w:val="24"/>
        </w:rPr>
        <w:t>为学生用户提供便捷的社团活动查询与报名渠道；</w:t>
      </w:r>
    </w:p>
    <w:p w14:paraId="6D1A6B78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sz w:val="24"/>
        </w:rPr>
        <w:t>构建一个结构清晰、易于使用、可扩展的校园社团管理平台。</w:t>
      </w:r>
    </w:p>
    <w:p w14:paraId="2999D75A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通过本系统的建设，降低社团管理成本，提高信息透明度，提升校园社团活动的整体运行效率。</w:t>
      </w:r>
    </w:p>
    <w:p w14:paraId="0DE75BCF">
      <w:pPr>
        <w:pStyle w:val="3"/>
        <w:numPr>
          <w:ilvl w:val="1"/>
          <w:numId w:val="0"/>
        </w:numPr>
        <w:ind w:left="567" w:hanging="567"/>
      </w:pPr>
      <w:r>
        <w:rPr>
          <w:rFonts w:hint="eastAsia"/>
        </w:rPr>
        <w:t>1.3 项目范围</w:t>
      </w:r>
    </w:p>
    <w:p w14:paraId="7FB9CBF1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本项目主要覆盖校园内社团管理的各个核心环节</w:t>
      </w:r>
      <w:r>
        <w:rPr>
          <w:rFonts w:hint="eastAsia"/>
          <w:sz w:val="24"/>
        </w:rPr>
        <w:t>。</w:t>
      </w:r>
    </w:p>
    <w:p w14:paraId="15D1E227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应当包含的内容</w:t>
      </w:r>
      <w:r>
        <w:rPr>
          <w:rFonts w:hint="eastAsia"/>
          <w:sz w:val="24"/>
        </w:rPr>
        <w:t>：</w:t>
      </w:r>
      <w:r>
        <w:rPr>
          <w:sz w:val="24"/>
        </w:rPr>
        <w:t>校园社团的注册、信息维护与管理功能；社团活动的发布、修改、下线及展示功能；学生成员加入社团、退出社团及成员信息管理功能；社团活动的在线报名与报名信息统计功能；基于不同用户角色（如管理员、社团负责人、普通学生）的权限控制；友好的用户界面设计，操作流程清晰，便于用户使用；基本的数据安全与隐私保护措施，保障用户信息的安全性。</w:t>
      </w:r>
    </w:p>
    <w:p w14:paraId="2FDDA08D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不包含的内容</w:t>
      </w:r>
      <w:r>
        <w:rPr>
          <w:rFonts w:hint="eastAsia"/>
          <w:sz w:val="24"/>
        </w:rPr>
        <w:t>：</w:t>
      </w:r>
      <w:r>
        <w:rPr>
          <w:sz w:val="24"/>
        </w:rPr>
        <w:t>与校园社团管理无关的非校园生活服务功能；面向社会公众的开放式社交或商业化运营功能；大规模数据分析、智能推荐或复杂算法功能；与学校核心业务系统（如教务系统、财务系统）的深度集成。</w:t>
      </w:r>
    </w:p>
    <w:p w14:paraId="64650568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适用的领域</w:t>
      </w:r>
      <w:r>
        <w:rPr>
          <w:rFonts w:hint="eastAsia"/>
          <w:sz w:val="24"/>
        </w:rPr>
        <w:t>：</w:t>
      </w:r>
      <w:r>
        <w:rPr>
          <w:sz w:val="24"/>
        </w:rPr>
        <w:t>本项目适用于高校校园环境，主要服务对象为在校学生、社团负责人及校园社团管理相关人员，用于支持校园社团的日常管理和活动组织工作。</w:t>
      </w:r>
    </w:p>
    <w:p w14:paraId="128D4BDD">
      <w:pPr>
        <w:spacing w:line="360" w:lineRule="auto"/>
        <w:ind w:firstLine="480" w:firstLineChars="200"/>
        <w:rPr>
          <w:sz w:val="24"/>
        </w:rPr>
      </w:pPr>
      <w:bookmarkStart w:id="2" w:name="_Hlk217496847"/>
      <w:r>
        <w:rPr>
          <w:sz w:val="24"/>
        </w:rPr>
        <w:t>不适用的领域</w:t>
      </w:r>
      <w:r>
        <w:rPr>
          <w:rFonts w:hint="eastAsia"/>
          <w:sz w:val="24"/>
        </w:rPr>
        <w:t>：</w:t>
      </w:r>
      <w:r>
        <w:rPr>
          <w:sz w:val="24"/>
        </w:rPr>
        <w:t>本项目不适用于非高校校园环境，不面向非在校学生或社会公众提供服务，也不适用于商业化社团管理或大型社会组织管理场景。</w:t>
      </w:r>
    </w:p>
    <w:bookmarkEnd w:id="2"/>
    <w:p w14:paraId="51A41209">
      <w:pPr>
        <w:pStyle w:val="2"/>
        <w:numPr>
          <w:ilvl w:val="0"/>
          <w:numId w:val="2"/>
        </w:numPr>
        <w:jc w:val="left"/>
      </w:pPr>
      <w:r>
        <w:rPr>
          <w:rFonts w:hint="eastAsia" w:ascii="宋体" w:hAnsi="宋体" w:eastAsia="宋体" w:cs="宋体"/>
        </w:rPr>
        <w:t>项目组织结构</w:t>
      </w:r>
    </w:p>
    <w:p w14:paraId="5D3B6242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为确保校园社团活动管理系统开发工作的顺利开展，本项目建立清晰的项目组织结构，对项目管理、软件开发、质量控制和配置管理等职责进行合理分工。项目组织结构采用小型项目的典型组织模式，由项目经理统一协调，各相关角色分工协作，共同推进项目实施。</w:t>
      </w:r>
    </w:p>
    <w:tbl>
      <w:tblPr>
        <w:tblStyle w:val="24"/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6"/>
        <w:gridCol w:w="823"/>
        <w:gridCol w:w="1438"/>
        <w:gridCol w:w="4656"/>
      </w:tblGrid>
      <w:tr w14:paraId="7FCC7E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796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3578C9">
            <w:pPr>
              <w:widowControl/>
              <w:snapToGrid w:val="0"/>
              <w:jc w:val="center"/>
              <w:rPr>
                <w:rFonts w:hint="eastAsia"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Cs w:val="21"/>
                <w:lang w:bidi="ar"/>
              </w:rPr>
              <w:t>角色</w:t>
            </w:r>
          </w:p>
        </w:tc>
        <w:tc>
          <w:tcPr>
            <w:tcW w:w="823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679CB4">
            <w:pPr>
              <w:widowControl/>
              <w:snapToGrid w:val="0"/>
              <w:jc w:val="center"/>
              <w:rPr>
                <w:rFonts w:hint="eastAsia"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kern w:val="0"/>
                <w:szCs w:val="21"/>
                <w:lang w:bidi="ar"/>
              </w:rPr>
              <w:t>人数</w:t>
            </w:r>
          </w:p>
        </w:tc>
        <w:tc>
          <w:tcPr>
            <w:tcW w:w="1438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F3452A">
            <w:pPr>
              <w:widowControl/>
              <w:snapToGrid w:val="0"/>
              <w:jc w:val="center"/>
              <w:rPr>
                <w:rFonts w:hint="eastAsia"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具体人员</w:t>
            </w:r>
          </w:p>
        </w:tc>
        <w:tc>
          <w:tcPr>
            <w:tcW w:w="4656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B11057">
            <w:pPr>
              <w:widowControl/>
              <w:snapToGrid w:val="0"/>
              <w:jc w:val="center"/>
              <w:rPr>
                <w:rFonts w:hint="eastAsia"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kern w:val="0"/>
                <w:szCs w:val="21"/>
                <w:lang w:bidi="ar"/>
              </w:rPr>
              <w:t>职责</w:t>
            </w:r>
          </w:p>
        </w:tc>
      </w:tr>
      <w:tr w14:paraId="6B36DC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96" w:type="dxa"/>
            <w:tcBorders>
              <w:top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16E9C7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PM</w:t>
            </w:r>
          </w:p>
        </w:tc>
        <w:tc>
          <w:tcPr>
            <w:tcW w:w="823" w:type="dxa"/>
            <w:tcBorders>
              <w:top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1356FB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1</w:t>
            </w:r>
          </w:p>
        </w:tc>
        <w:tc>
          <w:tcPr>
            <w:tcW w:w="1438" w:type="dxa"/>
            <w:tcBorders>
              <w:top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FC8CEF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陈欣</w:t>
            </w:r>
          </w:p>
        </w:tc>
        <w:tc>
          <w:tcPr>
            <w:tcW w:w="4656" w:type="dxa"/>
            <w:tcBorders>
              <w:top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B79E0B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rFonts w:ascii="宋体" w:hAnsi="宋体" w:cs="宋体"/>
                <w:szCs w:val="21"/>
              </w:rPr>
              <w:t>负责项目整体规划与组织管理，制定项目整体计划、里程碑与进度安排；协调各角色之间的工作关系，分配任务并跟踪项目执行情况；组织项目会议与阶段评审，控制范围、质量与风险，推动问题闭环，确保项目按计划完成并按期交付。</w:t>
            </w:r>
          </w:p>
        </w:tc>
      </w:tr>
      <w:tr w14:paraId="727C1C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96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B7A474">
            <w:pPr>
              <w:widowControl/>
              <w:snapToGrid w:val="0"/>
              <w:jc w:val="center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PSM</w:t>
            </w:r>
          </w:p>
        </w:tc>
        <w:tc>
          <w:tcPr>
            <w:tcW w:w="82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2CB59B">
            <w:pPr>
              <w:widowControl/>
              <w:snapToGrid w:val="0"/>
              <w:jc w:val="center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143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3FCF61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陈欣</w:t>
            </w:r>
          </w:p>
        </w:tc>
        <w:tc>
          <w:tcPr>
            <w:tcW w:w="465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038E70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负责项目实施过程的支撑与过程管理，协助PM制定并落实项目过程规范与交付要求；跟踪各阶段文档与工作产品产出情况，推动评审、记录与整改落实；协同配置管理进行版本与变更控制，汇总进展与问题并提供资源协调支持，保障项目交付过程顺畅。</w:t>
            </w:r>
          </w:p>
        </w:tc>
      </w:tr>
      <w:tr w14:paraId="1A8E70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96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4FF5BB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需求开发人员</w:t>
            </w:r>
          </w:p>
        </w:tc>
        <w:tc>
          <w:tcPr>
            <w:tcW w:w="82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92D561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1</w:t>
            </w:r>
          </w:p>
        </w:tc>
        <w:tc>
          <w:tcPr>
            <w:tcW w:w="143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10F143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柯帮国</w:t>
            </w:r>
          </w:p>
        </w:tc>
        <w:tc>
          <w:tcPr>
            <w:tcW w:w="465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04571B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负责与用户沟通并收集系统需求；进行需求分析与整理，编写需求相关文档；协助需求评审，参与需求变更的分析与管理，确保需求的完整性与一致性。</w:t>
            </w:r>
          </w:p>
        </w:tc>
      </w:tr>
      <w:tr w14:paraId="51E83F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96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7A6E0A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架构设计师</w:t>
            </w:r>
          </w:p>
        </w:tc>
        <w:tc>
          <w:tcPr>
            <w:tcW w:w="82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DC5AF0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1</w:t>
            </w:r>
          </w:p>
        </w:tc>
        <w:tc>
          <w:tcPr>
            <w:tcW w:w="143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9972D8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陆远</w:t>
            </w:r>
          </w:p>
        </w:tc>
        <w:tc>
          <w:tcPr>
            <w:tcW w:w="465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D79125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负责系统总体架构设计，确定系统的技术架构与模块划分；制定系统的技术方案，指导后续详细设计与开发工作；评估技术可行性，解决关键技术问题。</w:t>
            </w:r>
          </w:p>
        </w:tc>
      </w:tr>
      <w:tr w14:paraId="5DDE06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96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EB9703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设计人员</w:t>
            </w:r>
          </w:p>
        </w:tc>
        <w:tc>
          <w:tcPr>
            <w:tcW w:w="82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0D4094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1</w:t>
            </w:r>
          </w:p>
        </w:tc>
        <w:tc>
          <w:tcPr>
            <w:tcW w:w="143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735C95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刘</w:t>
            </w:r>
            <w:r>
              <w:rPr>
                <w:rFonts w:hint="eastAsia"/>
                <w:szCs w:val="21"/>
              </w:rPr>
              <w:t>健</w:t>
            </w:r>
          </w:p>
        </w:tc>
        <w:tc>
          <w:tcPr>
            <w:tcW w:w="465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B3B2C5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负责系统的详细设计工作，包括功能设计、界面设计和数据库设计等；编写设计说明文档；确保设计方案符合需求规格和系统架构要求。</w:t>
            </w:r>
          </w:p>
        </w:tc>
      </w:tr>
      <w:tr w14:paraId="2DEF8A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96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9D3225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编码人员</w:t>
            </w:r>
          </w:p>
        </w:tc>
        <w:tc>
          <w:tcPr>
            <w:tcW w:w="82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998458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43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76E1B6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孙伟玺</w:t>
            </w:r>
          </w:p>
        </w:tc>
        <w:tc>
          <w:tcPr>
            <w:tcW w:w="465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BDD05F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根据需求文档和设计说明进行系统功能开发；负责编码、调试和代码优化工作；配合测试人员修复缺陷，保证代码质量和功能正确性。</w:t>
            </w:r>
          </w:p>
        </w:tc>
      </w:tr>
      <w:tr w14:paraId="508F92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96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9D6C9B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测试人员</w:t>
            </w:r>
          </w:p>
        </w:tc>
        <w:tc>
          <w:tcPr>
            <w:tcW w:w="82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5C5253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43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CEEFB9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杨佳林</w:t>
            </w:r>
          </w:p>
        </w:tc>
        <w:tc>
          <w:tcPr>
            <w:tcW w:w="465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CF878A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负责制定测试计划和测试用例；对系统功能进行测试，记录和跟踪缺陷；验证缺陷修复情况，确保系统满足需求和质量要求。</w:t>
            </w:r>
          </w:p>
        </w:tc>
      </w:tr>
      <w:tr w14:paraId="3D41CA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96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EF2D2A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实施人员</w:t>
            </w:r>
          </w:p>
        </w:tc>
        <w:tc>
          <w:tcPr>
            <w:tcW w:w="82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A47841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43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A620D7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朱子豪</w:t>
            </w:r>
          </w:p>
        </w:tc>
        <w:tc>
          <w:tcPr>
            <w:tcW w:w="465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46C008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负责系统的部署与实施工作；协助完成系统环境配置和系统上线；支持系统交付和用户使用，确保系统能够正常运行。</w:t>
            </w:r>
          </w:p>
        </w:tc>
      </w:tr>
      <w:tr w14:paraId="394625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96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F9B154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维护人员</w:t>
            </w:r>
          </w:p>
        </w:tc>
        <w:tc>
          <w:tcPr>
            <w:tcW w:w="82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14AB72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1</w:t>
            </w:r>
          </w:p>
        </w:tc>
        <w:tc>
          <w:tcPr>
            <w:tcW w:w="143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021CA4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朱子豪</w:t>
            </w:r>
          </w:p>
        </w:tc>
        <w:tc>
          <w:tcPr>
            <w:tcW w:w="465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118C75">
            <w:pPr>
              <w:pStyle w:val="21"/>
              <w:widowControl/>
              <w:spacing w:before="187"/>
              <w:ind w:firstLine="538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负责系统运行后的维护与支持工作；处理系统运行过程中出现的问题；根据需要进行系统优化和小规模功能调整，保障系统稳定运行。</w:t>
            </w:r>
          </w:p>
        </w:tc>
      </w:tr>
      <w:tr w14:paraId="7EC8D8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96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2971CD">
            <w:pPr>
              <w:widowControl/>
              <w:snapToGrid w:val="0"/>
              <w:jc w:val="center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配置管理员</w:t>
            </w:r>
          </w:p>
        </w:tc>
        <w:tc>
          <w:tcPr>
            <w:tcW w:w="82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FF9F9C">
            <w:pPr>
              <w:widowControl/>
              <w:snapToGrid w:val="0"/>
              <w:jc w:val="center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1</w:t>
            </w:r>
          </w:p>
        </w:tc>
        <w:tc>
          <w:tcPr>
            <w:tcW w:w="143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9B1138">
            <w:pPr>
              <w:widowControl/>
              <w:snapToGrid w:val="0"/>
              <w:jc w:val="center"/>
              <w:rPr>
                <w:kern w:val="0"/>
                <w:szCs w:val="21"/>
                <w:lang w:bidi="ar"/>
              </w:rPr>
            </w:pPr>
            <w:r>
              <w:rPr>
                <w:szCs w:val="21"/>
              </w:rPr>
              <w:t>李昕哲</w:t>
            </w:r>
          </w:p>
        </w:tc>
        <w:tc>
          <w:tcPr>
            <w:tcW w:w="465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F05A65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负责建立和维护项目的配置管理体系；管理项目文档、源代码及版本信息；控制配置项的变更，记录版本变更历史，确保项目资料的完整性和可追溯性。</w:t>
            </w:r>
          </w:p>
        </w:tc>
      </w:tr>
      <w:tr w14:paraId="7D7DD6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96" w:type="dxa"/>
            <w:tcBorders>
              <w:bottom w:val="single" w:color="auto" w:sz="12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2EC06A">
            <w:pPr>
              <w:widowControl/>
              <w:snapToGrid w:val="0"/>
              <w:jc w:val="center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QA</w:t>
            </w:r>
          </w:p>
        </w:tc>
        <w:tc>
          <w:tcPr>
            <w:tcW w:w="823" w:type="dxa"/>
            <w:tcBorders>
              <w:bottom w:val="single" w:color="auto" w:sz="12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989DEA">
            <w:pPr>
              <w:widowControl/>
              <w:snapToGrid w:val="0"/>
              <w:jc w:val="center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1438" w:type="dxa"/>
            <w:tcBorders>
              <w:bottom w:val="single" w:color="auto" w:sz="12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EEFA23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李昕哲</w:t>
            </w:r>
          </w:p>
        </w:tc>
        <w:tc>
          <w:tcPr>
            <w:tcW w:w="4656" w:type="dxa"/>
            <w:tcBorders>
              <w:bottom w:val="single" w:color="auto" w:sz="12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FF12B7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负责制定质量保证计划，对各角色产出的文档及代码进行合规性审计，确保其符合团队统一模板及质量标准。</w:t>
            </w:r>
          </w:p>
        </w:tc>
      </w:tr>
    </w:tbl>
    <w:p w14:paraId="634E9A45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sz w:val="24"/>
        </w:rPr>
        <w:t>在项目实施过程中，各角色在项目经理的统一协调下开展工作，形成分工明确、协作顺畅的组织体系。通过明确的职责划分，有助于提升项目执行效率，保证校园社团活动管理系统的开发质量和进度。</w:t>
      </w:r>
    </w:p>
    <w:p w14:paraId="59812A66">
      <w:pPr>
        <w:pStyle w:val="2"/>
        <w:numPr>
          <w:ilvl w:val="0"/>
          <w:numId w:val="0"/>
        </w:numPr>
        <w:jc w:val="left"/>
      </w:pPr>
      <w:r>
        <w:rPr>
          <w:rFonts w:hint="eastAsia" w:ascii="宋体" w:hAnsi="宋体" w:eastAsia="宋体" w:cs="宋体"/>
        </w:rPr>
        <w:t>三、项目预算估计</w:t>
      </w:r>
    </w:p>
    <w:p w14:paraId="2B03C031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本项目预算总额预计为</w:t>
      </w:r>
      <w:r>
        <w:rPr>
          <w:rFonts w:hint="eastAsia"/>
          <w:sz w:val="24"/>
        </w:rPr>
        <w:t>290000</w:t>
      </w:r>
      <w:r>
        <w:rPr>
          <w:sz w:val="24"/>
        </w:rPr>
        <w:t>元，预算周期覆盖项目需求分析、设计、开发、测试、上线及试运行全阶段，按</w:t>
      </w:r>
      <w:r>
        <w:rPr>
          <w:rFonts w:hint="eastAsia" w:ascii="宋体" w:hAnsi="宋体" w:cs="宋体"/>
          <w:sz w:val="24"/>
        </w:rPr>
        <w:t>“按需分配、重点倾斜、严控超支”原则，分为人力成本、软硬件资源成本、其他</w:t>
      </w:r>
      <w:r>
        <w:rPr>
          <w:sz w:val="24"/>
        </w:rPr>
        <w:t>费用三大类，各类别下细分具体费用项目，明确金额、估计依据及责任主体，确保每笔预算支出可追溯、可管控。</w:t>
      </w:r>
    </w:p>
    <w:p w14:paraId="49F0D731">
      <w:pPr>
        <w:spacing w:line="360" w:lineRule="auto"/>
        <w:ind w:firstLine="480" w:firstLineChars="200"/>
        <w:rPr>
          <w:sz w:val="24"/>
        </w:rPr>
      </w:pPr>
      <w:r>
        <w:rPr>
          <w:rFonts w:eastAsiaTheme="minorEastAsia"/>
          <w:sz w:val="24"/>
        </w:rPr>
        <w:t>（1）</w:t>
      </w:r>
      <w:r>
        <w:rPr>
          <w:sz w:val="24"/>
        </w:rPr>
        <w:t>人力成本</w:t>
      </w:r>
    </w:p>
    <w:p w14:paraId="377C3FE7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人力成本为项目核心支出，按行业标准薪资水平核算劳务费用，同时预留专业技术咨询费用应对关键技术难题，具体明细如下：</w:t>
      </w:r>
    </w:p>
    <w:tbl>
      <w:tblPr>
        <w:tblStyle w:val="24"/>
        <w:tblW w:w="8780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6"/>
        <w:gridCol w:w="1289"/>
        <w:gridCol w:w="4934"/>
        <w:gridCol w:w="1241"/>
      </w:tblGrid>
      <w:tr w14:paraId="2B46EA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316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AC573D">
            <w:pPr>
              <w:widowControl/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kern w:val="0"/>
                <w:szCs w:val="21"/>
                <w:lang w:bidi="ar"/>
              </w:rPr>
              <w:t>费用项目</w:t>
            </w:r>
          </w:p>
        </w:tc>
        <w:tc>
          <w:tcPr>
            <w:tcW w:w="1289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9B7C3A">
            <w:pPr>
              <w:widowControl/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kern w:val="0"/>
                <w:szCs w:val="21"/>
                <w:lang w:bidi="ar"/>
              </w:rPr>
              <w:t>估计金额</w:t>
            </w:r>
          </w:p>
        </w:tc>
        <w:tc>
          <w:tcPr>
            <w:tcW w:w="4934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F99856">
            <w:pPr>
              <w:widowControl/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估计依据</w:t>
            </w:r>
          </w:p>
        </w:tc>
        <w:tc>
          <w:tcPr>
            <w:tcW w:w="1241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55D7DC">
            <w:pPr>
              <w:widowControl/>
              <w:jc w:val="center"/>
              <w:rPr>
                <w:b/>
                <w:szCs w:val="21"/>
              </w:rPr>
            </w:pPr>
            <w:r>
              <w:rPr>
                <w:b/>
                <w:bCs/>
                <w:kern w:val="0"/>
                <w:szCs w:val="21"/>
                <w:lang w:bidi="ar"/>
              </w:rPr>
              <w:t>责任主体</w:t>
            </w:r>
          </w:p>
        </w:tc>
      </w:tr>
      <w:tr w14:paraId="50A559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1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A82A01">
            <w:pPr>
              <w:widowControl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核心管理团队劳务</w:t>
            </w:r>
          </w:p>
        </w:tc>
        <w:tc>
          <w:tcPr>
            <w:tcW w:w="1289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603DF0">
            <w:pPr>
              <w:widowControl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96000</w:t>
            </w:r>
          </w:p>
        </w:tc>
        <w:tc>
          <w:tcPr>
            <w:tcW w:w="49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34BDF0">
            <w:pPr>
              <w:widowControl/>
              <w:jc w:val="left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包含角色：PM（项目负责人）、PSM（技术负责人）、配置管理员；均项目全周期参与（12周=3个月）。薪资标准：PM/PSM月薪12000元，配置管理员月薪8000元；核算方式：（12000×2 + 8000）×3 = 96000</w:t>
            </w:r>
          </w:p>
        </w:tc>
        <w:tc>
          <w:tcPr>
            <w:tcW w:w="1241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6757F0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PM</w:t>
            </w:r>
          </w:p>
        </w:tc>
      </w:tr>
      <w:tr w14:paraId="0BF4C5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1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64DE4F">
            <w:pPr>
              <w:widowControl/>
              <w:jc w:val="center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开发与测试团队劳务</w:t>
            </w:r>
          </w:p>
        </w:tc>
        <w:tc>
          <w:tcPr>
            <w:tcW w:w="1289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B18346">
            <w:pPr>
              <w:widowControl/>
              <w:jc w:val="center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144000</w:t>
            </w:r>
          </w:p>
        </w:tc>
        <w:tc>
          <w:tcPr>
            <w:tcW w:w="49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05D09A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包含角色：需求开发人员、架构设计师、设计人员、编码人员、测试人员、实施人员、维护人员。薪资及周期：需求开发人员/架构设计师月薪10000元（3个月），设计人员月薪12000元（2个月），编码人员月薪10000元（2个月），测试人员月薪8000元（2个月），实施人员/维护人员月薪12000元（各1个月）；核算方式：（10000×2×3）+（12000×2）+（10000×2）+（8000×2）+（12000×2）= 144000</w:t>
            </w:r>
          </w:p>
        </w:tc>
        <w:tc>
          <w:tcPr>
            <w:tcW w:w="1241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2051F3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PSM</w:t>
            </w:r>
          </w:p>
        </w:tc>
      </w:tr>
      <w:tr w14:paraId="03D55D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1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43BABA">
            <w:pPr>
              <w:widowControl/>
              <w:jc w:val="center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外部技术顾问费用</w:t>
            </w:r>
          </w:p>
        </w:tc>
        <w:tc>
          <w:tcPr>
            <w:tcW w:w="1289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5F51C7">
            <w:pPr>
              <w:widowControl/>
              <w:jc w:val="center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6000</w:t>
            </w:r>
          </w:p>
        </w:tc>
        <w:tc>
          <w:tcPr>
            <w:tcW w:w="49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D121D4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预留2次外部技术咨询费用，用于解决架构设计、多端适配等关键难题，参考市场均价3000元/次，核算方式：3000×2 = 6000</w:t>
            </w:r>
          </w:p>
        </w:tc>
        <w:tc>
          <w:tcPr>
            <w:tcW w:w="1241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0B7005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PSM</w:t>
            </w:r>
          </w:p>
        </w:tc>
      </w:tr>
    </w:tbl>
    <w:p w14:paraId="2B7FA0C9">
      <w:pPr>
        <w:spacing w:line="360" w:lineRule="auto"/>
        <w:ind w:left="420" w:leftChars="200"/>
        <w:rPr>
          <w:sz w:val="24"/>
        </w:rPr>
      </w:pPr>
      <w:r>
        <w:rPr>
          <w:rFonts w:hint="eastAsia"/>
          <w:sz w:val="24"/>
        </w:rPr>
        <w:t>（2）软硬件资源成本</w:t>
      </w:r>
    </w:p>
    <w:p w14:paraId="5A481842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按项目技术需求采购或租赁商业软硬件资源</w:t>
      </w:r>
      <w:r>
        <w:rPr>
          <w:rFonts w:hint="eastAsia"/>
          <w:sz w:val="24"/>
        </w:rPr>
        <w:t>，</w:t>
      </w:r>
      <w:r>
        <w:rPr>
          <w:sz w:val="24"/>
        </w:rPr>
        <w:t>具体明细如下：</w:t>
      </w:r>
    </w:p>
    <w:tbl>
      <w:tblPr>
        <w:tblStyle w:val="24"/>
        <w:tblW w:w="8780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6"/>
        <w:gridCol w:w="1289"/>
        <w:gridCol w:w="4934"/>
        <w:gridCol w:w="1241"/>
      </w:tblGrid>
      <w:tr w14:paraId="62B271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316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D782A2">
            <w:pPr>
              <w:widowControl/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kern w:val="0"/>
                <w:szCs w:val="21"/>
                <w:lang w:bidi="ar"/>
              </w:rPr>
              <w:t>费用项目</w:t>
            </w:r>
          </w:p>
        </w:tc>
        <w:tc>
          <w:tcPr>
            <w:tcW w:w="1289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BB2E7B">
            <w:pPr>
              <w:widowControl/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kern w:val="0"/>
                <w:szCs w:val="21"/>
                <w:lang w:bidi="ar"/>
              </w:rPr>
              <w:t>估计金额</w:t>
            </w:r>
          </w:p>
        </w:tc>
        <w:tc>
          <w:tcPr>
            <w:tcW w:w="4934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F31647">
            <w:pPr>
              <w:widowControl/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估计依据</w:t>
            </w:r>
          </w:p>
        </w:tc>
        <w:tc>
          <w:tcPr>
            <w:tcW w:w="1241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AA635B">
            <w:pPr>
              <w:widowControl/>
              <w:jc w:val="center"/>
              <w:rPr>
                <w:b/>
                <w:szCs w:val="21"/>
              </w:rPr>
            </w:pPr>
            <w:r>
              <w:rPr>
                <w:b/>
                <w:bCs/>
                <w:kern w:val="0"/>
                <w:szCs w:val="21"/>
                <w:lang w:bidi="ar"/>
              </w:rPr>
              <w:t>责任主体</w:t>
            </w:r>
          </w:p>
        </w:tc>
      </w:tr>
      <w:tr w14:paraId="20D389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1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B6347E">
            <w:pPr>
              <w:widowControl/>
              <w:jc w:val="center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  <w:lang w:bidi="ar"/>
              </w:rPr>
              <w:t>云服务器租赁费用</w:t>
            </w:r>
          </w:p>
        </w:tc>
        <w:tc>
          <w:tcPr>
            <w:tcW w:w="1289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08B411">
            <w:pPr>
              <w:widowControl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1200</w:t>
            </w:r>
          </w:p>
        </w:tc>
        <w:tc>
          <w:tcPr>
            <w:tcW w:w="49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F0D867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租赁阿里云ECS云服务器，租赁周期12个月（含开发测试+试运行），按1200元/年标准估计。</w:t>
            </w:r>
          </w:p>
        </w:tc>
        <w:tc>
          <w:tcPr>
            <w:tcW w:w="1241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AAB44C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P</w:t>
            </w: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M</w:t>
            </w:r>
          </w:p>
        </w:tc>
      </w:tr>
      <w:tr w14:paraId="571016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1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3C749B">
            <w:pPr>
              <w:widowControl/>
              <w:jc w:val="center"/>
              <w:rPr>
                <w:rFonts w:hint="eastAsia" w:ascii="宋体" w:hAnsi="宋体" w:cs="宋体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  <w:lang w:bidi="ar"/>
              </w:rPr>
              <w:t>开发与测试辅助工具</w:t>
            </w:r>
          </w:p>
        </w:tc>
        <w:tc>
          <w:tcPr>
            <w:tcW w:w="1289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525ED0">
            <w:pPr>
              <w:widowControl/>
              <w:jc w:val="center"/>
              <w:rPr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  <w:lang w:bidi="ar"/>
              </w:rPr>
              <w:t>6000</w:t>
            </w:r>
          </w:p>
        </w:tc>
        <w:tc>
          <w:tcPr>
            <w:tcW w:w="49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0C18D3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采购商业版开发测试工具套装，含前端开发框架授权、数据库管理工具、专业性能测试工具（JMeter商业版）及设计插件。</w:t>
            </w:r>
          </w:p>
        </w:tc>
        <w:tc>
          <w:tcPr>
            <w:tcW w:w="1241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210029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配置管理员</w:t>
            </w:r>
          </w:p>
        </w:tc>
      </w:tr>
      <w:tr w14:paraId="26AAC0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1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49DA54">
            <w:pPr>
              <w:widowControl/>
              <w:jc w:val="center"/>
              <w:rPr>
                <w:rFonts w:hint="eastAsia" w:ascii="宋体" w:hAnsi="宋体" w:cs="宋体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  <w:lang w:bidi="ar"/>
              </w:rPr>
              <w:t>终端适配测试费用</w:t>
            </w:r>
          </w:p>
        </w:tc>
        <w:tc>
          <w:tcPr>
            <w:tcW w:w="1289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498B46">
            <w:pPr>
              <w:widowControl/>
              <w:jc w:val="center"/>
              <w:rPr>
                <w:rFonts w:hint="eastAsia" w:ascii="宋体" w:hAnsi="宋体" w:cs="宋体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bidi="ar"/>
              </w:rPr>
              <w:t>5000</w:t>
            </w:r>
          </w:p>
        </w:tc>
        <w:tc>
          <w:tcPr>
            <w:tcW w:w="49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70F68F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需覆盖Windows/macOS PC端及主流手机端（华为、小米、苹果），委托第三方专业测试机构提供兼容性测试服务。</w:t>
            </w:r>
          </w:p>
        </w:tc>
        <w:tc>
          <w:tcPr>
            <w:tcW w:w="1241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AFCF26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QA</w:t>
            </w:r>
          </w:p>
        </w:tc>
      </w:tr>
    </w:tbl>
    <w:p w14:paraId="7FB10DFD">
      <w:pPr>
        <w:spacing w:line="360" w:lineRule="auto"/>
        <w:ind w:left="420" w:leftChars="200"/>
        <w:rPr>
          <w:sz w:val="24"/>
        </w:rPr>
      </w:pPr>
      <w:r>
        <w:rPr>
          <w:rFonts w:hint="eastAsia"/>
          <w:sz w:val="24"/>
        </w:rPr>
        <w:t>（3）其他费用</w:t>
      </w:r>
    </w:p>
    <w:p w14:paraId="4672A25D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为项目推进过程中的辅助性支出，金额占比偏低，主要包括文档制作、会议沟通及应急备用金，具体明细如下：</w:t>
      </w:r>
    </w:p>
    <w:tbl>
      <w:tblPr>
        <w:tblStyle w:val="24"/>
        <w:tblW w:w="8849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6"/>
        <w:gridCol w:w="1299"/>
        <w:gridCol w:w="4973"/>
        <w:gridCol w:w="1251"/>
      </w:tblGrid>
      <w:tr w14:paraId="329E7D28">
        <w:trPr>
          <w:tblHeader/>
          <w:jc w:val="center"/>
        </w:trPr>
        <w:tc>
          <w:tcPr>
            <w:tcW w:w="1316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CBA293">
            <w:pPr>
              <w:widowControl/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kern w:val="0"/>
                <w:szCs w:val="21"/>
                <w:lang w:bidi="ar"/>
              </w:rPr>
              <w:t>费用项目</w:t>
            </w:r>
          </w:p>
        </w:tc>
        <w:tc>
          <w:tcPr>
            <w:tcW w:w="1289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28C49C">
            <w:pPr>
              <w:widowControl/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kern w:val="0"/>
                <w:szCs w:val="21"/>
                <w:lang w:bidi="ar"/>
              </w:rPr>
              <w:t>估计金额</w:t>
            </w:r>
          </w:p>
        </w:tc>
        <w:tc>
          <w:tcPr>
            <w:tcW w:w="4934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0B5B07">
            <w:pPr>
              <w:widowControl/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估计依据</w:t>
            </w:r>
          </w:p>
        </w:tc>
        <w:tc>
          <w:tcPr>
            <w:tcW w:w="1241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B00AE3">
            <w:pPr>
              <w:widowControl/>
              <w:jc w:val="center"/>
              <w:rPr>
                <w:b/>
                <w:szCs w:val="21"/>
              </w:rPr>
            </w:pPr>
            <w:r>
              <w:rPr>
                <w:b/>
                <w:bCs/>
                <w:kern w:val="0"/>
                <w:szCs w:val="21"/>
                <w:lang w:bidi="ar"/>
              </w:rPr>
              <w:t>责任主体</w:t>
            </w:r>
          </w:p>
        </w:tc>
      </w:tr>
      <w:tr w14:paraId="428F0B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1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344772">
            <w:pPr>
              <w:widowControl/>
              <w:jc w:val="center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  <w:lang w:bidi="ar"/>
              </w:rPr>
              <w:t>文档打印与装订费用</w:t>
            </w:r>
          </w:p>
        </w:tc>
        <w:tc>
          <w:tcPr>
            <w:tcW w:w="1289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A580B5">
            <w:pPr>
              <w:widowControl/>
              <w:jc w:val="center"/>
              <w:rPr>
                <w:szCs w:val="21"/>
              </w:rPr>
            </w:pPr>
            <w:r>
              <w:rPr>
                <w:kern w:val="0"/>
                <w:sz w:val="20"/>
                <w:szCs w:val="20"/>
                <w:lang w:bidi="ar"/>
              </w:rPr>
              <w:t>3000</w:t>
            </w:r>
          </w:p>
        </w:tc>
        <w:tc>
          <w:tcPr>
            <w:tcW w:w="49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47849C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kern w:val="0"/>
                <w:sz w:val="20"/>
                <w:szCs w:val="20"/>
                <w:lang w:bidi="ar"/>
              </w:rPr>
              <w:t>项目全周期需输出需求文档、设计方案、测试报告等各类商业级文档共30份，含专业排版、打印及装订费用，按100元/份标准估计</w:t>
            </w:r>
          </w:p>
        </w:tc>
        <w:tc>
          <w:tcPr>
            <w:tcW w:w="1241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B71AE2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 w:val="20"/>
                <w:szCs w:val="20"/>
                <w:lang w:bidi="ar"/>
              </w:rPr>
              <w:t>配置管理员</w:t>
            </w:r>
          </w:p>
        </w:tc>
      </w:tr>
      <w:tr w14:paraId="15535A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1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AB6961">
            <w:pPr>
              <w:widowControl/>
              <w:jc w:val="center"/>
              <w:rPr>
                <w:rFonts w:hint="eastAsia" w:ascii="宋体" w:hAnsi="宋体" w:cs="宋体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  <w:lang w:bidi="ar"/>
              </w:rPr>
              <w:t>项目沟通与评审费用</w:t>
            </w:r>
          </w:p>
        </w:tc>
        <w:tc>
          <w:tcPr>
            <w:tcW w:w="1289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F66709">
            <w:pPr>
              <w:widowControl/>
              <w:jc w:val="center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2500</w:t>
            </w:r>
          </w:p>
        </w:tc>
        <w:tc>
          <w:tcPr>
            <w:tcW w:w="49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DB91F9">
            <w:pPr>
              <w:widowControl/>
              <w:snapToGrid w:val="0"/>
              <w:jc w:val="left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计划召开需求评审、设计评审、上线评审等关键会议共5次，含商业会议场地租赁、会议物料准备（投影、打印资料、茶歇）等费用，按500元/次标准估计</w:t>
            </w:r>
          </w:p>
        </w:tc>
        <w:tc>
          <w:tcPr>
            <w:tcW w:w="1241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7BBECC">
            <w:pPr>
              <w:widowControl/>
              <w:snapToGrid w:val="0"/>
              <w:jc w:val="center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PM</w:t>
            </w:r>
          </w:p>
        </w:tc>
      </w:tr>
      <w:tr w14:paraId="4CD35C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1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C6714D">
            <w:pPr>
              <w:widowControl/>
              <w:jc w:val="center"/>
              <w:rPr>
                <w:rFonts w:hint="eastAsia" w:ascii="宋体" w:hAnsi="宋体" w:cs="宋体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  <w:lang w:bidi="ar"/>
              </w:rPr>
              <w:t>应急备用金</w:t>
            </w:r>
          </w:p>
        </w:tc>
        <w:tc>
          <w:tcPr>
            <w:tcW w:w="1289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F55DC9">
            <w:pPr>
              <w:widowControl/>
              <w:jc w:val="center"/>
              <w:rPr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  <w:kern w:val="0"/>
                <w:sz w:val="20"/>
                <w:szCs w:val="20"/>
                <w:lang w:bidi="ar"/>
              </w:rPr>
              <w:t>26370</w:t>
            </w:r>
          </w:p>
        </w:tc>
        <w:tc>
          <w:tcPr>
            <w:tcW w:w="49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1B8E15">
            <w:pPr>
              <w:widowControl/>
              <w:snapToGrid w:val="0"/>
              <w:jc w:val="left"/>
              <w:rPr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  <w:lang w:bidi="ar"/>
              </w:rPr>
              <w:t>按项目总预算的10%预留，用于应对突发费用（如服务器临时升级、设备故障维修、需求小范围变更产生的额外成本），核算方式：26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bidi="ar"/>
              </w:rPr>
              <w:t>3700</w:t>
            </w:r>
            <w:r>
              <w:rPr>
                <w:rFonts w:ascii="宋体" w:hAnsi="宋体" w:cs="宋体"/>
                <w:kern w:val="0"/>
                <w:sz w:val="20"/>
                <w:szCs w:val="20"/>
                <w:lang w:bidi="ar"/>
              </w:rPr>
              <w:t>×10%≈26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bidi="ar"/>
              </w:rPr>
              <w:t>300</w:t>
            </w:r>
          </w:p>
        </w:tc>
        <w:tc>
          <w:tcPr>
            <w:tcW w:w="1241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269FF6">
            <w:pPr>
              <w:widowControl/>
              <w:snapToGrid w:val="0"/>
              <w:jc w:val="center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PM</w:t>
            </w:r>
          </w:p>
        </w:tc>
      </w:tr>
    </w:tbl>
    <w:p w14:paraId="68989291">
      <w:pPr>
        <w:pStyle w:val="2"/>
        <w:numPr>
          <w:ilvl w:val="0"/>
          <w:numId w:val="0"/>
        </w:numPr>
        <w:rPr>
          <w:rFonts w:hint="eastAsia" w:eastAsia="宋体"/>
        </w:rPr>
      </w:pPr>
      <w:r>
        <w:rPr>
          <w:rFonts w:hint="eastAsia" w:eastAsia="宋体"/>
        </w:rPr>
        <w:t>四、项目里程碑计划</w:t>
      </w:r>
    </w:p>
    <w:p w14:paraId="68B02E4E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项目里程碑计划基于12周全生命周期制定，明确各关键阶段的里程碑节点、完成时间、核心交付成果、责任主体及验收标准，为项目进度管控提供核心依据，确保各阶段工作有序衔接、目标落地。</w:t>
      </w:r>
    </w:p>
    <w:tbl>
      <w:tblPr>
        <w:tblStyle w:val="24"/>
        <w:tblW w:w="8780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5"/>
        <w:gridCol w:w="1302"/>
        <w:gridCol w:w="3888"/>
        <w:gridCol w:w="2085"/>
      </w:tblGrid>
      <w:tr w14:paraId="446899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505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49ED4485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b/>
                <w:bCs/>
                <w:kern w:val="0"/>
                <w:szCs w:val="21"/>
                <w:lang w:bidi="ar"/>
              </w:rPr>
              <w:t>里程碑名称</w:t>
            </w:r>
          </w:p>
        </w:tc>
        <w:tc>
          <w:tcPr>
            <w:tcW w:w="1302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E6A8885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b/>
                <w:bCs/>
                <w:kern w:val="0"/>
                <w:szCs w:val="21"/>
                <w:lang w:bidi="ar"/>
              </w:rPr>
              <w:t>完成时间</w:t>
            </w:r>
          </w:p>
        </w:tc>
        <w:tc>
          <w:tcPr>
            <w:tcW w:w="3888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80426DD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b/>
                <w:bCs/>
                <w:kern w:val="0"/>
                <w:szCs w:val="21"/>
                <w:lang w:bidi="ar"/>
              </w:rPr>
              <w:t>核心交付成果</w:t>
            </w:r>
          </w:p>
        </w:tc>
        <w:tc>
          <w:tcPr>
            <w:tcW w:w="2085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253D03D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b/>
                <w:bCs/>
                <w:kern w:val="0"/>
                <w:szCs w:val="21"/>
                <w:lang w:bidi="ar"/>
              </w:rPr>
              <w:t>责任主体</w:t>
            </w:r>
          </w:p>
        </w:tc>
      </w:tr>
      <w:tr w14:paraId="713038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0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BE2933C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需求分析完成</w:t>
            </w:r>
          </w:p>
        </w:tc>
        <w:tc>
          <w:tcPr>
            <w:tcW w:w="1302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E376599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第2周</w:t>
            </w:r>
          </w:p>
        </w:tc>
        <w:tc>
          <w:tcPr>
            <w:tcW w:w="388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E4181B6">
            <w:pPr>
              <w:widowControl/>
              <w:numPr>
                <w:ilvl w:val="0"/>
                <w:numId w:val="4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需求规格说明书；</w:t>
            </w:r>
          </w:p>
          <w:p w14:paraId="621A08DE">
            <w:pPr>
              <w:widowControl/>
              <w:numPr>
                <w:ilvl w:val="0"/>
                <w:numId w:val="4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需求调研问卷及分析报告；</w:t>
            </w:r>
          </w:p>
          <w:p w14:paraId="1BD32044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3. 需求评审会议纪要</w:t>
            </w:r>
          </w:p>
        </w:tc>
        <w:tc>
          <w:tcPr>
            <w:tcW w:w="208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D898E99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需求开发人员+PM</w:t>
            </w:r>
          </w:p>
        </w:tc>
      </w:tr>
      <w:tr w14:paraId="04D2E3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0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61F0C9CB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技术设计完成</w:t>
            </w:r>
          </w:p>
        </w:tc>
        <w:tc>
          <w:tcPr>
            <w:tcW w:w="1302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D7A4CAE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第4周</w:t>
            </w:r>
          </w:p>
        </w:tc>
        <w:tc>
          <w:tcPr>
            <w:tcW w:w="388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7DCAA8C">
            <w:pPr>
              <w:widowControl/>
              <w:numPr>
                <w:ilvl w:val="0"/>
                <w:numId w:val="5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技术架构方案文档；</w:t>
            </w:r>
          </w:p>
          <w:p w14:paraId="37876FBD">
            <w:pPr>
              <w:widowControl/>
              <w:numPr>
                <w:ilvl w:val="0"/>
                <w:numId w:val="5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数据库设计说明书；</w:t>
            </w:r>
          </w:p>
          <w:p w14:paraId="61D665F2">
            <w:pPr>
              <w:widowControl/>
              <w:numPr>
                <w:ilvl w:val="0"/>
                <w:numId w:val="5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UI/UX设计原型；</w:t>
            </w:r>
          </w:p>
          <w:p w14:paraId="7911EF45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4. 设计评审会议纪要</w:t>
            </w:r>
          </w:p>
        </w:tc>
        <w:tc>
          <w:tcPr>
            <w:tcW w:w="208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0151BA8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PSM+架构设计师+设计人员</w:t>
            </w:r>
          </w:p>
        </w:tc>
      </w:tr>
      <w:tr w14:paraId="153E87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0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2980055F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开发完成</w:t>
            </w:r>
          </w:p>
        </w:tc>
        <w:tc>
          <w:tcPr>
            <w:tcW w:w="1302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F5ADF69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第8周</w:t>
            </w:r>
          </w:p>
        </w:tc>
        <w:tc>
          <w:tcPr>
            <w:tcW w:w="388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C398713">
            <w:pPr>
              <w:widowControl/>
              <w:numPr>
                <w:ilvl w:val="0"/>
                <w:numId w:val="6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系统前后端代码包（含版本记录）；</w:t>
            </w:r>
          </w:p>
          <w:p w14:paraId="55FFCC20">
            <w:pPr>
              <w:widowControl/>
              <w:numPr>
                <w:ilvl w:val="0"/>
                <w:numId w:val="6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单元测试报告；</w:t>
            </w:r>
          </w:p>
          <w:p w14:paraId="5146DADD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3. 开发进度总结报告</w:t>
            </w:r>
          </w:p>
        </w:tc>
        <w:tc>
          <w:tcPr>
            <w:tcW w:w="208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6473810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编码人员+PSM</w:t>
            </w:r>
          </w:p>
        </w:tc>
      </w:tr>
      <w:tr w14:paraId="2339E0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0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1AD72FAA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测试完成</w:t>
            </w:r>
          </w:p>
        </w:tc>
        <w:tc>
          <w:tcPr>
            <w:tcW w:w="1302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C4C53F0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第10周</w:t>
            </w:r>
          </w:p>
        </w:tc>
        <w:tc>
          <w:tcPr>
            <w:tcW w:w="388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73D0D75">
            <w:pPr>
              <w:widowControl/>
              <w:numPr>
                <w:ilvl w:val="0"/>
                <w:numId w:val="7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测试用例集；</w:t>
            </w:r>
          </w:p>
          <w:p w14:paraId="6C3A113A">
            <w:pPr>
              <w:widowControl/>
              <w:numPr>
                <w:ilvl w:val="0"/>
                <w:numId w:val="7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功能/性能/兼容性测试报告；</w:t>
            </w:r>
          </w:p>
          <w:p w14:paraId="0AB3C21A">
            <w:pPr>
              <w:widowControl/>
              <w:numPr>
                <w:ilvl w:val="0"/>
                <w:numId w:val="7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缺陷整改清单及闭环报告；</w:t>
            </w:r>
          </w:p>
          <w:p w14:paraId="2D2A25CE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4. 测试评审会议纪要</w:t>
            </w:r>
          </w:p>
        </w:tc>
        <w:tc>
          <w:tcPr>
            <w:tcW w:w="208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4F918D1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测试人员+QA</w:t>
            </w:r>
          </w:p>
        </w:tc>
      </w:tr>
      <w:tr w14:paraId="21ECF2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0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E6AED4E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系统上线完成</w:t>
            </w:r>
          </w:p>
        </w:tc>
        <w:tc>
          <w:tcPr>
            <w:tcW w:w="1302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71EB65B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第11周</w:t>
            </w:r>
          </w:p>
        </w:tc>
        <w:tc>
          <w:tcPr>
            <w:tcW w:w="388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046A5FD">
            <w:pPr>
              <w:widowControl/>
              <w:numPr>
                <w:ilvl w:val="0"/>
                <w:numId w:val="8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系统部署文档；</w:t>
            </w:r>
          </w:p>
          <w:p w14:paraId="515AA816">
            <w:pPr>
              <w:widowControl/>
              <w:numPr>
                <w:ilvl w:val="0"/>
                <w:numId w:val="8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上线操作手册；</w:t>
            </w:r>
          </w:p>
          <w:p w14:paraId="1DEF3148">
            <w:pPr>
              <w:widowControl/>
              <w:numPr>
                <w:ilvl w:val="0"/>
                <w:numId w:val="8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上线确认报告；</w:t>
            </w:r>
          </w:p>
          <w:p w14:paraId="7C425019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4. 用户培训PPT</w:t>
            </w:r>
          </w:p>
        </w:tc>
        <w:tc>
          <w:tcPr>
            <w:tcW w:w="208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707D116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实施人员+PSM</w:t>
            </w:r>
          </w:p>
        </w:tc>
      </w:tr>
      <w:tr w14:paraId="24DFD4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0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1A12FF71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试运行完成（项目收尾）</w:t>
            </w:r>
          </w:p>
        </w:tc>
        <w:tc>
          <w:tcPr>
            <w:tcW w:w="1302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5DE3EC8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第12周</w:t>
            </w:r>
          </w:p>
        </w:tc>
        <w:tc>
          <w:tcPr>
            <w:tcW w:w="388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A1B695B">
            <w:pPr>
              <w:widowControl/>
              <w:numPr>
                <w:ilvl w:val="0"/>
                <w:numId w:val="9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试运行总结报告；</w:t>
            </w:r>
          </w:p>
          <w:p w14:paraId="28A594B6">
            <w:pPr>
              <w:widowControl/>
              <w:numPr>
                <w:ilvl w:val="0"/>
                <w:numId w:val="9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用户反馈收集及优化方案；</w:t>
            </w:r>
          </w:p>
          <w:p w14:paraId="7346DCFC">
            <w:pPr>
              <w:widowControl/>
              <w:numPr>
                <w:ilvl w:val="0"/>
                <w:numId w:val="9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项目验收文档包（含全周期资料汇编）；</w:t>
            </w:r>
          </w:p>
          <w:p w14:paraId="0098ABB5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4. 项目总结报告</w:t>
            </w:r>
          </w:p>
        </w:tc>
        <w:tc>
          <w:tcPr>
            <w:tcW w:w="208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BFFF17A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维护人员+PM+配置管理员</w:t>
            </w:r>
          </w:p>
        </w:tc>
      </w:tr>
    </w:tbl>
    <w:p w14:paraId="39E434D5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PM每周对照里程碑计划梳理进度，在周例会上同步进展；每里程碑节点完成后3个工作日内，提交里程碑完成报告至甲方及项目团队。</w:t>
      </w:r>
    </w:p>
    <w:p w14:paraId="02CB98D0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若某里程碑预计延迟超过1个工作日，责任主体需立即提交延迟分析报告及整改措施，由PM组织评审，必要时调整后续里程碑时间或调配资源。</w:t>
      </w:r>
    </w:p>
    <w:p w14:paraId="403BABED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sz w:val="24"/>
        </w:rPr>
        <w:t>各里程碑验收需形成正式书面文件，由相关干系人签署确认，配置管理员负责归档验收资料，作为项目进度及费用结算的依据。</w:t>
      </w:r>
    </w:p>
    <w:p w14:paraId="4C3F887A">
      <w:pPr>
        <w:pStyle w:val="2"/>
        <w:numPr>
          <w:ilvl w:val="0"/>
          <w:numId w:val="10"/>
        </w:numPr>
      </w:pPr>
      <w:r>
        <w:rPr>
          <w:rFonts w:hint="eastAsia" w:eastAsia="宋体"/>
        </w:rPr>
        <w:t>项目进度安排</w:t>
      </w:r>
    </w:p>
    <w:p w14:paraId="2E1AA54A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本项目进度安排以里程碑节点为核心锚点，细化各阶段周度任务、时间分配、责任主体及任务依赖关系，形成“周度管控+阶段衔接”的进度管理体系，确保项目按计划有序推进。</w:t>
      </w:r>
    </w:p>
    <w:p w14:paraId="4F43C5B3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项目总周期：12周（3个月），按核心阶段划分为6个进度模块，各模块时间占比及核心目标如下：</w:t>
      </w:r>
    </w:p>
    <w:tbl>
      <w:tblPr>
        <w:tblStyle w:val="24"/>
        <w:tblW w:w="0" w:type="auto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2"/>
        <w:gridCol w:w="1181"/>
        <w:gridCol w:w="1163"/>
        <w:gridCol w:w="4762"/>
      </w:tblGrid>
      <w:tr w14:paraId="269674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604383E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b/>
                <w:bCs/>
                <w:kern w:val="0"/>
                <w:szCs w:val="21"/>
                <w:lang w:bidi="ar"/>
              </w:rPr>
              <w:t>进度模块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AEEA906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b/>
                <w:bCs/>
                <w:kern w:val="0"/>
                <w:szCs w:val="21"/>
                <w:lang w:bidi="ar"/>
              </w:rPr>
              <w:t>时间范围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0D70074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b/>
                <w:bCs/>
                <w:kern w:val="0"/>
                <w:szCs w:val="21"/>
                <w:lang w:bidi="ar"/>
              </w:rPr>
              <w:t>时间占比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3394199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b/>
                <w:bCs/>
                <w:kern w:val="0"/>
                <w:szCs w:val="21"/>
                <w:lang w:bidi="ar"/>
              </w:rPr>
              <w:t>核心目标</w:t>
            </w:r>
          </w:p>
        </w:tc>
      </w:tr>
      <w:tr w14:paraId="07E789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4F2F9BF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需求分析阶段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863FEB6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第1-2周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F2F5C5E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16.7%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6F74A3A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完成全量需求调研与梳理，输出确认的需求规格说明书</w:t>
            </w:r>
          </w:p>
        </w:tc>
      </w:tr>
      <w:tr w14:paraId="3F9486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58888781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技术设计阶段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8C34F5C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第3-4周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7C83AB0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16.7%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780499A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完成技术架构、数据库及UI设计，输出可落地的设计方案</w:t>
            </w:r>
          </w:p>
        </w:tc>
      </w:tr>
      <w:tr w14:paraId="05F568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4000F84A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开发实施阶段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042189C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第5-8周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2B6D777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33.3%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B74ABF3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完成系统前后端开发及单元测试，实现核心功能模块落地</w:t>
            </w:r>
          </w:p>
        </w:tc>
      </w:tr>
      <w:tr w14:paraId="797474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32B9AB1E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测试优化阶段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7E65DF7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第9-10周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BAF8BD1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16.7%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893CEE2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完成全量测试及缺陷整改，确保系统功能稳定、性能达标</w:t>
            </w:r>
          </w:p>
        </w:tc>
      </w:tr>
      <w:tr w14:paraId="7A4A02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03AA93F0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上线部署阶段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1FA1D0D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第11周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33964C6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8.3%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BDBCCBB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完成系统部署上线及首轮用户培训，实现系统正常访问使用</w:t>
            </w:r>
          </w:p>
        </w:tc>
      </w:tr>
      <w:tr w14:paraId="1FC611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04580094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试运行收尾阶段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F1AE13E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第12周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53FD933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8.3%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D7C2C8D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完成系统试运行及用户反馈整改，输出项目验收资料包</w:t>
            </w:r>
          </w:p>
        </w:tc>
      </w:tr>
    </w:tbl>
    <w:p w14:paraId="0CA62452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以周为单位明确具体任务、责任主体、交付成果及依赖条件，确保任务可执行、进度可跟踪：</w:t>
      </w:r>
    </w:p>
    <w:tbl>
      <w:tblPr>
        <w:tblStyle w:val="24"/>
        <w:tblW w:w="0" w:type="auto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6"/>
        <w:gridCol w:w="2145"/>
        <w:gridCol w:w="2332"/>
        <w:gridCol w:w="2995"/>
      </w:tblGrid>
      <w:tr w14:paraId="5E251F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026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5CCC0367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周次</w:t>
            </w:r>
          </w:p>
        </w:tc>
        <w:tc>
          <w:tcPr>
            <w:tcW w:w="2145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9AB674E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 w:val="20"/>
                <w:szCs w:val="20"/>
                <w:lang w:bidi="ar"/>
              </w:rPr>
              <w:t>核心任务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FA6C97D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 w:val="20"/>
                <w:szCs w:val="20"/>
                <w:lang w:bidi="ar"/>
              </w:rPr>
              <w:t>责任主体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C8CBC6B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 w:val="20"/>
                <w:szCs w:val="20"/>
                <w:lang w:bidi="ar"/>
              </w:rPr>
              <w:t>交付成果</w:t>
            </w:r>
          </w:p>
        </w:tc>
      </w:tr>
      <w:tr w14:paraId="322FD9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51478744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第1周</w:t>
            </w:r>
          </w:p>
        </w:tc>
        <w:tc>
          <w:tcPr>
            <w:tcW w:w="214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01D1B50">
            <w:pPr>
              <w:widowControl/>
              <w:numPr>
                <w:ilvl w:val="0"/>
                <w:numId w:val="11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项目启动会议；</w:t>
            </w:r>
          </w:p>
          <w:p w14:paraId="37AD9D36">
            <w:pPr>
              <w:widowControl/>
              <w:numPr>
                <w:ilvl w:val="0"/>
                <w:numId w:val="11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甲方/社团需求调研；</w:t>
            </w:r>
          </w:p>
          <w:p w14:paraId="1A74EF98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需求问卷设计与发放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3185EEE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PM+需求开发人员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8FE9998">
            <w:pPr>
              <w:widowControl/>
              <w:numPr>
                <w:ilvl w:val="0"/>
                <w:numId w:val="12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项目启动会议纪要；</w:t>
            </w:r>
          </w:p>
          <w:p w14:paraId="4A571A7C">
            <w:pPr>
              <w:widowControl/>
              <w:numPr>
                <w:ilvl w:val="0"/>
                <w:numId w:val="12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需求调研记录；</w:t>
            </w:r>
          </w:p>
          <w:p w14:paraId="0A9FDEB7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需求问卷</w:t>
            </w:r>
          </w:p>
        </w:tc>
      </w:tr>
      <w:tr w14:paraId="50B9AC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0C6B746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第2周</w:t>
            </w:r>
          </w:p>
        </w:tc>
        <w:tc>
          <w:tcPr>
            <w:tcW w:w="214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271E228">
            <w:pPr>
              <w:widowControl/>
              <w:numPr>
                <w:ilvl w:val="0"/>
                <w:numId w:val="13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需求问卷回收与分析；</w:t>
            </w:r>
          </w:p>
          <w:p w14:paraId="35FDD766">
            <w:pPr>
              <w:widowControl/>
              <w:numPr>
                <w:ilvl w:val="0"/>
                <w:numId w:val="13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需求规格说明书编写；</w:t>
            </w:r>
          </w:p>
          <w:p w14:paraId="663D26BD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需求评审会议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30413D3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需求开发人员+PM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E796675">
            <w:pPr>
              <w:widowControl/>
              <w:numPr>
                <w:ilvl w:val="0"/>
                <w:numId w:val="14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需求分析报告；</w:t>
            </w:r>
          </w:p>
          <w:p w14:paraId="725C8A6A">
            <w:pPr>
              <w:widowControl/>
              <w:numPr>
                <w:ilvl w:val="0"/>
                <w:numId w:val="14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确认版需求规格说明书；</w:t>
            </w:r>
          </w:p>
          <w:p w14:paraId="633704A2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需求评审纪要</w:t>
            </w:r>
          </w:p>
        </w:tc>
      </w:tr>
      <w:tr w14:paraId="4955FB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E0AF39F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第3周</w:t>
            </w:r>
          </w:p>
        </w:tc>
        <w:tc>
          <w:tcPr>
            <w:tcW w:w="214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53106BD">
            <w:pPr>
              <w:widowControl/>
              <w:numPr>
                <w:ilvl w:val="0"/>
                <w:numId w:val="15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技术架构方案设计；</w:t>
            </w:r>
          </w:p>
          <w:p w14:paraId="44DC2A65">
            <w:pPr>
              <w:widowControl/>
              <w:numPr>
                <w:ilvl w:val="0"/>
                <w:numId w:val="15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数据库表结构设计；</w:t>
            </w:r>
          </w:p>
          <w:p w14:paraId="4D534533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UI设计需求梳理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E928D92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PSM+架构设计师+设计人员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74DDDED">
            <w:pPr>
              <w:widowControl/>
              <w:numPr>
                <w:ilvl w:val="0"/>
                <w:numId w:val="16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技术架构草案；</w:t>
            </w:r>
          </w:p>
          <w:p w14:paraId="7147964D">
            <w:pPr>
              <w:widowControl/>
              <w:numPr>
                <w:ilvl w:val="0"/>
                <w:numId w:val="16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数据库设计草案；</w:t>
            </w:r>
          </w:p>
          <w:p w14:paraId="625DF391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UI设计需求清单</w:t>
            </w:r>
          </w:p>
        </w:tc>
      </w:tr>
      <w:tr w14:paraId="0C9772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02A17147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第4周</w:t>
            </w:r>
          </w:p>
        </w:tc>
        <w:tc>
          <w:tcPr>
            <w:tcW w:w="214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68364B9">
            <w:pPr>
              <w:widowControl/>
              <w:numPr>
                <w:ilvl w:val="0"/>
                <w:numId w:val="17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技术方案优化与确认；</w:t>
            </w:r>
          </w:p>
          <w:p w14:paraId="79BBBBF6">
            <w:pPr>
              <w:widowControl/>
              <w:numPr>
                <w:ilvl w:val="0"/>
                <w:numId w:val="17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UI原型设计；</w:t>
            </w:r>
          </w:p>
          <w:p w14:paraId="3226CA63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设计评审会议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52F169A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PSM+架构设计师+设计人员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A82D53B">
            <w:pPr>
              <w:widowControl/>
              <w:numPr>
                <w:ilvl w:val="0"/>
                <w:numId w:val="18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确认版技术架构方案；</w:t>
            </w:r>
          </w:p>
          <w:p w14:paraId="183B169F">
            <w:pPr>
              <w:widowControl/>
              <w:numPr>
                <w:ilvl w:val="0"/>
                <w:numId w:val="18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数据库设计说明书；</w:t>
            </w:r>
          </w:p>
          <w:p w14:paraId="2DDF919A">
            <w:pPr>
              <w:widowControl/>
              <w:numPr>
                <w:ilvl w:val="0"/>
                <w:numId w:val="18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UI设计原型；</w:t>
            </w:r>
          </w:p>
          <w:p w14:paraId="74E1917E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4. 设计评审纪要</w:t>
            </w:r>
          </w:p>
        </w:tc>
      </w:tr>
      <w:tr w14:paraId="409791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29192F66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第5-6周</w:t>
            </w:r>
          </w:p>
        </w:tc>
        <w:tc>
          <w:tcPr>
            <w:tcW w:w="214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63C3020">
            <w:pPr>
              <w:widowControl/>
              <w:numPr>
                <w:ilvl w:val="0"/>
                <w:numId w:val="19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开发环境搭建；</w:t>
            </w:r>
          </w:p>
          <w:p w14:paraId="0E0F0DD3">
            <w:pPr>
              <w:widowControl/>
              <w:numPr>
                <w:ilvl w:val="0"/>
                <w:numId w:val="19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系统后端核心模块开发；</w:t>
            </w:r>
          </w:p>
          <w:p w14:paraId="72921517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前端页面框架开发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9401175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编码人员+PSM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9EAAA51">
            <w:pPr>
              <w:widowControl/>
              <w:numPr>
                <w:ilvl w:val="0"/>
                <w:numId w:val="20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搭建完成的开发环境；</w:t>
            </w:r>
          </w:p>
          <w:p w14:paraId="1A94C616">
            <w:pPr>
              <w:widowControl/>
              <w:numPr>
                <w:ilvl w:val="0"/>
                <w:numId w:val="20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后端核心模块代码；</w:t>
            </w:r>
          </w:p>
          <w:p w14:paraId="587FF99B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前端页面框架</w:t>
            </w:r>
          </w:p>
        </w:tc>
      </w:tr>
      <w:tr w14:paraId="75AEEE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11AE9A62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第7-8周</w:t>
            </w:r>
          </w:p>
        </w:tc>
        <w:tc>
          <w:tcPr>
            <w:tcW w:w="214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2655FCA">
            <w:pPr>
              <w:widowControl/>
              <w:numPr>
                <w:ilvl w:val="0"/>
                <w:numId w:val="21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前后端对接与联调；</w:t>
            </w:r>
          </w:p>
          <w:p w14:paraId="3618BF72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2. 剩余功能模块开发；</w:t>
            </w:r>
          </w:p>
          <w:p w14:paraId="6E754404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单元测试与代码优化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3BF31DC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编码人员+PSM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8E887AE">
            <w:pPr>
              <w:widowControl/>
              <w:numPr>
                <w:ilvl w:val="0"/>
                <w:numId w:val="22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完整系统代码包；</w:t>
            </w:r>
          </w:p>
          <w:p w14:paraId="0BAA1859">
            <w:pPr>
              <w:widowControl/>
              <w:numPr>
                <w:ilvl w:val="0"/>
                <w:numId w:val="22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单元测试报告；</w:t>
            </w:r>
          </w:p>
          <w:p w14:paraId="1774C4CF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代码版本记录</w:t>
            </w:r>
          </w:p>
        </w:tc>
      </w:tr>
      <w:tr w14:paraId="467BDA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53081707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第9周</w:t>
            </w:r>
          </w:p>
        </w:tc>
        <w:tc>
          <w:tcPr>
            <w:tcW w:w="214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86844D3">
            <w:pPr>
              <w:widowControl/>
              <w:numPr>
                <w:ilvl w:val="0"/>
                <w:numId w:val="23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测试用例设计；</w:t>
            </w:r>
          </w:p>
          <w:p w14:paraId="53255853">
            <w:pPr>
              <w:widowControl/>
              <w:numPr>
                <w:ilvl w:val="0"/>
                <w:numId w:val="23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功能测试与性能测试；</w:t>
            </w:r>
          </w:p>
          <w:p w14:paraId="5ABA43CA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缺陷排查与记录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6C77BD8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测试人员+QA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DE6D0AF">
            <w:pPr>
              <w:widowControl/>
              <w:numPr>
                <w:ilvl w:val="0"/>
                <w:numId w:val="24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测试用例集；</w:t>
            </w:r>
          </w:p>
          <w:p w14:paraId="3AE07A6E">
            <w:pPr>
              <w:widowControl/>
              <w:numPr>
                <w:ilvl w:val="0"/>
                <w:numId w:val="24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首轮测试报告；</w:t>
            </w:r>
          </w:p>
          <w:p w14:paraId="50C591EC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缺陷清单</w:t>
            </w:r>
          </w:p>
        </w:tc>
      </w:tr>
      <w:tr w14:paraId="65E87A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1889DDC3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第10周</w:t>
            </w:r>
          </w:p>
        </w:tc>
        <w:tc>
          <w:tcPr>
            <w:tcW w:w="214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C0D2F65">
            <w:pPr>
              <w:widowControl/>
              <w:numPr>
                <w:ilvl w:val="0"/>
                <w:numId w:val="25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缺陷整改；</w:t>
            </w:r>
          </w:p>
          <w:p w14:paraId="20E02051">
            <w:pPr>
              <w:widowControl/>
              <w:numPr>
                <w:ilvl w:val="0"/>
                <w:numId w:val="25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回归测试；</w:t>
            </w:r>
          </w:p>
          <w:p w14:paraId="5144892F">
            <w:pPr>
              <w:widowControl/>
              <w:numPr>
                <w:ilvl w:val="0"/>
                <w:numId w:val="25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兼容性测试；</w:t>
            </w:r>
          </w:p>
          <w:p w14:paraId="4D4FAE09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4. 测试评审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4D46092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测试人员+编码人员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2897796">
            <w:pPr>
              <w:widowControl/>
              <w:numPr>
                <w:ilvl w:val="0"/>
                <w:numId w:val="26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缺陷整改闭环报告；</w:t>
            </w:r>
          </w:p>
          <w:p w14:paraId="4EBD9852">
            <w:pPr>
              <w:widowControl/>
              <w:numPr>
                <w:ilvl w:val="0"/>
                <w:numId w:val="26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最终测试报告；</w:t>
            </w:r>
          </w:p>
          <w:p w14:paraId="5A897208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测试评审纪要</w:t>
            </w:r>
          </w:p>
        </w:tc>
      </w:tr>
      <w:tr w14:paraId="48253C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22B00898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第11周</w:t>
            </w:r>
          </w:p>
        </w:tc>
        <w:tc>
          <w:tcPr>
            <w:tcW w:w="214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6467A5F">
            <w:pPr>
              <w:widowControl/>
              <w:numPr>
                <w:ilvl w:val="0"/>
                <w:numId w:val="27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云服务器配置；</w:t>
            </w:r>
          </w:p>
          <w:p w14:paraId="68D16F77">
            <w:pPr>
              <w:widowControl/>
              <w:numPr>
                <w:ilvl w:val="0"/>
                <w:numId w:val="27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系统部署与上线；</w:t>
            </w:r>
          </w:p>
          <w:p w14:paraId="45AE2A15">
            <w:pPr>
              <w:widowControl/>
              <w:numPr>
                <w:ilvl w:val="0"/>
                <w:numId w:val="27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用户培训材料编写；</w:t>
            </w:r>
          </w:p>
          <w:p w14:paraId="45913927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4. 首轮用户培训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F4A589E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实施人员+PSM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236A23B">
            <w:pPr>
              <w:widowControl/>
              <w:numPr>
                <w:ilvl w:val="0"/>
                <w:numId w:val="28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系统部署文档；</w:t>
            </w:r>
          </w:p>
          <w:p w14:paraId="54FA7C96">
            <w:pPr>
              <w:widowControl/>
              <w:numPr>
                <w:ilvl w:val="0"/>
                <w:numId w:val="28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上线确认报告；</w:t>
            </w:r>
          </w:p>
          <w:p w14:paraId="288A6773">
            <w:pPr>
              <w:widowControl/>
              <w:numPr>
                <w:ilvl w:val="0"/>
                <w:numId w:val="28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用户培训PPT；</w:t>
            </w:r>
          </w:p>
          <w:p w14:paraId="60AF8243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4. 培训记录</w:t>
            </w:r>
          </w:p>
        </w:tc>
      </w:tr>
      <w:tr w14:paraId="49EEB7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57844886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第12周</w:t>
            </w:r>
          </w:p>
        </w:tc>
        <w:tc>
          <w:tcPr>
            <w:tcW w:w="214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8DF1327">
            <w:pPr>
              <w:widowControl/>
              <w:numPr>
                <w:ilvl w:val="0"/>
                <w:numId w:val="29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系统试运行支持；</w:t>
            </w:r>
          </w:p>
          <w:p w14:paraId="70EE63CE">
            <w:pPr>
              <w:widowControl/>
              <w:numPr>
                <w:ilvl w:val="0"/>
                <w:numId w:val="29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用户反馈收集与整改；</w:t>
            </w:r>
          </w:p>
          <w:p w14:paraId="0477CF39">
            <w:pPr>
              <w:widowControl/>
              <w:numPr>
                <w:ilvl w:val="0"/>
                <w:numId w:val="29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项目验收资料汇编；</w:t>
            </w:r>
          </w:p>
          <w:p w14:paraId="03557B14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4. 项目总结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15F58AE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维护人员+PM+配置管理员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1D9B758">
            <w:pPr>
              <w:widowControl/>
              <w:numPr>
                <w:ilvl w:val="0"/>
                <w:numId w:val="30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试运行总结报告；</w:t>
            </w:r>
          </w:p>
          <w:p w14:paraId="585B8449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2. 项目验收文档包；3. 项目总结报告</w:t>
            </w:r>
          </w:p>
        </w:tc>
      </w:tr>
    </w:tbl>
    <w:p w14:paraId="74EFB728">
      <w:pPr>
        <w:pStyle w:val="2"/>
        <w:numPr>
          <w:ilvl w:val="0"/>
          <w:numId w:val="10"/>
        </w:numPr>
      </w:pPr>
      <w:r>
        <w:rPr>
          <w:rFonts w:hint="eastAsia" w:ascii="宋体" w:hAnsi="宋体" w:eastAsia="宋体" w:cs="宋体"/>
        </w:rPr>
        <w:t>风险管理计</w:t>
      </w:r>
      <w:bookmarkStart w:id="4" w:name="_GoBack"/>
      <w:bookmarkEnd w:id="4"/>
      <w:r>
        <w:rPr>
          <w:rFonts w:hint="eastAsia" w:ascii="宋体" w:hAnsi="宋体" w:eastAsia="宋体" w:cs="宋体"/>
        </w:rPr>
        <w:t>划</w:t>
      </w:r>
    </w:p>
    <w:p w14:paraId="72CBE684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风险管理计划基于校园社团活动管理系统的项目特性，聚焦核心风险领域，实现“提前预判、精准应对、动态管控”。</w:t>
      </w:r>
    </w:p>
    <w:tbl>
      <w:tblPr>
        <w:tblStyle w:val="24"/>
        <w:tblW w:w="9039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8"/>
        <w:gridCol w:w="1227"/>
        <w:gridCol w:w="1162"/>
        <w:gridCol w:w="4264"/>
        <w:gridCol w:w="1188"/>
      </w:tblGrid>
      <w:tr w14:paraId="31D7DE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7" w:hRule="atLeast"/>
          <w:tblHeader/>
          <w:jc w:val="center"/>
        </w:trPr>
        <w:tc>
          <w:tcPr>
            <w:tcW w:w="1198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1357400E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b/>
                <w:bCs/>
                <w:kern w:val="0"/>
                <w:sz w:val="20"/>
                <w:szCs w:val="20"/>
                <w:lang w:bidi="ar"/>
              </w:rPr>
              <w:t>风险描述</w:t>
            </w:r>
          </w:p>
        </w:tc>
        <w:tc>
          <w:tcPr>
            <w:tcW w:w="1227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541145B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b/>
                <w:bCs/>
                <w:kern w:val="0"/>
                <w:sz w:val="20"/>
                <w:szCs w:val="20"/>
                <w:lang w:bidi="ar"/>
              </w:rPr>
              <w:t>风险等级</w:t>
            </w:r>
          </w:p>
        </w:tc>
        <w:tc>
          <w:tcPr>
            <w:tcW w:w="1162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CB6B488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b/>
                <w:bCs/>
                <w:kern w:val="0"/>
                <w:sz w:val="20"/>
                <w:szCs w:val="20"/>
                <w:lang w:bidi="ar"/>
              </w:rPr>
              <w:t>影响阶段</w:t>
            </w:r>
          </w:p>
        </w:tc>
        <w:tc>
          <w:tcPr>
            <w:tcW w:w="4264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838BE92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b/>
                <w:bCs/>
                <w:kern w:val="0"/>
                <w:sz w:val="20"/>
                <w:szCs w:val="20"/>
                <w:lang w:bidi="ar"/>
              </w:rPr>
              <w:t>应对措施</w:t>
            </w:r>
          </w:p>
        </w:tc>
        <w:tc>
          <w:tcPr>
            <w:tcW w:w="1188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3F38F94">
            <w:pPr>
              <w:widowControl/>
              <w:jc w:val="center"/>
              <w:textAlignment w:val="top"/>
              <w:rPr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b/>
                <w:bCs/>
                <w:kern w:val="0"/>
                <w:sz w:val="20"/>
                <w:szCs w:val="20"/>
                <w:lang w:bidi="ar"/>
              </w:rPr>
              <w:t>责任主体</w:t>
            </w:r>
          </w:p>
        </w:tc>
      </w:tr>
      <w:tr w14:paraId="70A9F7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9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417FEE7A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甲方需求变更频繁</w:t>
            </w:r>
          </w:p>
        </w:tc>
        <w:tc>
          <w:tcPr>
            <w:tcW w:w="1227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3ECA293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高</w:t>
            </w:r>
          </w:p>
        </w:tc>
        <w:tc>
          <w:tcPr>
            <w:tcW w:w="1162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825BC98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需求-设计阶段</w:t>
            </w:r>
          </w:p>
        </w:tc>
        <w:tc>
          <w:tcPr>
            <w:tcW w:w="426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AC0C8DE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项目初期明确需求基线并由甲方签署确认；建立需求变更审批流程，变更前评估对进度、成本的影响；限定微小变更每月不超过2次</w:t>
            </w:r>
          </w:p>
        </w:tc>
        <w:tc>
          <w:tcPr>
            <w:tcW w:w="118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0E6C896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PM</w:t>
            </w:r>
          </w:p>
        </w:tc>
      </w:tr>
      <w:tr w14:paraId="63F9A9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9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438742F5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核心任务进度滞后</w:t>
            </w:r>
          </w:p>
        </w:tc>
        <w:tc>
          <w:tcPr>
            <w:tcW w:w="1227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72089CB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高</w:t>
            </w:r>
          </w:p>
        </w:tc>
        <w:tc>
          <w:tcPr>
            <w:tcW w:w="1162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65313F3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开发-测试阶段</w:t>
            </w:r>
          </w:p>
        </w:tc>
        <w:tc>
          <w:tcPr>
            <w:tcW w:w="426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C313DFF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实行周度进度跟踪机制，PM每周组织例会同步进展；关键任务提前预留1-2天缓冲时间；滞后时及时协调跨角色资源支援</w:t>
            </w:r>
          </w:p>
        </w:tc>
        <w:tc>
          <w:tcPr>
            <w:tcW w:w="118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8244F0E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PM+PSM</w:t>
            </w:r>
          </w:p>
        </w:tc>
      </w:tr>
      <w:tr w14:paraId="47EF8E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9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BF4C00B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技术难题无法突破</w:t>
            </w:r>
          </w:p>
        </w:tc>
        <w:tc>
          <w:tcPr>
            <w:tcW w:w="1227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7784F44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中</w:t>
            </w:r>
          </w:p>
        </w:tc>
        <w:tc>
          <w:tcPr>
            <w:tcW w:w="1162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D85EBD9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设计-开发阶段</w:t>
            </w:r>
          </w:p>
        </w:tc>
        <w:tc>
          <w:tcPr>
            <w:tcW w:w="426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5B5BF51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设计阶段组织外部技术顾问参与评审；提前开展核心技术预研；遇到难题时24小时内启动外部顾问支援机制</w:t>
            </w:r>
          </w:p>
        </w:tc>
        <w:tc>
          <w:tcPr>
            <w:tcW w:w="118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8797E4F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PSM</w:t>
            </w:r>
          </w:p>
        </w:tc>
      </w:tr>
      <w:tr w14:paraId="2A27ED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9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4C3B346C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系统上线后重大缺陷</w:t>
            </w:r>
          </w:p>
        </w:tc>
        <w:tc>
          <w:tcPr>
            <w:tcW w:w="1227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656DE3E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中</w:t>
            </w:r>
          </w:p>
        </w:tc>
        <w:tc>
          <w:tcPr>
            <w:tcW w:w="1162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D989D2F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上线-试运行阶段</w:t>
            </w:r>
          </w:p>
        </w:tc>
        <w:tc>
          <w:tcPr>
            <w:tcW w:w="426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2D2D172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测试阶段执行全量测试（功能、性能、兼容性），关键功能安排交叉测试；上线前进行灰度测试；试运行阶段建立24小时缺陷响应机制</w:t>
            </w:r>
          </w:p>
        </w:tc>
        <w:tc>
          <w:tcPr>
            <w:tcW w:w="118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CB9ACD2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测试人员</w:t>
            </w:r>
          </w:p>
        </w:tc>
      </w:tr>
    </w:tbl>
    <w:p w14:paraId="58CE9E37">
      <w:pPr>
        <w:pStyle w:val="2"/>
        <w:numPr>
          <w:ilvl w:val="0"/>
          <w:numId w:val="10"/>
        </w:numPr>
      </w:pPr>
      <w:r>
        <w:rPr>
          <w:rFonts w:hint="eastAsia" w:ascii="宋体" w:hAnsi="宋体" w:eastAsia="宋体" w:cs="宋体"/>
        </w:rPr>
        <w:t>质量管理计划</w:t>
      </w:r>
    </w:p>
    <w:p w14:paraId="69FAD703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质量管理计划聚焦系统核心质量要求，通过关键节点把控与责任分工，确保项目交付符合需求标准</w:t>
      </w:r>
      <w:r>
        <w:rPr>
          <w:rFonts w:hint="eastAsia"/>
          <w:sz w:val="24"/>
        </w:rPr>
        <w:t>。</w:t>
      </w:r>
    </w:p>
    <w:tbl>
      <w:tblPr>
        <w:tblStyle w:val="24"/>
        <w:tblW w:w="8822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4"/>
        <w:gridCol w:w="3058"/>
        <w:gridCol w:w="2767"/>
        <w:gridCol w:w="1863"/>
      </w:tblGrid>
      <w:tr w14:paraId="66E66D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7" w:hRule="atLeast"/>
          <w:tblHeader/>
          <w:jc w:val="center"/>
        </w:trPr>
        <w:tc>
          <w:tcPr>
            <w:tcW w:w="1134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178A9F">
            <w:pPr>
              <w:widowControl/>
              <w:spacing w:line="240" w:lineRule="atLeast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核心维度</w:t>
            </w:r>
          </w:p>
        </w:tc>
        <w:tc>
          <w:tcPr>
            <w:tcW w:w="3058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2DCB41">
            <w:pPr>
              <w:widowControl/>
              <w:spacing w:line="240" w:lineRule="atLeast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关键要求</w:t>
            </w:r>
          </w:p>
        </w:tc>
        <w:tc>
          <w:tcPr>
            <w:tcW w:w="2767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DB601F">
            <w:pPr>
              <w:widowControl/>
              <w:spacing w:line="240" w:lineRule="atLeast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控制措施</w:t>
            </w:r>
          </w:p>
        </w:tc>
        <w:tc>
          <w:tcPr>
            <w:tcW w:w="1863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034122">
            <w:pPr>
              <w:widowControl/>
              <w:spacing w:line="240" w:lineRule="atLeast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责任主体</w:t>
            </w:r>
          </w:p>
        </w:tc>
      </w:tr>
      <w:tr w14:paraId="5C8513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10F606">
            <w:pPr>
              <w:widowControl/>
              <w:spacing w:line="240" w:lineRule="atLeast"/>
              <w:jc w:val="center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功能质量</w:t>
            </w:r>
          </w:p>
        </w:tc>
        <w:tc>
          <w:tcPr>
            <w:tcW w:w="305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BB1600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核心功能 100% 符合需求，非核心缺陷率＜0.5%</w:t>
            </w:r>
          </w:p>
        </w:tc>
        <w:tc>
          <w:tcPr>
            <w:tcW w:w="2767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47E554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阶段评审 + 全量测试，关键功能交叉验证</w:t>
            </w:r>
          </w:p>
        </w:tc>
        <w:tc>
          <w:tcPr>
            <w:tcW w:w="1863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358D92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测试人员 + QA</w:t>
            </w:r>
          </w:p>
        </w:tc>
      </w:tr>
      <w:tr w14:paraId="37DBF3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583956">
            <w:pPr>
              <w:widowControl/>
              <w:spacing w:line="240" w:lineRule="atLeast"/>
              <w:jc w:val="center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性能质量</w:t>
            </w:r>
          </w:p>
        </w:tc>
        <w:tc>
          <w:tcPr>
            <w:tcW w:w="305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9C8496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单操作响应≤2 秒，支持 500 人同时在线</w:t>
            </w:r>
          </w:p>
        </w:tc>
        <w:tc>
          <w:tcPr>
            <w:tcW w:w="2767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976181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性能测试 + 上线前压力测试</w:t>
            </w:r>
          </w:p>
        </w:tc>
        <w:tc>
          <w:tcPr>
            <w:tcW w:w="1863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848B2C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测试人员 + PSM</w:t>
            </w:r>
          </w:p>
        </w:tc>
      </w:tr>
      <w:tr w14:paraId="2B3950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259B28">
            <w:pPr>
              <w:widowControl/>
              <w:spacing w:line="240" w:lineRule="atLeast"/>
              <w:jc w:val="center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兼容性质量</w:t>
            </w:r>
          </w:p>
        </w:tc>
        <w:tc>
          <w:tcPr>
            <w:tcW w:w="305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BDF52C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覆盖主流 PC / 手机端浏览器 / APP</w:t>
            </w:r>
          </w:p>
        </w:tc>
        <w:tc>
          <w:tcPr>
            <w:tcW w:w="2767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734FD5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第三方适配测试 + 灰度验证</w:t>
            </w:r>
          </w:p>
        </w:tc>
        <w:tc>
          <w:tcPr>
            <w:tcW w:w="1863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CA76B9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QA + 实施人员</w:t>
            </w:r>
          </w:p>
        </w:tc>
      </w:tr>
      <w:tr w14:paraId="7DBF42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D60307">
            <w:pPr>
              <w:widowControl/>
              <w:spacing w:line="240" w:lineRule="atLeast"/>
              <w:jc w:val="center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文档质量</w:t>
            </w:r>
          </w:p>
        </w:tc>
        <w:tc>
          <w:tcPr>
            <w:tcW w:w="305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3F10A4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符合统一模板，关键信息完整无错</w:t>
            </w:r>
          </w:p>
        </w:tc>
        <w:tc>
          <w:tcPr>
            <w:tcW w:w="2767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6E290A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QA 每周合规性审计</w:t>
            </w:r>
          </w:p>
        </w:tc>
        <w:tc>
          <w:tcPr>
            <w:tcW w:w="1863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2926B9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配置管理员 + QA</w:t>
            </w:r>
          </w:p>
        </w:tc>
      </w:tr>
      <w:tr w14:paraId="02C781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6BCF8A">
            <w:pPr>
              <w:widowControl/>
              <w:spacing w:line="240" w:lineRule="atLeast"/>
              <w:jc w:val="center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安全质量</w:t>
            </w:r>
          </w:p>
        </w:tc>
        <w:tc>
          <w:tcPr>
            <w:tcW w:w="305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05ABB0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密码加密存储，无越权访问 / 数据泄露</w:t>
            </w:r>
          </w:p>
        </w:tc>
        <w:tc>
          <w:tcPr>
            <w:tcW w:w="2767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984E83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安全测试 + 权限管控设计</w:t>
            </w:r>
          </w:p>
        </w:tc>
        <w:tc>
          <w:tcPr>
            <w:tcW w:w="1863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08CDB0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架构设计师 + 测试人员</w:t>
            </w:r>
          </w:p>
        </w:tc>
      </w:tr>
    </w:tbl>
    <w:p w14:paraId="0FB6DD5C">
      <w:pPr>
        <w:pStyle w:val="2"/>
        <w:numPr>
          <w:ilvl w:val="0"/>
          <w:numId w:val="10"/>
        </w:numPr>
      </w:pPr>
      <w:r>
        <w:rPr>
          <w:rFonts w:hint="eastAsia" w:ascii="宋体" w:hAnsi="宋体" w:eastAsia="宋体" w:cs="宋体"/>
        </w:rPr>
        <w:t>配置管理计划</w:t>
      </w:r>
    </w:p>
    <w:p w14:paraId="4AFFAA4E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配置管理计划规范核心配置项的版本、变更与存储，确保可追溯、无混乱</w:t>
      </w:r>
      <w:r>
        <w:rPr>
          <w:rFonts w:hint="eastAsia"/>
          <w:sz w:val="24"/>
        </w:rPr>
        <w:t>。</w:t>
      </w:r>
    </w:p>
    <w:tbl>
      <w:tblPr>
        <w:tblStyle w:val="24"/>
        <w:tblW w:w="0" w:type="auto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9"/>
        <w:gridCol w:w="3798"/>
        <w:gridCol w:w="2132"/>
        <w:gridCol w:w="1319"/>
      </w:tblGrid>
      <w:tr w14:paraId="650B28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7" w:hRule="atLeast"/>
          <w:tblHeader/>
          <w:jc w:val="center"/>
        </w:trPr>
        <w:tc>
          <w:tcPr>
            <w:tcW w:w="1249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3544D5">
            <w:pPr>
              <w:widowControl/>
              <w:spacing w:line="240" w:lineRule="atLeast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管理模块</w:t>
            </w:r>
          </w:p>
        </w:tc>
        <w:tc>
          <w:tcPr>
            <w:tcW w:w="3798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9E78B2">
            <w:pPr>
              <w:widowControl/>
              <w:spacing w:line="240" w:lineRule="atLeast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核心内容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890BEC">
            <w:pPr>
              <w:widowControl/>
              <w:spacing w:line="240" w:lineRule="atLeast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执行要求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9B2C9C">
            <w:pPr>
              <w:widowControl/>
              <w:spacing w:line="240" w:lineRule="atLeast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责任主体</w:t>
            </w:r>
          </w:p>
        </w:tc>
      </w:tr>
      <w:tr w14:paraId="273061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49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14E9D5">
            <w:pPr>
              <w:widowControl/>
              <w:spacing w:line="240" w:lineRule="atLeast"/>
              <w:jc w:val="center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配置项范围</w:t>
            </w:r>
          </w:p>
        </w:tc>
        <w:tc>
          <w:tcPr>
            <w:tcW w:w="379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5B7981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文档类（需求 / 设计 / 测试 / 部署文档）、代码类（前后端代码 / 脚本）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511DB6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建立统一台账，分级管控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ED8C69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配置管理员</w:t>
            </w:r>
          </w:p>
        </w:tc>
      </w:tr>
      <w:tr w14:paraId="28B69D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49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2A7DE6">
            <w:pPr>
              <w:widowControl/>
              <w:spacing w:line="240" w:lineRule="atLeast"/>
              <w:jc w:val="center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版本管理</w:t>
            </w:r>
          </w:p>
        </w:tc>
        <w:tc>
          <w:tcPr>
            <w:tcW w:w="379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2C9322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采用 “主。次. 修订” 版号（如 V1.0.0），提交需注明修改说明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154A21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统一存储于 Git 仓库，按阶段分类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C9B877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各角色</w:t>
            </w:r>
          </w:p>
        </w:tc>
      </w:tr>
      <w:tr w14:paraId="49282E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49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C128C0">
            <w:pPr>
              <w:widowControl/>
              <w:spacing w:line="240" w:lineRule="atLeast"/>
              <w:jc w:val="center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变更控制</w:t>
            </w:r>
          </w:p>
        </w:tc>
        <w:tc>
          <w:tcPr>
            <w:tcW w:w="379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45074C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变更需提交申请，经 PM/PSM 评审后实施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35B545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记录变更历史，确保可追溯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77E20F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PM + 配置管理员</w:t>
            </w:r>
          </w:p>
        </w:tc>
      </w:tr>
      <w:tr w14:paraId="33533F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49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854828">
            <w:pPr>
              <w:widowControl/>
              <w:spacing w:line="240" w:lineRule="atLeast"/>
              <w:jc w:val="center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存储备份</w:t>
            </w:r>
          </w:p>
        </w:tc>
        <w:tc>
          <w:tcPr>
            <w:tcW w:w="379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2DF236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核心配置项 “本地 + 云端” 双重备份，每周同步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B1C6A0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权限分级管控，仅相关角色可访问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1DCD22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配置管理员</w:t>
            </w:r>
          </w:p>
        </w:tc>
      </w:tr>
    </w:tbl>
    <w:p w14:paraId="4FC03E01">
      <w:pPr>
        <w:pStyle w:val="2"/>
        <w:numPr>
          <w:ilvl w:val="0"/>
          <w:numId w:val="10"/>
        </w:numPr>
      </w:pPr>
      <w:r>
        <w:rPr>
          <w:rFonts w:hint="eastAsia" w:ascii="宋体" w:hAnsi="宋体" w:eastAsia="宋体" w:cs="宋体"/>
        </w:rPr>
        <w:t>沟通计划</w:t>
      </w:r>
    </w:p>
    <w:p w14:paraId="0FC79558">
      <w:pPr>
        <w:spacing w:line="360" w:lineRule="auto"/>
        <w:ind w:firstLine="480" w:firstLineChars="200"/>
        <w:rPr>
          <w:sz w:val="24"/>
        </w:rPr>
      </w:pPr>
      <w:bookmarkStart w:id="3" w:name="_Hlk217497248"/>
      <w:r>
        <w:rPr>
          <w:sz w:val="24"/>
        </w:rPr>
        <w:t>沟通计划旨在建立项目全生命周期内高效、精准的信息传递机制，明确沟通目标、对象、内容、方式、频率及责任主体，确保核心干系人及时同步项目信息、协同解决问题，规避因沟通不畅导致的需求偏差、进度滞后等风险，保障项目顺利推进。</w:t>
      </w:r>
    </w:p>
    <w:tbl>
      <w:tblPr>
        <w:tblStyle w:val="24"/>
        <w:tblW w:w="0" w:type="auto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0"/>
        <w:gridCol w:w="2594"/>
        <w:gridCol w:w="1460"/>
        <w:gridCol w:w="1747"/>
        <w:gridCol w:w="987"/>
      </w:tblGrid>
      <w:tr w14:paraId="257530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7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6B916B9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 w:val="20"/>
                <w:szCs w:val="20"/>
                <w:lang w:bidi="ar"/>
              </w:rPr>
              <w:t>沟通对象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5A9BB88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 w:val="20"/>
                <w:szCs w:val="20"/>
                <w:lang w:bidi="ar"/>
              </w:rPr>
              <w:t>沟通内容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B8C21DA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 w:val="20"/>
                <w:szCs w:val="20"/>
                <w:lang w:bidi="ar"/>
              </w:rPr>
              <w:t>沟通方式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9FB930B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 w:val="20"/>
                <w:szCs w:val="20"/>
                <w:lang w:bidi="ar"/>
              </w:rPr>
              <w:t>频率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344E796">
            <w:pPr>
              <w:widowControl/>
              <w:jc w:val="center"/>
              <w:textAlignment w:val="top"/>
              <w:rPr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b/>
                <w:bCs/>
                <w:kern w:val="0"/>
                <w:sz w:val="20"/>
                <w:szCs w:val="20"/>
                <w:lang w:bidi="ar"/>
              </w:rPr>
              <w:t>责任主体</w:t>
            </w:r>
          </w:p>
        </w:tc>
      </w:tr>
      <w:tr w14:paraId="216FE8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1BC3EBCE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甲方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63A0FCF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项目月度进度、预算执行情况、重大风险及应对措施、需求变更审批、阶段里程碑验收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C7D4719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正式会议+书面报告+邮件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D1D6E30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每月1次常规沟通+阶段节点必沟通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D18F4B0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PM</w:t>
            </w:r>
          </w:p>
        </w:tc>
      </w:tr>
      <w:tr w14:paraId="7498B6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5D2B7AFD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核心团队（PM/PSM/开发/测试等）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81A17EC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周度任务进展、技术难题协同、资源需求协调、进度滞后整改方案、下周工作计划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C1494AC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周例会+企业微信即时沟通+技术研讨会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C985F74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每周1次周例会+日常实时沟通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C92BE3C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PM</w:t>
            </w:r>
          </w:p>
        </w:tc>
      </w:tr>
      <w:tr w14:paraId="736D63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2190AC0B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社团负责人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624EC8D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需求确认及细化、设计原型反馈、测试用例审核、系统试运行体验反馈、验收标准对齐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193ACCD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需求/设计评审会+原型演示会+一对一访谈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958E433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需求/设计阶段每周1次+测试/试运行阶段关键节点沟通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2376D6B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需求开发人员</w:t>
            </w:r>
          </w:p>
        </w:tc>
      </w:tr>
      <w:tr w14:paraId="0E4179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4680F135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第三方服务商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BB260C9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服务交付标准、交付时间节点、技术参数对接、服务过程问题整改、费用结算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537D363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商务对接会+技术对接群+邮件+正式协议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9B56B09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合作启动1次全面对接+服务过程中按需沟通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FD80B97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PSM</w:t>
            </w:r>
          </w:p>
        </w:tc>
      </w:tr>
      <w:bookmarkEnd w:id="3"/>
    </w:tbl>
    <w:p w14:paraId="0E444958"/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EF94C">
    <w:pPr>
      <w:pStyle w:val="17"/>
      <w:ind w:right="-40"/>
      <w:jc w:val="center"/>
    </w:pPr>
    <w:r>
      <w:rPr>
        <w:rFonts w:hint="eastAsia"/>
        <w:szCs w:val="21"/>
      </w:rPr>
      <w:t>未经许可，不许扩散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B1B33">
    <w:pPr>
      <w:pStyle w:val="17"/>
      <w:ind w:right="-40"/>
    </w:pPr>
    <w:r>
      <w:tab/>
    </w:r>
    <w:r>
      <w:tab/>
    </w:r>
  </w:p>
  <w:p w14:paraId="610F603F">
    <w:pPr>
      <w:pStyle w:val="17"/>
      <w:ind w:right="-40"/>
      <w:jc w:val="center"/>
    </w:pPr>
    <w:r>
      <w:rPr>
        <w:rFonts w:hint="eastAsia"/>
        <w:b/>
      </w:rPr>
      <w:t>版权所有，不得复制</w:t>
    </w:r>
  </w:p>
  <w:p w14:paraId="25EC404F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6677F">
    <w:pPr>
      <w:pStyle w:val="18"/>
      <w:ind w:right="400"/>
      <w:jc w:val="both"/>
      <w:rPr>
        <w:b/>
        <w:sz w:val="20"/>
      </w:rPr>
    </w:pPr>
    <w:r>
      <w:rPr>
        <w:b/>
        <w:sz w:val="20"/>
      </w:rPr>
      <w:drawing>
        <wp:inline distT="0" distB="0" distL="114300" distR="114300">
          <wp:extent cx="241300" cy="201295"/>
          <wp:effectExtent l="0" t="0" r="6350" b="8255"/>
          <wp:docPr id="7" name="图片 7" descr="7a6e994fac333a459261ab7f820d1ce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7a6e994fac333a459261ab7f820d1ce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485" cy="2129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20"/>
      </w:rPr>
      <w:t xml:space="preserve">                                </w:t>
    </w:r>
    <w:r>
      <w:rPr>
        <w:rFonts w:hint="eastAsia"/>
        <w:b/>
        <w:sz w:val="20"/>
      </w:rPr>
      <w:t xml:space="preserve">                                对对对队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E1B036">
    <w:pPr>
      <w:pStyle w:val="18"/>
      <w:pBdr>
        <w:bottom w:val="single" w:color="auto" w:sz="6" w:space="11"/>
      </w:pBdr>
      <w:ind w:right="-4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D07D37"/>
    <w:multiLevelType w:val="singleLevel"/>
    <w:tmpl w:val="81D07D3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27408F4"/>
    <w:multiLevelType w:val="singleLevel"/>
    <w:tmpl w:val="827408F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74EDF5B"/>
    <w:multiLevelType w:val="singleLevel"/>
    <w:tmpl w:val="974EDF5B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99D9B41B"/>
    <w:multiLevelType w:val="singleLevel"/>
    <w:tmpl w:val="99D9B41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A1A6FD06"/>
    <w:multiLevelType w:val="singleLevel"/>
    <w:tmpl w:val="A1A6FD06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A6024DE4"/>
    <w:multiLevelType w:val="singleLevel"/>
    <w:tmpl w:val="A6024DE4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B70662AA"/>
    <w:multiLevelType w:val="singleLevel"/>
    <w:tmpl w:val="B70662AA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C9305A51"/>
    <w:multiLevelType w:val="singleLevel"/>
    <w:tmpl w:val="C9305A51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CDC6820F"/>
    <w:multiLevelType w:val="singleLevel"/>
    <w:tmpl w:val="CDC6820F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D37DB74E"/>
    <w:multiLevelType w:val="singleLevel"/>
    <w:tmpl w:val="D37DB74E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DC9186A4"/>
    <w:multiLevelType w:val="singleLevel"/>
    <w:tmpl w:val="DC9186A4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DF0EE37E"/>
    <w:multiLevelType w:val="singleLevel"/>
    <w:tmpl w:val="DF0EE37E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2">
    <w:nsid w:val="E6841193"/>
    <w:multiLevelType w:val="singleLevel"/>
    <w:tmpl w:val="E6841193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EF5CB119"/>
    <w:multiLevelType w:val="singleLevel"/>
    <w:tmpl w:val="EF5CB119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F997D247"/>
    <w:multiLevelType w:val="singleLevel"/>
    <w:tmpl w:val="F997D247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FADF5DDD"/>
    <w:multiLevelType w:val="singleLevel"/>
    <w:tmpl w:val="FADF5DD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6">
    <w:nsid w:val="0C93FCEA"/>
    <w:multiLevelType w:val="singleLevel"/>
    <w:tmpl w:val="0C93FCEA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1123E055"/>
    <w:multiLevelType w:val="singleLevel"/>
    <w:tmpl w:val="1123E055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119F092A"/>
    <w:multiLevelType w:val="singleLevel"/>
    <w:tmpl w:val="119F092A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159E2DB4"/>
    <w:multiLevelType w:val="singleLevel"/>
    <w:tmpl w:val="159E2DB4"/>
    <w:lvl w:ilvl="0" w:tentative="0">
      <w:start w:val="1"/>
      <w:numFmt w:val="decimal"/>
      <w:suff w:val="space"/>
      <w:lvlText w:val="%1."/>
      <w:lvlJc w:val="left"/>
    </w:lvl>
  </w:abstractNum>
  <w:abstractNum w:abstractNumId="20">
    <w:nsid w:val="17252775"/>
    <w:multiLevelType w:val="multilevel"/>
    <w:tmpl w:val="17252775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hanging="425"/>
      </w:pPr>
      <w:rPr>
        <w:rFonts w:hint="default" w:ascii="Arial" w:hAnsi="Arial" w:cs="Arial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09"/>
        </w:tabs>
        <w:ind w:left="709" w:hanging="709"/>
      </w:pPr>
      <w:rPr>
        <w:rFonts w:hint="default" w:ascii="Arial" w:hAnsi="Arial" w:cs="Arial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21">
    <w:nsid w:val="1E4C6A4D"/>
    <w:multiLevelType w:val="singleLevel"/>
    <w:tmpl w:val="1E4C6A4D"/>
    <w:lvl w:ilvl="0" w:tentative="0">
      <w:start w:val="1"/>
      <w:numFmt w:val="decimal"/>
      <w:suff w:val="space"/>
      <w:lvlText w:val="%1."/>
      <w:lvlJc w:val="left"/>
    </w:lvl>
  </w:abstractNum>
  <w:abstractNum w:abstractNumId="22">
    <w:nsid w:val="26B50F59"/>
    <w:multiLevelType w:val="singleLevel"/>
    <w:tmpl w:val="26B50F59"/>
    <w:lvl w:ilvl="0" w:tentative="0">
      <w:start w:val="1"/>
      <w:numFmt w:val="decimal"/>
      <w:suff w:val="space"/>
      <w:lvlText w:val="%1."/>
      <w:lvlJc w:val="left"/>
    </w:lvl>
  </w:abstractNum>
  <w:abstractNum w:abstractNumId="23">
    <w:nsid w:val="4015998E"/>
    <w:multiLevelType w:val="singleLevel"/>
    <w:tmpl w:val="4015998E"/>
    <w:lvl w:ilvl="0" w:tentative="0">
      <w:start w:val="1"/>
      <w:numFmt w:val="decimal"/>
      <w:suff w:val="space"/>
      <w:lvlText w:val="%1."/>
      <w:lvlJc w:val="left"/>
    </w:lvl>
  </w:abstractNum>
  <w:abstractNum w:abstractNumId="24">
    <w:nsid w:val="45DE9CFB"/>
    <w:multiLevelType w:val="singleLevel"/>
    <w:tmpl w:val="45DE9CFB"/>
    <w:lvl w:ilvl="0" w:tentative="0">
      <w:start w:val="1"/>
      <w:numFmt w:val="decimal"/>
      <w:suff w:val="space"/>
      <w:lvlText w:val="%1."/>
      <w:lvlJc w:val="left"/>
    </w:lvl>
  </w:abstractNum>
  <w:abstractNum w:abstractNumId="25">
    <w:nsid w:val="4D90E966"/>
    <w:multiLevelType w:val="singleLevel"/>
    <w:tmpl w:val="4D90E966"/>
    <w:lvl w:ilvl="0" w:tentative="0">
      <w:start w:val="1"/>
      <w:numFmt w:val="decimal"/>
      <w:suff w:val="space"/>
      <w:lvlText w:val="%1."/>
      <w:lvlJc w:val="left"/>
    </w:lvl>
  </w:abstractNum>
  <w:abstractNum w:abstractNumId="26">
    <w:nsid w:val="52E0C403"/>
    <w:multiLevelType w:val="singleLevel"/>
    <w:tmpl w:val="52E0C403"/>
    <w:lvl w:ilvl="0" w:tentative="0">
      <w:start w:val="1"/>
      <w:numFmt w:val="decimal"/>
      <w:suff w:val="space"/>
      <w:lvlText w:val="%1."/>
      <w:lvlJc w:val="left"/>
    </w:lvl>
  </w:abstractNum>
  <w:abstractNum w:abstractNumId="27">
    <w:nsid w:val="5EA7CB08"/>
    <w:multiLevelType w:val="singleLevel"/>
    <w:tmpl w:val="5EA7CB08"/>
    <w:lvl w:ilvl="0" w:tentative="0">
      <w:start w:val="1"/>
      <w:numFmt w:val="decimal"/>
      <w:suff w:val="space"/>
      <w:lvlText w:val="%1."/>
      <w:lvlJc w:val="left"/>
    </w:lvl>
  </w:abstractNum>
  <w:abstractNum w:abstractNumId="28">
    <w:nsid w:val="6A973505"/>
    <w:multiLevelType w:val="singleLevel"/>
    <w:tmpl w:val="6A973505"/>
    <w:lvl w:ilvl="0" w:tentative="0">
      <w:start w:val="1"/>
      <w:numFmt w:val="decimal"/>
      <w:suff w:val="space"/>
      <w:lvlText w:val="%1."/>
      <w:lvlJc w:val="left"/>
    </w:lvl>
  </w:abstractNum>
  <w:abstractNum w:abstractNumId="29">
    <w:nsid w:val="6EA57338"/>
    <w:multiLevelType w:val="singleLevel"/>
    <w:tmpl w:val="6EA57338"/>
    <w:lvl w:ilvl="0" w:tentative="0">
      <w:start w:val="1"/>
      <w:numFmt w:val="decimal"/>
      <w:suff w:val="space"/>
      <w:lvlText w:val="%1."/>
      <w:lvlJc w:val="left"/>
    </w:lvl>
  </w:abstractNum>
  <w:num w:numId="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</w:num>
  <w:num w:numId="3">
    <w:abstractNumId w:val="4"/>
  </w:num>
  <w:num w:numId="4">
    <w:abstractNumId w:val="7"/>
  </w:num>
  <w:num w:numId="5">
    <w:abstractNumId w:val="29"/>
  </w:num>
  <w:num w:numId="6">
    <w:abstractNumId w:val="22"/>
  </w:num>
  <w:num w:numId="7">
    <w:abstractNumId w:val="12"/>
  </w:num>
  <w:num w:numId="8">
    <w:abstractNumId w:val="5"/>
  </w:num>
  <w:num w:numId="9">
    <w:abstractNumId w:val="19"/>
  </w:num>
  <w:num w:numId="10">
    <w:abstractNumId w:val="11"/>
  </w:num>
  <w:num w:numId="11">
    <w:abstractNumId w:val="2"/>
  </w:num>
  <w:num w:numId="12">
    <w:abstractNumId w:val="6"/>
  </w:num>
  <w:num w:numId="13">
    <w:abstractNumId w:val="25"/>
  </w:num>
  <w:num w:numId="14">
    <w:abstractNumId w:val="28"/>
  </w:num>
  <w:num w:numId="15">
    <w:abstractNumId w:val="3"/>
  </w:num>
  <w:num w:numId="16">
    <w:abstractNumId w:val="21"/>
  </w:num>
  <w:num w:numId="17">
    <w:abstractNumId w:val="0"/>
  </w:num>
  <w:num w:numId="18">
    <w:abstractNumId w:val="8"/>
  </w:num>
  <w:num w:numId="19">
    <w:abstractNumId w:val="1"/>
  </w:num>
  <w:num w:numId="20">
    <w:abstractNumId w:val="24"/>
  </w:num>
  <w:num w:numId="21">
    <w:abstractNumId w:val="27"/>
  </w:num>
  <w:num w:numId="22">
    <w:abstractNumId w:val="14"/>
  </w:num>
  <w:num w:numId="23">
    <w:abstractNumId w:val="26"/>
  </w:num>
  <w:num w:numId="24">
    <w:abstractNumId w:val="18"/>
  </w:num>
  <w:num w:numId="25">
    <w:abstractNumId w:val="13"/>
  </w:num>
  <w:num w:numId="26">
    <w:abstractNumId w:val="17"/>
  </w:num>
  <w:num w:numId="27">
    <w:abstractNumId w:val="9"/>
  </w:num>
  <w:num w:numId="28">
    <w:abstractNumId w:val="16"/>
  </w:num>
  <w:num w:numId="29">
    <w:abstractNumId w:val="23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730"/>
    <w:rsid w:val="000634B1"/>
    <w:rsid w:val="004032BD"/>
    <w:rsid w:val="00431D9A"/>
    <w:rsid w:val="005B0DEC"/>
    <w:rsid w:val="005E2730"/>
    <w:rsid w:val="006A6CA2"/>
    <w:rsid w:val="006B0CF3"/>
    <w:rsid w:val="007D0462"/>
    <w:rsid w:val="007F3B90"/>
    <w:rsid w:val="00922829"/>
    <w:rsid w:val="00922C91"/>
    <w:rsid w:val="00A04DBA"/>
    <w:rsid w:val="00A34A47"/>
    <w:rsid w:val="00A844AD"/>
    <w:rsid w:val="00AB6713"/>
    <w:rsid w:val="00BD4ED9"/>
    <w:rsid w:val="00C85389"/>
    <w:rsid w:val="00C9566E"/>
    <w:rsid w:val="00CA1935"/>
    <w:rsid w:val="00CD6C9A"/>
    <w:rsid w:val="00D02ED5"/>
    <w:rsid w:val="00EC0983"/>
    <w:rsid w:val="00F26B93"/>
    <w:rsid w:val="00F814F3"/>
    <w:rsid w:val="00FB4638"/>
    <w:rsid w:val="01EA4629"/>
    <w:rsid w:val="03467A7A"/>
    <w:rsid w:val="0A526C05"/>
    <w:rsid w:val="0B2F497F"/>
    <w:rsid w:val="0CFE46F5"/>
    <w:rsid w:val="0D093B48"/>
    <w:rsid w:val="0DF7383C"/>
    <w:rsid w:val="0E941826"/>
    <w:rsid w:val="102E0E72"/>
    <w:rsid w:val="11A04334"/>
    <w:rsid w:val="11D5049D"/>
    <w:rsid w:val="14E82BDD"/>
    <w:rsid w:val="158063CA"/>
    <w:rsid w:val="19670574"/>
    <w:rsid w:val="197C7D83"/>
    <w:rsid w:val="199EDDAF"/>
    <w:rsid w:val="1C8C02F2"/>
    <w:rsid w:val="1C9B8DEE"/>
    <w:rsid w:val="1F6B2440"/>
    <w:rsid w:val="20AF2801"/>
    <w:rsid w:val="21E3110C"/>
    <w:rsid w:val="25C24D84"/>
    <w:rsid w:val="25EA2F9C"/>
    <w:rsid w:val="25FFE715"/>
    <w:rsid w:val="27E70AD2"/>
    <w:rsid w:val="282835C4"/>
    <w:rsid w:val="28510EC8"/>
    <w:rsid w:val="288D7D5C"/>
    <w:rsid w:val="2961371B"/>
    <w:rsid w:val="2B9828AA"/>
    <w:rsid w:val="2D3E1194"/>
    <w:rsid w:val="2EEC705A"/>
    <w:rsid w:val="315947EF"/>
    <w:rsid w:val="328E04C8"/>
    <w:rsid w:val="32DF0D23"/>
    <w:rsid w:val="3346A0B2"/>
    <w:rsid w:val="36617CA1"/>
    <w:rsid w:val="366F6862"/>
    <w:rsid w:val="37635B18"/>
    <w:rsid w:val="38FF9A12"/>
    <w:rsid w:val="3A465B2C"/>
    <w:rsid w:val="3C0B4937"/>
    <w:rsid w:val="3FC3E550"/>
    <w:rsid w:val="3FD70A3C"/>
    <w:rsid w:val="40884D6D"/>
    <w:rsid w:val="41144286"/>
    <w:rsid w:val="42655072"/>
    <w:rsid w:val="44D7723E"/>
    <w:rsid w:val="45FF9823"/>
    <w:rsid w:val="46F96400"/>
    <w:rsid w:val="482374AD"/>
    <w:rsid w:val="48515DC8"/>
    <w:rsid w:val="4A4259BC"/>
    <w:rsid w:val="4A7E19AB"/>
    <w:rsid w:val="4A9722D1"/>
    <w:rsid w:val="4AB97C54"/>
    <w:rsid w:val="4DF95911"/>
    <w:rsid w:val="52AE35F5"/>
    <w:rsid w:val="55067F3A"/>
    <w:rsid w:val="553749E8"/>
    <w:rsid w:val="567E4EEE"/>
    <w:rsid w:val="57FD53D7"/>
    <w:rsid w:val="582E57DE"/>
    <w:rsid w:val="588673C8"/>
    <w:rsid w:val="59EF5D15"/>
    <w:rsid w:val="5A0B50DC"/>
    <w:rsid w:val="5A1267B4"/>
    <w:rsid w:val="5B2A2BD4"/>
    <w:rsid w:val="5B93247B"/>
    <w:rsid w:val="5CF60894"/>
    <w:rsid w:val="5E5B413C"/>
    <w:rsid w:val="5FDB2E95"/>
    <w:rsid w:val="5FF94923"/>
    <w:rsid w:val="617526CF"/>
    <w:rsid w:val="65FD6839"/>
    <w:rsid w:val="697F8936"/>
    <w:rsid w:val="6B79100E"/>
    <w:rsid w:val="6BFF9DCA"/>
    <w:rsid w:val="6CFF7102"/>
    <w:rsid w:val="6D0540F4"/>
    <w:rsid w:val="6DBD3434"/>
    <w:rsid w:val="6FCE6661"/>
    <w:rsid w:val="707443AD"/>
    <w:rsid w:val="747672ED"/>
    <w:rsid w:val="777F6808"/>
    <w:rsid w:val="785E3A65"/>
    <w:rsid w:val="78E6550F"/>
    <w:rsid w:val="79E354B7"/>
    <w:rsid w:val="7A3074EF"/>
    <w:rsid w:val="7A3E76AA"/>
    <w:rsid w:val="7AFFE2BE"/>
    <w:rsid w:val="7B456752"/>
    <w:rsid w:val="7E7F9B95"/>
    <w:rsid w:val="7EBB39C0"/>
    <w:rsid w:val="7F6FBDCF"/>
    <w:rsid w:val="7FFE0565"/>
    <w:rsid w:val="8FEF7CD9"/>
    <w:rsid w:val="A5DA8647"/>
    <w:rsid w:val="ABFFEFE1"/>
    <w:rsid w:val="AFE44AAD"/>
    <w:rsid w:val="AFF77CCD"/>
    <w:rsid w:val="B3BFC16C"/>
    <w:rsid w:val="BFFE53F3"/>
    <w:rsid w:val="D7275E67"/>
    <w:rsid w:val="DD7779E4"/>
    <w:rsid w:val="DF669383"/>
    <w:rsid w:val="DFAFEFA2"/>
    <w:rsid w:val="DFEE5620"/>
    <w:rsid w:val="DFFC73B5"/>
    <w:rsid w:val="E7D69D9C"/>
    <w:rsid w:val="EF3FD72B"/>
    <w:rsid w:val="EF9737F8"/>
    <w:rsid w:val="F3EF9660"/>
    <w:rsid w:val="F7AFB007"/>
    <w:rsid w:val="F7E4AD6C"/>
    <w:rsid w:val="FABF155D"/>
    <w:rsid w:val="FBFFC086"/>
    <w:rsid w:val="FDF6F232"/>
    <w:rsid w:val="FEEE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name="toc 1"/>
    <w:lsdException w:qFormat="1" w:uiPriority="39" w:name="toc 2"/>
    <w:lsdException w:qFormat="1" w:uiPriority="39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name="Normal Indent"/>
    <w:lsdException w:uiPriority="0" w:name="footnote text"/>
    <w:lsdException w:qFormat="1" w:uiPriority="0" w:name="annotation text"/>
    <w:lsdException w:qFormat="1" w:uiPriority="99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qFormat="1" w:uiPriority="0" w:name="Body Text 3"/>
    <w:lsdException w:qFormat="1"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0" w:name="Document Map"/>
    <w:lsdException w:qFormat="1"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eastAsia="Arial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2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hAnsi="Arial" w:eastAsia="黑体"/>
      <w:b/>
      <w:bCs/>
      <w:sz w:val="28"/>
      <w:szCs w:val="32"/>
    </w:rPr>
  </w:style>
  <w:style w:type="paragraph" w:styleId="4">
    <w:name w:val="heading 3"/>
    <w:basedOn w:val="1"/>
    <w:next w:val="1"/>
    <w:link w:val="33"/>
    <w:qFormat/>
    <w:uiPriority w:val="0"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34"/>
    <w:semiHidden/>
    <w:unhideWhenUsed/>
    <w:qFormat/>
    <w:uiPriority w:val="0"/>
    <w:pPr>
      <w:keepNext/>
      <w:keepLines/>
      <w:spacing w:before="280" w:after="290" w:line="374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5"/>
    <w:semiHidden/>
    <w:unhideWhenUsed/>
    <w:qFormat/>
    <w:uiPriority w:val="0"/>
    <w:pPr>
      <w:keepNext/>
      <w:keepLines/>
      <w:spacing w:before="280" w:after="290" w:line="374" w:lineRule="auto"/>
      <w:outlineLvl w:val="4"/>
    </w:pPr>
    <w:rPr>
      <w:b/>
      <w:bCs/>
      <w:sz w:val="28"/>
      <w:szCs w:val="28"/>
    </w:rPr>
  </w:style>
  <w:style w:type="character" w:default="1" w:styleId="26">
    <w:name w:val="Default Paragraph Font"/>
    <w:semiHidden/>
    <w:unhideWhenUsed/>
    <w:uiPriority w:val="1"/>
  </w:style>
  <w:style w:type="table" w:default="1" w:styleId="2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semiHidden/>
    <w:unhideWhenUsed/>
    <w:qFormat/>
    <w:uiPriority w:val="0"/>
    <w:pPr>
      <w:snapToGrid w:val="0"/>
      <w:spacing w:beforeLines="60"/>
      <w:ind w:firstLine="256" w:firstLineChars="256"/>
      <w:jc w:val="left"/>
    </w:pPr>
    <w:rPr>
      <w:rFonts w:ascii="宋体"/>
      <w:kern w:val="0"/>
      <w:szCs w:val="20"/>
    </w:rPr>
  </w:style>
  <w:style w:type="paragraph" w:styleId="8">
    <w:name w:val="Document Map"/>
    <w:basedOn w:val="1"/>
    <w:link w:val="44"/>
    <w:semiHidden/>
    <w:unhideWhenUsed/>
    <w:qFormat/>
    <w:uiPriority w:val="0"/>
    <w:pPr>
      <w:shd w:val="clear" w:color="auto" w:fill="000080"/>
    </w:pPr>
  </w:style>
  <w:style w:type="paragraph" w:styleId="9">
    <w:name w:val="annotation text"/>
    <w:basedOn w:val="1"/>
    <w:link w:val="36"/>
    <w:semiHidden/>
    <w:unhideWhenUsed/>
    <w:qFormat/>
    <w:uiPriority w:val="0"/>
    <w:pPr>
      <w:jc w:val="left"/>
    </w:pPr>
  </w:style>
  <w:style w:type="paragraph" w:styleId="10">
    <w:name w:val="Body Text 3"/>
    <w:basedOn w:val="1"/>
    <w:link w:val="42"/>
    <w:semiHidden/>
    <w:unhideWhenUsed/>
    <w:qFormat/>
    <w:uiPriority w:val="0"/>
    <w:pPr>
      <w:spacing w:after="120"/>
    </w:pPr>
    <w:rPr>
      <w:sz w:val="16"/>
      <w:szCs w:val="16"/>
    </w:rPr>
  </w:style>
  <w:style w:type="paragraph" w:styleId="11">
    <w:name w:val="Body Text"/>
    <w:basedOn w:val="1"/>
    <w:link w:val="40"/>
    <w:semiHidden/>
    <w:unhideWhenUsed/>
    <w:qFormat/>
    <w:uiPriority w:val="0"/>
    <w:pPr>
      <w:widowControl/>
      <w:spacing w:line="360" w:lineRule="auto"/>
      <w:jc w:val="left"/>
    </w:pPr>
    <w:rPr>
      <w:rFonts w:ascii="Calibri" w:hAnsi="Calibri"/>
      <w:b/>
      <w:kern w:val="0"/>
      <w:sz w:val="32"/>
      <w:szCs w:val="20"/>
      <w:lang w:eastAsia="en-US"/>
    </w:rPr>
  </w:style>
  <w:style w:type="paragraph" w:styleId="12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13">
    <w:name w:val="Plain Text"/>
    <w:basedOn w:val="1"/>
    <w:link w:val="45"/>
    <w:semiHidden/>
    <w:unhideWhenUsed/>
    <w:qFormat/>
    <w:uiPriority w:val="0"/>
    <w:rPr>
      <w:rFonts w:ascii="宋体" w:hAnsi="Courier New"/>
      <w:sz w:val="24"/>
      <w:szCs w:val="20"/>
    </w:rPr>
  </w:style>
  <w:style w:type="paragraph" w:styleId="14">
    <w:name w:val="Date"/>
    <w:basedOn w:val="1"/>
    <w:next w:val="1"/>
    <w:link w:val="41"/>
    <w:qFormat/>
    <w:uiPriority w:val="0"/>
    <w:pPr>
      <w:ind w:left="100" w:leftChars="2500"/>
    </w:pPr>
  </w:style>
  <w:style w:type="paragraph" w:styleId="15">
    <w:name w:val="Body Text Indent 2"/>
    <w:basedOn w:val="1"/>
    <w:link w:val="43"/>
    <w:semiHidden/>
    <w:unhideWhenUsed/>
    <w:qFormat/>
    <w:uiPriority w:val="0"/>
    <w:pPr>
      <w:spacing w:after="120" w:line="480" w:lineRule="auto"/>
      <w:ind w:left="420" w:leftChars="200"/>
    </w:pPr>
  </w:style>
  <w:style w:type="paragraph" w:styleId="16">
    <w:name w:val="Balloon Text"/>
    <w:basedOn w:val="1"/>
    <w:link w:val="47"/>
    <w:semiHidden/>
    <w:unhideWhenUsed/>
    <w:qFormat/>
    <w:uiPriority w:val="0"/>
    <w:rPr>
      <w:sz w:val="18"/>
      <w:szCs w:val="18"/>
    </w:rPr>
  </w:style>
  <w:style w:type="paragraph" w:styleId="17">
    <w:name w:val="footer"/>
    <w:basedOn w:val="1"/>
    <w:link w:val="38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semiHidden/>
    <w:unhideWhenUsed/>
    <w:qFormat/>
    <w:uiPriority w:val="39"/>
  </w:style>
  <w:style w:type="paragraph" w:styleId="2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21">
    <w:name w:val="Normal (Web)"/>
    <w:basedOn w:val="1"/>
    <w:qFormat/>
    <w:uiPriority w:val="0"/>
    <w:pPr>
      <w:spacing w:beforeAutospacing="1" w:afterAutospacing="1"/>
      <w:jc w:val="left"/>
    </w:pPr>
    <w:rPr>
      <w:rFonts w:asciiTheme="minorHAnsi" w:hAnsiTheme="minorHAnsi" w:eastAsiaTheme="minorEastAsia"/>
      <w:kern w:val="0"/>
      <w:sz w:val="24"/>
    </w:rPr>
  </w:style>
  <w:style w:type="paragraph" w:styleId="22">
    <w:name w:val="Title"/>
    <w:basedOn w:val="1"/>
    <w:next w:val="1"/>
    <w:link w:val="39"/>
    <w:qFormat/>
    <w:uiPriority w:val="0"/>
    <w:pPr>
      <w:snapToGrid w:val="0"/>
      <w:jc w:val="center"/>
    </w:pPr>
    <w:rPr>
      <w:rFonts w:ascii="宋体"/>
      <w:b/>
      <w:kern w:val="0"/>
      <w:sz w:val="36"/>
      <w:szCs w:val="20"/>
    </w:rPr>
  </w:style>
  <w:style w:type="paragraph" w:styleId="23">
    <w:name w:val="annotation subject"/>
    <w:basedOn w:val="9"/>
    <w:next w:val="9"/>
    <w:link w:val="46"/>
    <w:semiHidden/>
    <w:unhideWhenUsed/>
    <w:qFormat/>
    <w:uiPriority w:val="0"/>
    <w:rPr>
      <w:b/>
      <w:bCs/>
    </w:rPr>
  </w:style>
  <w:style w:type="table" w:styleId="25">
    <w:name w:val="Table Grid"/>
    <w:basedOn w:val="2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FollowedHyperlink"/>
    <w:basedOn w:val="26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8">
    <w:name w:val="Hyperlink"/>
    <w:basedOn w:val="26"/>
    <w:semiHidden/>
    <w:unhideWhenUsed/>
    <w:qFormat/>
    <w:uiPriority w:val="99"/>
    <w:rPr>
      <w:color w:val="0000FF"/>
      <w:u w:val="single"/>
    </w:rPr>
  </w:style>
  <w:style w:type="character" w:styleId="29">
    <w:name w:val="HTML Code"/>
    <w:basedOn w:val="26"/>
    <w:semiHidden/>
    <w:unhideWhenUsed/>
    <w:uiPriority w:val="0"/>
    <w:rPr>
      <w:rFonts w:ascii="Courier New" w:hAnsi="Courier New"/>
      <w:sz w:val="20"/>
    </w:rPr>
  </w:style>
  <w:style w:type="character" w:styleId="30">
    <w:name w:val="annotation reference"/>
    <w:basedOn w:val="26"/>
    <w:semiHidden/>
    <w:unhideWhenUsed/>
    <w:qFormat/>
    <w:uiPriority w:val="0"/>
    <w:rPr>
      <w:sz w:val="21"/>
      <w:szCs w:val="21"/>
    </w:rPr>
  </w:style>
  <w:style w:type="character" w:customStyle="1" w:styleId="31">
    <w:name w:val="标题 1 Char"/>
    <w:basedOn w:val="26"/>
    <w:qFormat/>
    <w:uiPriority w:val="0"/>
    <w:rPr>
      <w:rFonts w:hint="eastAsia" w:ascii="宋体" w:hAnsi="宋体" w:eastAsia="宋体"/>
      <w:b/>
      <w:snapToGrid/>
      <w:sz w:val="28"/>
      <w:lang w:val="en-US" w:eastAsia="zh-CN" w:bidi="ar-SA"/>
    </w:rPr>
  </w:style>
  <w:style w:type="character" w:customStyle="1" w:styleId="32">
    <w:name w:val="标题 2 字符"/>
    <w:link w:val="3"/>
    <w:qFormat/>
    <w:locked/>
    <w:uiPriority w:val="0"/>
    <w:rPr>
      <w:rFonts w:hint="default" w:ascii="Arial" w:hAnsi="Arial" w:eastAsia="黑体" w:cs="Arial"/>
      <w:b/>
      <w:bCs/>
      <w:kern w:val="2"/>
      <w:sz w:val="28"/>
      <w:szCs w:val="32"/>
    </w:rPr>
  </w:style>
  <w:style w:type="character" w:customStyle="1" w:styleId="33">
    <w:name w:val="标题 3 字符"/>
    <w:link w:val="4"/>
    <w:qFormat/>
    <w:locked/>
    <w:uiPriority w:val="0"/>
    <w:rPr>
      <w:b/>
      <w:bCs/>
      <w:kern w:val="2"/>
      <w:sz w:val="21"/>
      <w:szCs w:val="32"/>
    </w:rPr>
  </w:style>
  <w:style w:type="character" w:customStyle="1" w:styleId="34">
    <w:name w:val="标题 4 字符"/>
    <w:basedOn w:val="26"/>
    <w:link w:val="5"/>
    <w:semiHidden/>
    <w:qFormat/>
    <w:locked/>
    <w:uiPriority w:val="0"/>
    <w:rPr>
      <w:rFonts w:hint="default"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5">
    <w:name w:val="标题 5 字符"/>
    <w:basedOn w:val="26"/>
    <w:link w:val="6"/>
    <w:semiHidden/>
    <w:qFormat/>
    <w:locked/>
    <w:uiPriority w:val="0"/>
    <w:rPr>
      <w:b/>
      <w:bCs/>
      <w:kern w:val="2"/>
      <w:sz w:val="28"/>
      <w:szCs w:val="28"/>
    </w:rPr>
  </w:style>
  <w:style w:type="character" w:customStyle="1" w:styleId="36">
    <w:name w:val="批注文字 字符"/>
    <w:basedOn w:val="26"/>
    <w:link w:val="9"/>
    <w:semiHidden/>
    <w:qFormat/>
    <w:locked/>
    <w:uiPriority w:val="0"/>
    <w:rPr>
      <w:kern w:val="2"/>
      <w:sz w:val="21"/>
      <w:szCs w:val="24"/>
    </w:rPr>
  </w:style>
  <w:style w:type="character" w:customStyle="1" w:styleId="37">
    <w:name w:val="页眉 字符"/>
    <w:basedOn w:val="26"/>
    <w:link w:val="18"/>
    <w:qFormat/>
    <w:locked/>
    <w:uiPriority w:val="99"/>
    <w:rPr>
      <w:kern w:val="2"/>
      <w:sz w:val="18"/>
      <w:szCs w:val="18"/>
    </w:rPr>
  </w:style>
  <w:style w:type="character" w:customStyle="1" w:styleId="38">
    <w:name w:val="页脚 字符"/>
    <w:basedOn w:val="26"/>
    <w:link w:val="17"/>
    <w:qFormat/>
    <w:uiPriority w:val="0"/>
    <w:rPr>
      <w:kern w:val="2"/>
      <w:sz w:val="18"/>
      <w:szCs w:val="18"/>
    </w:rPr>
  </w:style>
  <w:style w:type="character" w:customStyle="1" w:styleId="39">
    <w:name w:val="标题 字符"/>
    <w:basedOn w:val="26"/>
    <w:link w:val="22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40">
    <w:name w:val="正文文本 字符"/>
    <w:basedOn w:val="26"/>
    <w:link w:val="11"/>
    <w:semiHidden/>
    <w:qFormat/>
    <w:locked/>
    <w:uiPriority w:val="0"/>
    <w:rPr>
      <w:rFonts w:hint="default" w:ascii="Calibri" w:hAnsi="Calibri" w:cs="Calibri"/>
      <w:b/>
      <w:sz w:val="32"/>
      <w:lang w:eastAsia="en-US"/>
    </w:rPr>
  </w:style>
  <w:style w:type="character" w:customStyle="1" w:styleId="41">
    <w:name w:val="日期 字符"/>
    <w:basedOn w:val="26"/>
    <w:link w:val="14"/>
    <w:qFormat/>
    <w:locked/>
    <w:uiPriority w:val="0"/>
    <w:rPr>
      <w:kern w:val="2"/>
      <w:sz w:val="21"/>
      <w:szCs w:val="24"/>
    </w:rPr>
  </w:style>
  <w:style w:type="character" w:customStyle="1" w:styleId="42">
    <w:name w:val="正文文本 3 字符"/>
    <w:basedOn w:val="26"/>
    <w:link w:val="10"/>
    <w:semiHidden/>
    <w:qFormat/>
    <w:locked/>
    <w:uiPriority w:val="0"/>
    <w:rPr>
      <w:kern w:val="2"/>
      <w:sz w:val="16"/>
      <w:szCs w:val="16"/>
    </w:rPr>
  </w:style>
  <w:style w:type="character" w:customStyle="1" w:styleId="43">
    <w:name w:val="正文文本缩进 2 字符"/>
    <w:basedOn w:val="26"/>
    <w:link w:val="15"/>
    <w:semiHidden/>
    <w:qFormat/>
    <w:locked/>
    <w:uiPriority w:val="0"/>
    <w:rPr>
      <w:kern w:val="2"/>
      <w:sz w:val="21"/>
      <w:szCs w:val="24"/>
    </w:rPr>
  </w:style>
  <w:style w:type="character" w:customStyle="1" w:styleId="44">
    <w:name w:val="文档结构图 字符"/>
    <w:basedOn w:val="26"/>
    <w:link w:val="8"/>
    <w:semiHidden/>
    <w:qFormat/>
    <w:uiPriority w:val="0"/>
    <w:rPr>
      <w:rFonts w:ascii="Microsoft YaHei UI" w:eastAsia="Microsoft YaHei UI"/>
      <w:kern w:val="2"/>
      <w:sz w:val="18"/>
      <w:szCs w:val="18"/>
    </w:rPr>
  </w:style>
  <w:style w:type="character" w:customStyle="1" w:styleId="45">
    <w:name w:val="纯文本 字符"/>
    <w:basedOn w:val="26"/>
    <w:link w:val="13"/>
    <w:semiHidden/>
    <w:qFormat/>
    <w:locked/>
    <w:uiPriority w:val="0"/>
    <w:rPr>
      <w:rFonts w:hint="eastAsia" w:ascii="宋体" w:hAnsi="Courier New" w:eastAsia="宋体"/>
      <w:kern w:val="2"/>
      <w:sz w:val="24"/>
    </w:rPr>
  </w:style>
  <w:style w:type="character" w:customStyle="1" w:styleId="46">
    <w:name w:val="批注主题 字符"/>
    <w:basedOn w:val="36"/>
    <w:link w:val="23"/>
    <w:semiHidden/>
    <w:qFormat/>
    <w:locked/>
    <w:uiPriority w:val="0"/>
    <w:rPr>
      <w:b/>
      <w:bCs/>
      <w:kern w:val="2"/>
      <w:sz w:val="21"/>
      <w:szCs w:val="24"/>
    </w:rPr>
  </w:style>
  <w:style w:type="character" w:customStyle="1" w:styleId="47">
    <w:name w:val="批注框文本 字符"/>
    <w:basedOn w:val="26"/>
    <w:link w:val="16"/>
    <w:semiHidden/>
    <w:qFormat/>
    <w:locked/>
    <w:uiPriority w:val="0"/>
    <w:rPr>
      <w:kern w:val="2"/>
      <w:sz w:val="18"/>
      <w:szCs w:val="18"/>
    </w:rPr>
  </w:style>
  <w:style w:type="paragraph" w:styleId="48">
    <w:name w:val="List Paragraph"/>
    <w:basedOn w:val="1"/>
    <w:qFormat/>
    <w:uiPriority w:val="34"/>
    <w:pPr>
      <w:widowControl/>
      <w:ind w:firstLine="420"/>
    </w:pPr>
    <w:rPr>
      <w:rFonts w:ascii="Calibri" w:hAnsi="Calibri" w:cs="宋体"/>
      <w:kern w:val="0"/>
      <w:szCs w:val="21"/>
    </w:rPr>
  </w:style>
  <w:style w:type="paragraph" w:customStyle="1" w:styleId="49">
    <w:name w:val="TOC 标题1"/>
    <w:basedOn w:val="2"/>
    <w:next w:val="1"/>
    <w:semiHidden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50">
    <w:name w:val="公司名称"/>
    <w:basedOn w:val="1"/>
    <w:qFormat/>
    <w:uiPriority w:val="0"/>
    <w:pPr>
      <w:widowControl/>
      <w:overflowPunct w:val="0"/>
      <w:autoSpaceDE w:val="0"/>
      <w:autoSpaceDN w:val="0"/>
      <w:adjustRightInd w:val="0"/>
      <w:jc w:val="center"/>
    </w:pPr>
    <w:rPr>
      <w:rFonts w:eastAsia="隶书"/>
      <w:b/>
      <w:bCs/>
      <w:kern w:val="0"/>
      <w:sz w:val="44"/>
      <w:szCs w:val="20"/>
    </w:rPr>
  </w:style>
  <w:style w:type="paragraph" w:customStyle="1" w:styleId="51">
    <w:name w:val="文档中文标题"/>
    <w:basedOn w:val="1"/>
    <w:qFormat/>
    <w:uiPriority w:val="0"/>
    <w:pPr>
      <w:keepLines/>
      <w:widowControl/>
      <w:overflowPunct w:val="0"/>
      <w:autoSpaceDE w:val="0"/>
      <w:autoSpaceDN w:val="0"/>
      <w:adjustRightInd w:val="0"/>
      <w:spacing w:after="120"/>
      <w:ind w:left="2552" w:right="720"/>
      <w:jc w:val="left"/>
    </w:pPr>
    <w:rPr>
      <w:rFonts w:ascii="宋体"/>
      <w:b/>
      <w:bCs/>
      <w:smallCaps/>
      <w:kern w:val="0"/>
      <w:sz w:val="44"/>
      <w:szCs w:val="18"/>
      <w:lang w:val="zh-CN"/>
    </w:rPr>
  </w:style>
  <w:style w:type="paragraph" w:customStyle="1" w:styleId="52">
    <w:name w:val="xl34"/>
    <w:basedOn w:val="1"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24"/>
    </w:rPr>
  </w:style>
  <w:style w:type="paragraph" w:customStyle="1" w:styleId="53">
    <w:name w:val="xl30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72"/>
      <w:szCs w:val="72"/>
    </w:rPr>
  </w:style>
  <w:style w:type="paragraph" w:customStyle="1" w:styleId="54">
    <w:name w:val="正文1"/>
    <w:basedOn w:val="1"/>
    <w:qFormat/>
    <w:uiPriority w:val="0"/>
    <w:pPr>
      <w:snapToGrid w:val="0"/>
      <w:spacing w:before="120" w:after="120"/>
      <w:ind w:firstLine="420"/>
    </w:pPr>
    <w:rPr>
      <w:rFonts w:cs="Lucida Sans"/>
      <w:szCs w:val="21"/>
    </w:rPr>
  </w:style>
  <w:style w:type="paragraph" w:customStyle="1" w:styleId="55">
    <w:name w:val="样式 正文缩进 + 首行缩进:  2.56 字符 段前: 0.6 行 段后: 0.6 行"/>
    <w:basedOn w:val="7"/>
    <w:qFormat/>
    <w:uiPriority w:val="0"/>
    <w:pPr>
      <w:spacing w:afterLines="60"/>
      <w:ind w:firstLine="538"/>
    </w:pPr>
    <w:rPr>
      <w:rFonts w:cs="宋体"/>
    </w:rPr>
  </w:style>
  <w:style w:type="paragraph" w:customStyle="1" w:styleId="56">
    <w:name w:val="Char Char Char Char Char Char Char Char Char Char Char Char Char Char Char Char"/>
    <w:basedOn w:val="1"/>
    <w:qFormat/>
    <w:uiPriority w:val="0"/>
    <w:pPr>
      <w:tabs>
        <w:tab w:val="left" w:pos="360"/>
      </w:tabs>
      <w:spacing w:line="360" w:lineRule="auto"/>
      <w:ind w:firstLine="480" w:firstLineChars="200"/>
    </w:pPr>
    <w:rPr>
      <w:rFonts w:ascii="宋体" w:hAnsi="宋体"/>
      <w:kern w:val="0"/>
      <w:sz w:val="24"/>
    </w:rPr>
  </w:style>
  <w:style w:type="character" w:customStyle="1" w:styleId="57">
    <w:name w:val="模板内容"/>
    <w:qFormat/>
    <w:uiPriority w:val="0"/>
    <w:rPr>
      <w:color w:val="0000FF"/>
    </w:rPr>
  </w:style>
  <w:style w:type="paragraph" w:customStyle="1" w:styleId="58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468</Words>
  <Characters>522</Characters>
  <Lines>415</Lines>
  <Paragraphs>376</Paragraphs>
  <TotalTime>14</TotalTime>
  <ScaleCrop>false</ScaleCrop>
  <LinksUpToDate>false</LinksUpToDate>
  <CharactersWithSpaces>533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2025-12-24T11:22:00Z</dcterms:created>
  <dc:creator>8000115456</dc:creator>
  <cp:lastModifiedBy>不是f5</cp:lastModifiedBy>
  <dcterms:modified xsi:type="dcterms:W3CDTF">2025-12-24T11:38:05Z</dcterms:modified>
  <dc:title>需求说明书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文档状态">
    <vt:lpwstr>修订最新版本时间</vt:lpwstr>
  </property>
  <property fmtid="{D5CDD505-2E9C-101B-9397-08002B2CF9AE}" pid="3" name="发布日期">
    <vt:lpwstr/>
  </property>
  <property fmtid="{D5CDD505-2E9C-101B-9397-08002B2CF9AE}" pid="4" name="目录说明">
    <vt:lpwstr/>
  </property>
  <property fmtid="{D5CDD505-2E9C-101B-9397-08002B2CF9AE}" pid="5" name="KSOProductBuildVer">
    <vt:lpwstr>2052-12.1.0.24034</vt:lpwstr>
  </property>
  <property fmtid="{D5CDD505-2E9C-101B-9397-08002B2CF9AE}" pid="6" name="ICV">
    <vt:lpwstr>5A26A66556FF4390B5A20CF4DB8E7383_12</vt:lpwstr>
  </property>
  <property fmtid="{D5CDD505-2E9C-101B-9397-08002B2CF9AE}" pid="7" name="KSOTemplateDocerSaveRecord">
    <vt:lpwstr>eyJoZGlkIjoiNzNiZTZhYmE2Y2NlNTdiOTBlMmEwYjg4YWFmNGIzYjkiLCJ1c2VySWQiOiIxMjQzODczMTE5In0=</vt:lpwstr>
  </property>
</Properties>
</file>