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099441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59FFE6A2">
            <w:pPr>
              <w:jc w:val="center"/>
              <w:rPr>
                <w:sz w:val="20"/>
              </w:rPr>
            </w:pPr>
            <w:bookmarkStart w:id="4" w:name="_GoBack"/>
            <w:bookmarkEnd w:id="4"/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3FBC54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28B670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DEBAAF3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版本V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2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509F1F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792D3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9C3BD8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B083A4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B710EF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71158F2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F8E17A1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49AF7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275AD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794598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6F803A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497311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7445C6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8028B54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4A7BE33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12389C9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20DB520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18E77B5E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社团管理</w:t>
      </w:r>
      <w:r>
        <w:rPr>
          <w:rFonts w:hint="eastAsia" w:ascii="Arial" w:hAnsi="Arial" w:eastAsia="黑体"/>
          <w:caps/>
          <w:lang w:val="en-US"/>
        </w:rPr>
        <w:t>系统项目整体计划方案</w:t>
      </w:r>
    </w:p>
    <w:p w14:paraId="037472EF"/>
    <w:p w14:paraId="2569EDA1">
      <w:pPr>
        <w:widowControl/>
        <w:jc w:val="left"/>
      </w:pPr>
      <w:bookmarkStart w:id="0" w:name="_Toc208994575"/>
      <w:bookmarkStart w:id="1" w:name="_Toc312161398"/>
    </w:p>
    <w:p w14:paraId="6BCDF2CE">
      <w:pPr>
        <w:widowControl/>
        <w:jc w:val="left"/>
      </w:pPr>
    </w:p>
    <w:p w14:paraId="56E8C750">
      <w:pPr>
        <w:widowControl/>
        <w:jc w:val="left"/>
      </w:pPr>
    </w:p>
    <w:p w14:paraId="3B333948">
      <w:pPr>
        <w:widowControl/>
        <w:jc w:val="left"/>
      </w:pPr>
    </w:p>
    <w:p w14:paraId="3729443E">
      <w:pPr>
        <w:widowControl/>
        <w:jc w:val="left"/>
      </w:pPr>
    </w:p>
    <w:p w14:paraId="452BC422">
      <w:pPr>
        <w:widowControl/>
        <w:jc w:val="left"/>
      </w:pPr>
    </w:p>
    <w:p w14:paraId="3B101C60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DE1E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41D686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73B86AC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31AA3825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6A38BE1A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13BAA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DDDDF3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3C8A03D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2B80F9E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A3BD080">
            <w:pPr>
              <w:widowControl/>
              <w:spacing w:line="360" w:lineRule="auto"/>
              <w:jc w:val="left"/>
            </w:pPr>
          </w:p>
        </w:tc>
      </w:tr>
      <w:tr w14:paraId="67FA0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BF9C1AB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787BE2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D96898D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327C695">
            <w:pPr>
              <w:widowControl/>
              <w:spacing w:line="360" w:lineRule="auto"/>
              <w:jc w:val="left"/>
            </w:pPr>
          </w:p>
        </w:tc>
      </w:tr>
      <w:tr w14:paraId="62320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EB9E5A9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CAC915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43505D58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D19CF48">
            <w:pPr>
              <w:widowControl/>
              <w:spacing w:line="360" w:lineRule="auto"/>
              <w:jc w:val="left"/>
            </w:pPr>
          </w:p>
        </w:tc>
      </w:tr>
    </w:tbl>
    <w:p w14:paraId="3441739E">
      <w:pPr>
        <w:widowControl/>
        <w:jc w:val="left"/>
      </w:pPr>
    </w:p>
    <w:p w14:paraId="4DFD37FC">
      <w:pPr>
        <w:widowControl/>
        <w:jc w:val="left"/>
      </w:pPr>
    </w:p>
    <w:p w14:paraId="0659923F">
      <w:pPr>
        <w:widowControl/>
        <w:jc w:val="left"/>
      </w:pPr>
    </w:p>
    <w:p w14:paraId="354C2A3E">
      <w:pPr>
        <w:widowControl/>
        <w:jc w:val="left"/>
      </w:pPr>
    </w:p>
    <w:p w14:paraId="45FD5E92">
      <w:pPr>
        <w:widowControl/>
        <w:jc w:val="left"/>
      </w:pPr>
      <w:r>
        <w:br w:type="page"/>
      </w:r>
    </w:p>
    <w:p w14:paraId="2421DCE9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345E4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4224904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BF4E5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392CCD4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6CAD6D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2EA0874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5F720608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62CC8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1476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18655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F4ACC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95E10E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E7B2D9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9C503B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1221F9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1C0B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E41994">
            <w:pPr>
              <w:jc w:val="center"/>
              <w:rPr>
                <w:rFonts w:hint="eastAsia" w:eastAsia="宋体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2025-12-2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B610C4">
            <w:pPr>
              <w:jc w:val="center"/>
              <w:rPr>
                <w:rFonts w:hint="eastAsia" w:eastAsia="宋体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2025-12-2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AE0C6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D1F16D9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CBC62A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整体计划</w:t>
            </w:r>
            <w:r>
              <w:rPr>
                <w:rFonts w:hint="eastAsia"/>
                <w:b w:val="0"/>
                <w:sz w:val="20"/>
                <w:lang w:eastAsia="zh-CN"/>
              </w:rPr>
              <w:t>落实</w:t>
            </w:r>
          </w:p>
        </w:tc>
      </w:tr>
      <w:tr w14:paraId="5DAF7C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796353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V2.0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E43AE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54C6C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2025-12-31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4199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9D9024">
            <w:pPr>
              <w:pStyle w:val="11"/>
              <w:spacing w:line="240" w:lineRule="atLeast"/>
              <w:jc w:val="center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lang w:val="en-US"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DAF6B2D">
            <w:pPr>
              <w:pStyle w:val="11"/>
              <w:spacing w:line="240" w:lineRule="atLeast"/>
              <w:jc w:val="both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完善风险管理计划</w:t>
            </w:r>
          </w:p>
        </w:tc>
      </w:tr>
      <w:tr w14:paraId="29A4C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0F48A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C22D7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73E8B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072E3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483E38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2BC375D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02E5C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7FA6A7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2922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1577FB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A89EC3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2DFA31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88073C2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433C43A8"/>
    <w:bookmarkEnd w:id="0"/>
    <w:bookmarkEnd w:id="1"/>
    <w:p w14:paraId="79FC51CE"/>
    <w:p w14:paraId="5FDB5182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项目介绍</w:t>
      </w:r>
    </w:p>
    <w:p w14:paraId="7BD2C3DC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1.1 项目背景</w:t>
      </w:r>
    </w:p>
    <w:p w14:paraId="5FB0D4B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随着高校校园信息化水平的不断提升，学生社团数量和社团活动日益增多，传统依赖人工或零散工具进行社团管理和活动组织的方式，已逐渐暴露出效率低、信息不透明、统计困难等问题。例如，社团注册流程繁琐，活动信息发布渠道分散，成员管理和报名统计依赖人工整理，容易出现遗漏和错误。</w:t>
      </w:r>
    </w:p>
    <w:p w14:paraId="1DDE66C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为提升校园社团管理的规范化、信息化和便捷性，有必要开发一套统一的校园社团活动管理系统，实现对社团、活动及成员信息的集中管理，为学生和管理人员提供高效、可靠的信息服务平台。</w:t>
      </w:r>
    </w:p>
    <w:p w14:paraId="78189289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1.2 项目目标 </w:t>
      </w:r>
    </w:p>
    <w:p w14:paraId="61BA9A36">
      <w:pPr>
        <w:spacing w:line="360" w:lineRule="auto"/>
        <w:ind w:firstLine="420" w:firstLineChars="200"/>
        <w:rPr>
          <w:sz w:val="24"/>
        </w:rPr>
      </w:pPr>
      <w:r>
        <w:rPr>
          <w:rFonts w:hint="eastAsia"/>
        </w:rPr>
        <w:t xml:space="preserve">  </w:t>
      </w:r>
      <w:r>
        <w:rPr>
          <w:sz w:val="24"/>
        </w:rPr>
        <w:t>本项目旨在开发一套校园社团活动管理系统，通过信息化手段支持校园社团的日常管理和活动组织。具体目标包括：</w:t>
      </w:r>
    </w:p>
    <w:p w14:paraId="4EBB00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实现社团的统一注册与管理，提高社团信息管理的规范性；</w:t>
      </w:r>
    </w:p>
    <w:p w14:paraId="77215E3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支持社团活动的在线发布、报名与统计，提升活动组织效率；</w:t>
      </w:r>
    </w:p>
    <w:p w14:paraId="56287DA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提供成员管理功能，便于社团负责人维护成员信息；</w:t>
      </w:r>
    </w:p>
    <w:p w14:paraId="6A6984D9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为学生用户提供便捷的社团活动查询与报名渠道；</w:t>
      </w:r>
    </w:p>
    <w:p w14:paraId="6D1A6B78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构建一个结构清晰、易于使用、可扩展的校园社团管理平台。</w:t>
      </w:r>
    </w:p>
    <w:p w14:paraId="2999D75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通过本系统的建设，降低社团管理成本，提高信息透明度，提升校园社团活动的整体运行效率。</w:t>
      </w:r>
    </w:p>
    <w:p w14:paraId="0DE75BCF">
      <w:pPr>
        <w:pStyle w:val="3"/>
        <w:numPr>
          <w:ilvl w:val="1"/>
          <w:numId w:val="0"/>
        </w:numPr>
        <w:ind w:left="567" w:hanging="567"/>
      </w:pPr>
      <w:r>
        <w:rPr>
          <w:rFonts w:hint="eastAsia"/>
        </w:rPr>
        <w:t>1.3 项目范围</w:t>
      </w:r>
    </w:p>
    <w:p w14:paraId="7FB9CBF1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本项目主要覆盖校园内社团管理的各个核心环节</w:t>
      </w:r>
      <w:r>
        <w:rPr>
          <w:rFonts w:hint="eastAsia"/>
          <w:sz w:val="24"/>
        </w:rPr>
        <w:t>。</w:t>
      </w:r>
    </w:p>
    <w:p w14:paraId="15D1E22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应当包含的内容</w:t>
      </w:r>
      <w:r>
        <w:rPr>
          <w:rFonts w:hint="eastAsia"/>
          <w:sz w:val="24"/>
        </w:rPr>
        <w:t>：</w:t>
      </w:r>
      <w:r>
        <w:rPr>
          <w:sz w:val="24"/>
        </w:rPr>
        <w:t>校园社团的注册、信息维护与管理功能；社团活动的发布、修改、下线及展示功能；学生成员加入社团、退出社团及成员信息管理功能；社团活动的在线报名与报名信息统计功能；基于不同用户角色（如管理员、社团负责人、普通学生）的权限控制；友好的用户界面设计，操作流程清晰，便于用户使用；基本的数据安全与隐私保护措施，保障用户信息的安全性。</w:t>
      </w:r>
    </w:p>
    <w:p w14:paraId="2FDDA08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不包含的内容</w:t>
      </w:r>
      <w:r>
        <w:rPr>
          <w:rFonts w:hint="eastAsia"/>
          <w:sz w:val="24"/>
        </w:rPr>
        <w:t>：</w:t>
      </w:r>
      <w:r>
        <w:rPr>
          <w:sz w:val="24"/>
        </w:rPr>
        <w:t>与校园社团管理无关的非校园生活服务功能；面向社会公众的开放式社交或商业化运营功能；大规模数据分析、智能推荐或复杂算法功能；与学校核心业务系统（如教务系统、财务系统）的深度集成。</w:t>
      </w:r>
    </w:p>
    <w:p w14:paraId="6465056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适用的领域</w:t>
      </w:r>
      <w:r>
        <w:rPr>
          <w:rFonts w:hint="eastAsia"/>
          <w:sz w:val="24"/>
        </w:rPr>
        <w:t>：</w:t>
      </w:r>
      <w:r>
        <w:rPr>
          <w:sz w:val="24"/>
        </w:rPr>
        <w:t>本项目适用于高校校园环境，主要服务对象为在校学生、社团负责人及校园社团管理相关人员，用于支持校园社团的日常管理和活动组织工作。</w:t>
      </w:r>
    </w:p>
    <w:p w14:paraId="128D4BDD">
      <w:pPr>
        <w:spacing w:line="360" w:lineRule="auto"/>
        <w:ind w:firstLine="480" w:firstLineChars="200"/>
        <w:rPr>
          <w:sz w:val="24"/>
        </w:rPr>
      </w:pPr>
      <w:bookmarkStart w:id="2" w:name="_Hlk217496847"/>
      <w:r>
        <w:rPr>
          <w:sz w:val="24"/>
        </w:rPr>
        <w:t>不适用的领域</w:t>
      </w:r>
      <w:r>
        <w:rPr>
          <w:rFonts w:hint="eastAsia"/>
          <w:sz w:val="24"/>
        </w:rPr>
        <w:t>：</w:t>
      </w:r>
      <w:r>
        <w:rPr>
          <w:sz w:val="24"/>
        </w:rPr>
        <w:t>本项目不适用于非高校校园环境，不面向非在校学生或社会公众提供服务，也不适用于商业化社团管理或大型社会组织管理场景。</w:t>
      </w:r>
    </w:p>
    <w:bookmarkEnd w:id="2"/>
    <w:p w14:paraId="51A41209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项目组织结构</w:t>
      </w:r>
    </w:p>
    <w:p w14:paraId="5D3B624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确保校园社团活动管理系统开发工作的顺利开展，本项目建立清晰的项目组织结构，对项目管理、软件开发、质量控制和配置管理等职责进行合理分工。项目组织结构采用小型项目的典型组织模式，由项目经理统一协调，各相关角色分工协作，共同推进项目实施。</w:t>
      </w:r>
    </w:p>
    <w:tbl>
      <w:tblPr>
        <w:tblStyle w:val="2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823"/>
        <w:gridCol w:w="1438"/>
        <w:gridCol w:w="4656"/>
      </w:tblGrid>
      <w:tr w14:paraId="7FCC7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79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578C9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Cs w:val="21"/>
                <w:lang w:bidi="ar"/>
              </w:rPr>
              <w:t>角色</w:t>
            </w:r>
          </w:p>
        </w:tc>
        <w:tc>
          <w:tcPr>
            <w:tcW w:w="823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79CB4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kern w:val="0"/>
                <w:szCs w:val="21"/>
                <w:lang w:bidi="ar"/>
              </w:rPr>
              <w:t>人数</w:t>
            </w:r>
          </w:p>
        </w:tc>
        <w:tc>
          <w:tcPr>
            <w:tcW w:w="143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3452A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具体人员</w:t>
            </w:r>
          </w:p>
        </w:tc>
        <w:tc>
          <w:tcPr>
            <w:tcW w:w="465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11057">
            <w:pPr>
              <w:widowControl/>
              <w:snapToGrid w:val="0"/>
              <w:jc w:val="center"/>
              <w:rPr>
                <w:rFonts w:hint="eastAsia"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kern w:val="0"/>
                <w:szCs w:val="21"/>
                <w:lang w:bidi="ar"/>
              </w:rPr>
              <w:t>职责</w:t>
            </w:r>
          </w:p>
        </w:tc>
      </w:tr>
      <w:tr w14:paraId="6B36D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Borders>
              <w:top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6E9C7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823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356F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C8CEF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陈欣</w:t>
            </w:r>
          </w:p>
        </w:tc>
        <w:tc>
          <w:tcPr>
            <w:tcW w:w="4656" w:type="dxa"/>
            <w:tcBorders>
              <w:top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79E0B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负责项目整体规划与组织管理，制定项目整体计划、里程碑与进度安排；协调各角色之间的工作关系，分配任务并跟踪项目执行情况；组织项目会议与阶段评审，控制范围、质量与风险，推动问题闭环，确保项目按计划完成并按期交付。</w:t>
            </w:r>
          </w:p>
        </w:tc>
      </w:tr>
      <w:tr w14:paraId="727C1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7A474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CB59B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FCF6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陈欣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8E70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项目实施过程的支撑与过程管理，协助PM制定并落实项目过程规范与交付要求；跟踪各阶段文档与工作产品产出情况，推动评审、记录与整改落实；协同配置管理进行版本与变更控制，汇总进展与问题并提供资源协调支持，保障项目交付过程顺畅。</w:t>
            </w:r>
          </w:p>
        </w:tc>
      </w:tr>
      <w:tr w14:paraId="1A8E7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4FF5B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需求开发人员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2D56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0F14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柯帮国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4571B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负责与用户沟通并收集系统需求；进行需求分析与整理，编写需求相关文档；协助需求评审，参与需求变更的分析与管理，确保需求的完整性与一致性。</w:t>
            </w:r>
          </w:p>
        </w:tc>
      </w:tr>
      <w:tr w14:paraId="51E83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7A6E0A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架构设计师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C5AF0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72D8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陆远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7912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负责系统总体架构设计，确定系统的技术架构与模块划分；制定系统的技术方案，指导后续详细设计与开发工作；评估技术可行性，解决关键技术问题。</w:t>
            </w:r>
          </w:p>
        </w:tc>
      </w:tr>
      <w:tr w14:paraId="5DDE0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EB970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设计人员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D409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35C9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刘</w:t>
            </w:r>
            <w:r>
              <w:rPr>
                <w:rFonts w:hint="eastAsia"/>
                <w:szCs w:val="21"/>
              </w:rPr>
              <w:t>健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3B2C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负责系统的详细设计工作，包括功能设计、界面设计和数据库设计等；编写设计说明文档；确保设计方案符合需求规格和系统架构要求。</w:t>
            </w:r>
          </w:p>
        </w:tc>
      </w:tr>
      <w:tr w14:paraId="2DEF8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D322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编码人员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98458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6E1B6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孙伟玺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DD05F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根据需求文档和设计说明进行系统功能开发；负责编码、调试和代码优化工作；配合测试人员修复缺陷，保证代码质量和功能正确性。</w:t>
            </w:r>
          </w:p>
        </w:tc>
      </w:tr>
      <w:tr w14:paraId="508F92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D6C9B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测试人员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C525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EEFB9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杨佳林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F878A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负责制定测试计划和测试用例；对系统功能进行测试，记录和跟踪缺陷；验证缺陷修复情况，确保系统满足需求和质量要求。</w:t>
            </w:r>
          </w:p>
        </w:tc>
      </w:tr>
      <w:tr w14:paraId="3D41C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EF2D2A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实施人员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47841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620D7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朱子豪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6C008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负责系统的部署与实施工作；协助完成系统环境配置和系统上线；支持系统交付和用户使用，确保系统能够正常运行。</w:t>
            </w:r>
          </w:p>
        </w:tc>
      </w:tr>
      <w:tr w14:paraId="394625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F9B15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维护人员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4AB72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1CA4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朱子豪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18C75">
            <w:pPr>
              <w:pStyle w:val="21"/>
              <w:widowControl/>
              <w:spacing w:before="187"/>
              <w:ind w:firstLine="538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负责系统运行后的维护与支持工作；处理系统运行过程中出现的问题；根据需要进行系统优化和小规模功能调整，保障系统稳定运行。</w:t>
            </w:r>
          </w:p>
        </w:tc>
      </w:tr>
      <w:tr w14:paraId="7EC8D8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971CD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配置管理员</w:t>
            </w:r>
          </w:p>
        </w:tc>
        <w:tc>
          <w:tcPr>
            <w:tcW w:w="82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F9F9C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1138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szCs w:val="21"/>
              </w:rPr>
              <w:t>李昕哲</w:t>
            </w:r>
          </w:p>
        </w:tc>
        <w:tc>
          <w:tcPr>
            <w:tcW w:w="465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05A65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负责建立和维护项目的配置管理体系；管理项目文档、源代码及版本信息；控制配置项的变更，记录版本变更历史，确保项目资料的完整性和可追溯性。</w:t>
            </w:r>
          </w:p>
        </w:tc>
      </w:tr>
      <w:tr w14:paraId="7D7D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96" w:type="dxa"/>
            <w:tcBorders>
              <w:bottom w:val="single" w:color="auto" w:sz="12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2EC06A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QA</w:t>
            </w:r>
          </w:p>
        </w:tc>
        <w:tc>
          <w:tcPr>
            <w:tcW w:w="823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89DEA">
            <w:pPr>
              <w:widowControl/>
              <w:snapToGrid w:val="0"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1438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EFA2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李昕哲</w:t>
            </w:r>
          </w:p>
        </w:tc>
        <w:tc>
          <w:tcPr>
            <w:tcW w:w="4656" w:type="dxa"/>
            <w:tcBorders>
              <w:bottom w:val="single" w:color="auto" w:sz="12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F12B7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负责制定质量保证计划，对各角色产出的文档及代码进行合规性审计，确保其符合团队统一模板及质量标准。</w:t>
            </w:r>
          </w:p>
        </w:tc>
      </w:tr>
    </w:tbl>
    <w:p w14:paraId="634E9A4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在项目实施过程中，各角色在项目经理的统一协调下开展工作，形成分工明确、协作顺畅的组织体系。通过明确的职责划分，有助于提升项目执行效率，保证校园社团活动管理系统的开发质量和进度。</w:t>
      </w:r>
    </w:p>
    <w:p w14:paraId="59812A66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三、项目预算估计</w:t>
      </w:r>
    </w:p>
    <w:p w14:paraId="2B03C031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本项目预算总额预计为</w:t>
      </w:r>
      <w:r>
        <w:rPr>
          <w:rFonts w:hint="eastAsia"/>
          <w:sz w:val="24"/>
        </w:rPr>
        <w:t>290000</w:t>
      </w:r>
      <w:r>
        <w:rPr>
          <w:sz w:val="24"/>
        </w:rPr>
        <w:t>元，预算周期覆盖项目需求分析、设计、开发、测试、上线及试运行全阶段，按</w:t>
      </w:r>
      <w:r>
        <w:rPr>
          <w:rFonts w:hint="eastAsia" w:ascii="宋体" w:hAnsi="宋体" w:cs="宋体"/>
          <w:sz w:val="24"/>
        </w:rPr>
        <w:t>“按需分配、重点倾斜、严控超支”原则，分为人力成本、软硬件资源成本、其他</w:t>
      </w:r>
      <w:r>
        <w:rPr>
          <w:sz w:val="24"/>
        </w:rPr>
        <w:t>费用三大类，各类别下细分具体费用项目，明确金额、估计依据及责任主体，确保每笔预算支出可追溯、可管控。</w:t>
      </w:r>
    </w:p>
    <w:p w14:paraId="49F0D731">
      <w:pPr>
        <w:spacing w:line="360" w:lineRule="auto"/>
        <w:ind w:firstLine="480" w:firstLineChars="200"/>
        <w:rPr>
          <w:sz w:val="24"/>
        </w:rPr>
      </w:pPr>
      <w:r>
        <w:rPr>
          <w:rFonts w:eastAsiaTheme="minorEastAsia"/>
          <w:sz w:val="24"/>
        </w:rPr>
        <w:t>（1）</w:t>
      </w:r>
      <w:r>
        <w:rPr>
          <w:sz w:val="24"/>
        </w:rPr>
        <w:t>人力成本</w:t>
      </w:r>
    </w:p>
    <w:p w14:paraId="377C3FE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人力成本为项目核心支出，按行业标准薪资水平核算劳务费用，同时预留专业技术咨询费用应对关键技术难题，具体明细如下：</w:t>
      </w: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1289"/>
        <w:gridCol w:w="4934"/>
        <w:gridCol w:w="1241"/>
      </w:tblGrid>
      <w:tr w14:paraId="2B46E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AC573D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B7C3A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99856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5D7DC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50A55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82A01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核心管理团队劳务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03DF0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96000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4BDF0">
            <w:pPr>
              <w:widowControl/>
              <w:jc w:val="left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包含角色：PM（项目负责人）、PSM（技术负责人）、配置管理员；均项目全周期参与（12周=3个月）。薪资标准：PM/PSM月薪12000元，配置管理员月薪8000元；核算方式：（12000×2 + 8000）×3 = 96000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757F0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PM</w:t>
            </w:r>
          </w:p>
        </w:tc>
      </w:tr>
      <w:tr w14:paraId="0BF4C5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4DE4F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开发与测试团队劳务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18346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144000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5D09A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包含角色：需求开发人员、架构设计师、设计人员、编码人员、测试人员、实施人员、维护人员。薪资及周期：需求开发人员/架构设计师月薪10000元（3个月），设计人员月薪12000元（2个月），编码人员月薪10000元（2个月），测试人员月薪8000元（2个月），实施人员/维护人员月薪12000元（各1个月）；核算方式：（10000×2×3）+（12000×2）+（10000×2）+（8000×2）+（12000×2）= 144000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051F3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PSM</w:t>
            </w:r>
          </w:p>
        </w:tc>
      </w:tr>
      <w:tr w14:paraId="03D55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3BABA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外部技术顾问费用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F51C7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121D4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预留2次外部技术咨询费用，用于解决架构设计、多端适配等关键难题，参考市场均价3000元/次，核算方式：3000×2 = 6000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B7005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PSM</w:t>
            </w:r>
          </w:p>
        </w:tc>
      </w:tr>
    </w:tbl>
    <w:p w14:paraId="2B7FA0C9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（2）软硬件资源成本</w:t>
      </w:r>
    </w:p>
    <w:p w14:paraId="5A48184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按项目技术需求采购或租赁商业软硬件资源</w:t>
      </w:r>
      <w:r>
        <w:rPr>
          <w:rFonts w:hint="eastAsia"/>
          <w:sz w:val="24"/>
        </w:rPr>
        <w:t>，</w:t>
      </w:r>
      <w:r>
        <w:rPr>
          <w:sz w:val="24"/>
        </w:rPr>
        <w:t>具体明细如下：</w:t>
      </w:r>
    </w:p>
    <w:p w14:paraId="14FA4A23">
      <w:pPr>
        <w:spacing w:line="360" w:lineRule="auto"/>
        <w:ind w:firstLine="480" w:firstLineChars="200"/>
        <w:rPr>
          <w:sz w:val="24"/>
        </w:rPr>
      </w:pP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1289"/>
        <w:gridCol w:w="4934"/>
        <w:gridCol w:w="1241"/>
      </w:tblGrid>
      <w:tr w14:paraId="62B27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782A2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B2E7B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31647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A635B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20D38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6347E">
            <w:pPr>
              <w:widowControl/>
              <w:jc w:val="center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云服务器租赁费用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8B411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1200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0D867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租赁阿里云ECS云服务器，租赁周期12个月（含开发测试+试运行），按1200元/年标准估计。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AB44C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M</w:t>
            </w:r>
          </w:p>
        </w:tc>
      </w:tr>
      <w:tr w14:paraId="571016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3C749B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开发与测试辅助工具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25ED0">
            <w:pPr>
              <w:widowControl/>
              <w:jc w:val="center"/>
              <w:rPr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6000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C18D3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采购商业版开发测试工具套装，含前端开发框架授权、数据库管理工具、专业性能测试工具（JMeter商业版）及设计插件。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10029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配置管理员</w:t>
            </w:r>
          </w:p>
        </w:tc>
      </w:tr>
      <w:tr w14:paraId="26AAC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49DA54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终端适配测试费用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98B46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5000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0F68F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需覆盖Windows/macOS PC端及主流手机端（华为、小米、苹果），委托第三方专业测试机构提供兼容性测试服务。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FCF26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QA</w:t>
            </w:r>
          </w:p>
        </w:tc>
      </w:tr>
    </w:tbl>
    <w:p w14:paraId="7FB10DFD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（3）其他费用</w:t>
      </w:r>
    </w:p>
    <w:p w14:paraId="4672A25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为项目推进过程中的辅助性支出，金额占比偏低，主要包括文档制作、会议沟通及应急备用金，具体明细如下：</w:t>
      </w:r>
    </w:p>
    <w:tbl>
      <w:tblPr>
        <w:tblStyle w:val="24"/>
        <w:tblW w:w="884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299"/>
        <w:gridCol w:w="4973"/>
        <w:gridCol w:w="1251"/>
      </w:tblGrid>
      <w:tr w14:paraId="329E7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31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BA293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费用项目</w:t>
            </w:r>
          </w:p>
        </w:tc>
        <w:tc>
          <w:tcPr>
            <w:tcW w:w="128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8C49C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  <w:lang w:bidi="ar"/>
              </w:rPr>
              <w:t>估计金额</w:t>
            </w:r>
          </w:p>
        </w:tc>
        <w:tc>
          <w:tcPr>
            <w:tcW w:w="49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B5B07">
            <w:pPr>
              <w:widowControl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估计依据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00AE3">
            <w:pPr>
              <w:widowControl/>
              <w:jc w:val="center"/>
              <w:rPr>
                <w:b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428F0B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344772">
            <w:pPr>
              <w:widowControl/>
              <w:jc w:val="center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文档打印与装订费用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580B5">
            <w:pPr>
              <w:widowControl/>
              <w:jc w:val="center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3000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7849C">
            <w:pPr>
              <w:widowControl/>
              <w:snapToGrid w:val="0"/>
              <w:jc w:val="left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项目全周期需输出需求文档、设计方案、测试报告等各类商业级文档共30份，含专业排版、打印及装订费用，按100元/份标准估计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71AE2">
            <w:pPr>
              <w:widowControl/>
              <w:snapToGrid w:val="0"/>
              <w:jc w:val="center"/>
              <w:rPr>
                <w:szCs w:val="21"/>
              </w:rPr>
            </w:pPr>
            <w:r>
              <w:rPr>
                <w:kern w:val="0"/>
                <w:sz w:val="20"/>
                <w:szCs w:val="20"/>
                <w:lang w:bidi="ar"/>
              </w:rPr>
              <w:t>配置管理员</w:t>
            </w:r>
          </w:p>
        </w:tc>
      </w:tr>
      <w:tr w14:paraId="15535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B6961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项目沟通与评审费用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66709">
            <w:pPr>
              <w:widowControl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2500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B91F9">
            <w:pPr>
              <w:widowControl/>
              <w:snapToGrid w:val="0"/>
              <w:jc w:val="left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计划召开需求评审、设计评审、上线评审等关键会议共5次，含商业会议场地租赁、会议物料准备（投影、打印资料、茶歇）等费用，按500元/次标准估计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BBECC">
            <w:pPr>
              <w:widowControl/>
              <w:snapToGrid w:val="0"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4CD35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1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C6714D">
            <w:pPr>
              <w:widowControl/>
              <w:jc w:val="center"/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应急备用金</w:t>
            </w:r>
          </w:p>
        </w:tc>
        <w:tc>
          <w:tcPr>
            <w:tcW w:w="128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55DC9">
            <w:pPr>
              <w:widowControl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  <w:kern w:val="0"/>
                <w:sz w:val="20"/>
                <w:szCs w:val="20"/>
                <w:lang w:bidi="ar"/>
              </w:rPr>
              <w:t>26370</w:t>
            </w:r>
          </w:p>
        </w:tc>
        <w:tc>
          <w:tcPr>
            <w:tcW w:w="49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B8E15">
            <w:pPr>
              <w:widowControl/>
              <w:snapToGrid w:val="0"/>
              <w:jc w:val="left"/>
              <w:rPr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按项目总预算的10%预留，用于应对突发费用（如服务器临时升级、设备故障维修、需求小范围变更产生的额外成本），核算方式：26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3700</w:t>
            </w: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×10%≈26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300</w:t>
            </w:r>
          </w:p>
        </w:tc>
        <w:tc>
          <w:tcPr>
            <w:tcW w:w="1241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69FF6">
            <w:pPr>
              <w:widowControl/>
              <w:snapToGrid w:val="0"/>
              <w:jc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</w:tbl>
    <w:p w14:paraId="68989291">
      <w:pPr>
        <w:pStyle w:val="2"/>
        <w:numPr>
          <w:ilvl w:val="0"/>
          <w:numId w:val="0"/>
        </w:numPr>
        <w:rPr>
          <w:rFonts w:hint="eastAsia" w:eastAsia="宋体"/>
        </w:rPr>
      </w:pPr>
      <w:r>
        <w:rPr>
          <w:rFonts w:hint="eastAsia" w:eastAsia="宋体"/>
        </w:rPr>
        <w:t>四、项目里程碑计划</w:t>
      </w:r>
    </w:p>
    <w:p w14:paraId="68B02E4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项目里程碑计划基于12周全生命周期制定，明确各关键阶段的里程碑节点、完成时间、核心交付成果、责任主体及验收标准，为项目进度管控提供核心依据，确保各阶段工作有序衔接、目标落地。</w:t>
      </w:r>
    </w:p>
    <w:tbl>
      <w:tblPr>
        <w:tblStyle w:val="24"/>
        <w:tblW w:w="87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1302"/>
        <w:gridCol w:w="3888"/>
        <w:gridCol w:w="2085"/>
      </w:tblGrid>
      <w:tr w14:paraId="44689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0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9ED4485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里程碑名称</w:t>
            </w:r>
          </w:p>
        </w:tc>
        <w:tc>
          <w:tcPr>
            <w:tcW w:w="1302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E6A8885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完成时间</w:t>
            </w:r>
          </w:p>
        </w:tc>
        <w:tc>
          <w:tcPr>
            <w:tcW w:w="388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80426D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核心交付成果</w:t>
            </w:r>
          </w:p>
        </w:tc>
        <w:tc>
          <w:tcPr>
            <w:tcW w:w="208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53D03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责任主体</w:t>
            </w:r>
          </w:p>
        </w:tc>
      </w:tr>
      <w:tr w14:paraId="713038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BE2933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需求分析完成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37659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第2周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4181B6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需求规格说明书；</w:t>
            </w:r>
          </w:p>
          <w:p w14:paraId="621A08DE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需求调研问卷及分析报告；</w:t>
            </w:r>
          </w:p>
          <w:p w14:paraId="1BD3204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3. 需求评审会议纪要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D898E9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需求开发人员+PM</w:t>
            </w:r>
          </w:p>
        </w:tc>
      </w:tr>
      <w:tr w14:paraId="04D2E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1F0C9C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技术设计完成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7A4CA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第4周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7DCAA8C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技术架构方案文档；</w:t>
            </w:r>
          </w:p>
          <w:p w14:paraId="37876FBD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数据库设计说明书；</w:t>
            </w:r>
          </w:p>
          <w:p w14:paraId="61D665F2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UI/UX设计原型；</w:t>
            </w:r>
          </w:p>
          <w:p w14:paraId="7911EF4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设计评审会议纪要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151BA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PSM+架构设计师+设计人员</w:t>
            </w:r>
          </w:p>
        </w:tc>
      </w:tr>
      <w:tr w14:paraId="153E8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980055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5ADF69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第8周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398713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系统前后端代码包（含版本记录）；</w:t>
            </w:r>
          </w:p>
          <w:p w14:paraId="55FFCC2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单元测试报告；</w:t>
            </w:r>
          </w:p>
          <w:p w14:paraId="5146DADD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3. 开发进度总结报告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647381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编码人员+PSM</w:t>
            </w:r>
          </w:p>
        </w:tc>
      </w:tr>
      <w:tr w14:paraId="2339E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AD72FA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4C53F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第10周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3D0D75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测试用例集；</w:t>
            </w:r>
          </w:p>
          <w:p w14:paraId="6C3A113A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功能/性能/兼容性测试报告；</w:t>
            </w:r>
          </w:p>
          <w:p w14:paraId="0AB3C21A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缺陷整改清单及闭环报告；</w:t>
            </w:r>
          </w:p>
          <w:p w14:paraId="2D2A25C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测试评审会议纪要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4F918D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测试人员+QA</w:t>
            </w:r>
          </w:p>
        </w:tc>
      </w:tr>
      <w:tr w14:paraId="21ECF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E6AED4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系统上线完成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1EB65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第11周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46A5FD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系统部署文档；</w:t>
            </w:r>
          </w:p>
          <w:p w14:paraId="515AA816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上线操作手册；</w:t>
            </w:r>
          </w:p>
          <w:p w14:paraId="1DEF3148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上线确认报告；</w:t>
            </w:r>
          </w:p>
          <w:p w14:paraId="7C42501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用户培训PPT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07D11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实施人员+PSM</w:t>
            </w:r>
          </w:p>
        </w:tc>
      </w:tr>
      <w:tr w14:paraId="24DFD4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A12FF7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试运行完成（项目收尾）</w:t>
            </w:r>
          </w:p>
        </w:tc>
        <w:tc>
          <w:tcPr>
            <w:tcW w:w="130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DE3EC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第12周</w:t>
            </w:r>
          </w:p>
        </w:tc>
        <w:tc>
          <w:tcPr>
            <w:tcW w:w="388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1B695B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试运行总结报告；</w:t>
            </w:r>
          </w:p>
          <w:p w14:paraId="28A594B6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用户反馈收集及优化方案；</w:t>
            </w:r>
          </w:p>
          <w:p w14:paraId="7346DCFC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项目验收文档包（含全周期资料汇编）；</w:t>
            </w:r>
          </w:p>
          <w:p w14:paraId="0098ABB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4. 项目总结报告</w:t>
            </w:r>
          </w:p>
        </w:tc>
        <w:tc>
          <w:tcPr>
            <w:tcW w:w="208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FFF17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维护人员+PM+配置管理员</w:t>
            </w:r>
          </w:p>
        </w:tc>
      </w:tr>
    </w:tbl>
    <w:p w14:paraId="39E434D5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PM每周对照里程碑计划梳理进度，在周例会上同步进展；每里程碑节点完成后3个工作日内，提交里程碑完成报告至甲方及项目团队。</w:t>
      </w:r>
    </w:p>
    <w:p w14:paraId="02CB98D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若某里程碑预计延迟超过1个工作日，责任主体需立即提交延迟分析报告及整改措施，由PM组织评审，必要时调整后续里程碑时间或调配资源。</w:t>
      </w:r>
    </w:p>
    <w:p w14:paraId="403BABE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各里程碑验收需形成正式书面文件，由相关干系人签署确认，配置管理员负责归档验收资料，作为项目进度及费用结算的依据。</w:t>
      </w:r>
    </w:p>
    <w:p w14:paraId="4C3F887A">
      <w:pPr>
        <w:pStyle w:val="2"/>
        <w:numPr>
          <w:ilvl w:val="0"/>
          <w:numId w:val="10"/>
        </w:numPr>
      </w:pPr>
      <w:r>
        <w:rPr>
          <w:rFonts w:hint="eastAsia" w:eastAsia="宋体"/>
        </w:rPr>
        <w:t>项目进度安排</w:t>
      </w:r>
    </w:p>
    <w:p w14:paraId="2E1AA54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本项目进度安排以里程碑节点为核心锚点，细化各阶段周度任务、时间分配、责任主体及任务依赖关系，形成“周度管控+阶段衔接”的进度管理体系，确保项目按计划有序推进。</w:t>
      </w:r>
    </w:p>
    <w:p w14:paraId="4F43C5B3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项目总周期：12周（3个月），按核心阶段划分为6个进度模块，各模块时间占比及核心目标如下：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181"/>
        <w:gridCol w:w="1163"/>
        <w:gridCol w:w="4762"/>
      </w:tblGrid>
      <w:tr w14:paraId="26967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04383E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进度模块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EEA906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时间范围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D70074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时间占比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3394199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b/>
                <w:bCs/>
                <w:kern w:val="0"/>
                <w:szCs w:val="21"/>
                <w:lang w:bidi="ar"/>
              </w:rPr>
              <w:t>核心目标</w:t>
            </w:r>
          </w:p>
        </w:tc>
      </w:tr>
      <w:tr w14:paraId="07E789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4F2F9B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需求分析阶段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63FEB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第1-2周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F2F5C5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F74A3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完成全量需求调研与梳理，输出确认的需求规格说明书</w:t>
            </w:r>
          </w:p>
        </w:tc>
      </w:tr>
      <w:tr w14:paraId="3F948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888878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技术设计阶段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C34F5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第3-4周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7C83AB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80499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完成技术架构、数据库及UI设计，输出可落地的设计方案</w:t>
            </w:r>
          </w:p>
        </w:tc>
      </w:tr>
      <w:tr w14:paraId="05F56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000F84A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开发实施阶段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042189C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第5-8周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2B6D77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33.3%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74ABF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完成系统前后端开发及单元测试，实现核心功能模块落地</w:t>
            </w:r>
          </w:p>
        </w:tc>
      </w:tr>
      <w:tr w14:paraId="79747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2B9AB1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测试优化阶段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E65DF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第9-10周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AF8BD1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893CEE2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完成全量测试及缺陷整改，确保系统功能稳定、性能达标</w:t>
            </w:r>
          </w:p>
        </w:tc>
      </w:tr>
      <w:tr w14:paraId="7A4A0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3AA93F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上线部署阶段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FA1D0D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第11周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33964C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BDBCCBB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完成系统部署上线及首轮用户培训，实现系统正常访问使用</w:t>
            </w:r>
          </w:p>
        </w:tc>
      </w:tr>
      <w:tr w14:paraId="1FC61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4580094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试运行收尾阶段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F1AE13E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第12周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3FD93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7C2C8D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完成系统试运行及用户反馈整改，输出项目验收资料包</w:t>
            </w:r>
          </w:p>
        </w:tc>
      </w:tr>
    </w:tbl>
    <w:p w14:paraId="0CA6245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以周为单位明确具体任务、责任主体、交付成果及依赖条件，确保任务可执行、进度可跟踪：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6"/>
        <w:gridCol w:w="2145"/>
        <w:gridCol w:w="2332"/>
        <w:gridCol w:w="2995"/>
      </w:tblGrid>
      <w:tr w14:paraId="5E251F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CCC0367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周次</w:t>
            </w:r>
          </w:p>
        </w:tc>
        <w:tc>
          <w:tcPr>
            <w:tcW w:w="2145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AB674E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核心任务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FA6C97D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8CBC6B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交付成果</w:t>
            </w:r>
          </w:p>
        </w:tc>
      </w:tr>
      <w:tr w14:paraId="322FD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1478744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1D1B5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项目启动会议；</w:t>
            </w:r>
          </w:p>
          <w:p w14:paraId="37AD9D36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甲方/社团需求调研；</w:t>
            </w:r>
          </w:p>
          <w:p w14:paraId="1A74EF9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需求问卷设计与发放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3185EE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PM+需求开发人员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FE9998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项目启动会议纪要；</w:t>
            </w:r>
          </w:p>
          <w:p w14:paraId="4A571A7C">
            <w:pPr>
              <w:widowControl/>
              <w:numPr>
                <w:ilvl w:val="0"/>
                <w:numId w:val="1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需求调研记录；</w:t>
            </w:r>
          </w:p>
          <w:p w14:paraId="0A9FDEB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需求问卷</w:t>
            </w:r>
          </w:p>
        </w:tc>
      </w:tr>
      <w:tr w14:paraId="50B9AC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0C6B74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第2周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71E228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需求问卷回收与分析；</w:t>
            </w:r>
          </w:p>
          <w:p w14:paraId="35FDD766">
            <w:pPr>
              <w:widowControl/>
              <w:numPr>
                <w:ilvl w:val="0"/>
                <w:numId w:val="1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需求规格说明书编写；</w:t>
            </w:r>
          </w:p>
          <w:p w14:paraId="663D26BD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需求评审会议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30413D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需求开发人员+PM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796675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需求分析报告；</w:t>
            </w:r>
          </w:p>
          <w:p w14:paraId="725C8A6A">
            <w:pPr>
              <w:widowControl/>
              <w:numPr>
                <w:ilvl w:val="0"/>
                <w:numId w:val="1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确认版需求规格说明书；</w:t>
            </w:r>
          </w:p>
          <w:p w14:paraId="633704A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需求评审纪要</w:t>
            </w:r>
          </w:p>
        </w:tc>
      </w:tr>
      <w:tr w14:paraId="4955FB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E0AF39F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第3周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3106BD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技术架构方案设计；</w:t>
            </w:r>
          </w:p>
          <w:p w14:paraId="44DC2A65">
            <w:pPr>
              <w:widowControl/>
              <w:numPr>
                <w:ilvl w:val="0"/>
                <w:numId w:val="1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数据库表结构设计；</w:t>
            </w:r>
          </w:p>
          <w:p w14:paraId="4D53453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UI设计需求梳理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E928D9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PSM+架构设计师+设计人员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4DDDED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技术架构草案；</w:t>
            </w:r>
          </w:p>
          <w:p w14:paraId="7147964D">
            <w:pPr>
              <w:widowControl/>
              <w:numPr>
                <w:ilvl w:val="0"/>
                <w:numId w:val="1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数据库设计草案；</w:t>
            </w:r>
          </w:p>
          <w:p w14:paraId="625DF391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UI设计需求清单</w:t>
            </w:r>
          </w:p>
        </w:tc>
      </w:tr>
      <w:tr w14:paraId="0C977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2A1714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第4周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8364B9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技术方案优化与确认；</w:t>
            </w:r>
          </w:p>
          <w:p w14:paraId="79BBBBF6">
            <w:pPr>
              <w:widowControl/>
              <w:numPr>
                <w:ilvl w:val="0"/>
                <w:numId w:val="1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UI原型设计；</w:t>
            </w:r>
          </w:p>
          <w:p w14:paraId="3226CA6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设计评审会议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2F169A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PSM+架构设计师+设计人员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A82D53B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确认版技术架构方案；</w:t>
            </w:r>
          </w:p>
          <w:p w14:paraId="183B169F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数据库设计说明书；</w:t>
            </w:r>
          </w:p>
          <w:p w14:paraId="2DDF919A">
            <w:pPr>
              <w:widowControl/>
              <w:numPr>
                <w:ilvl w:val="0"/>
                <w:numId w:val="1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UI设计原型；</w:t>
            </w:r>
          </w:p>
          <w:p w14:paraId="74E1917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设计评审纪要</w:t>
            </w:r>
          </w:p>
        </w:tc>
      </w:tr>
      <w:tr w14:paraId="40979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9192F6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第5-6周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3C3020">
            <w:pPr>
              <w:widowControl/>
              <w:numPr>
                <w:ilvl w:val="0"/>
                <w:numId w:val="1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开发环境搭建；</w:t>
            </w:r>
          </w:p>
          <w:p w14:paraId="0E0F0DD3">
            <w:pPr>
              <w:widowControl/>
              <w:numPr>
                <w:ilvl w:val="0"/>
                <w:numId w:val="1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系统后端核心模块开发；</w:t>
            </w:r>
          </w:p>
          <w:p w14:paraId="7292151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前端页面框架开发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401175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编码人员+PSM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9EAAA51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搭建完成的开发环境；</w:t>
            </w:r>
          </w:p>
          <w:p w14:paraId="1A94C616">
            <w:pPr>
              <w:widowControl/>
              <w:numPr>
                <w:ilvl w:val="0"/>
                <w:numId w:val="2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后端核心模块代码；</w:t>
            </w:r>
          </w:p>
          <w:p w14:paraId="587FF99B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前端页面框架</w:t>
            </w:r>
          </w:p>
        </w:tc>
      </w:tr>
      <w:tr w14:paraId="75AEEE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1AE9A62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第7-8周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655FCA">
            <w:pPr>
              <w:widowControl/>
              <w:numPr>
                <w:ilvl w:val="0"/>
                <w:numId w:val="21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前后端对接与联调；</w:t>
            </w:r>
          </w:p>
          <w:p w14:paraId="3618BF72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2. 剩余功能模块开发；</w:t>
            </w:r>
          </w:p>
          <w:p w14:paraId="6E75440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单元测试与代码优化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BF31DC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编码人员+PSM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E887AE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完整系统代码包；</w:t>
            </w:r>
          </w:p>
          <w:p w14:paraId="0BAA1859">
            <w:pPr>
              <w:widowControl/>
              <w:numPr>
                <w:ilvl w:val="0"/>
                <w:numId w:val="22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单元测试报告；</w:t>
            </w:r>
          </w:p>
          <w:p w14:paraId="1774C4CF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代码版本记录</w:t>
            </w:r>
          </w:p>
        </w:tc>
      </w:tr>
      <w:tr w14:paraId="467BDA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3081707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第9周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6844D3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测试用例设计；</w:t>
            </w:r>
          </w:p>
          <w:p w14:paraId="53255853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功能测试与性能测试；</w:t>
            </w:r>
          </w:p>
          <w:p w14:paraId="5ABA43CA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缺陷排查与记录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C77BD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测试人员+QA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DE6D0AF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测试用例集；</w:t>
            </w:r>
          </w:p>
          <w:p w14:paraId="3AE07A6E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首轮测试报告；</w:t>
            </w:r>
          </w:p>
          <w:p w14:paraId="50C591EC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缺陷清单</w:t>
            </w:r>
          </w:p>
        </w:tc>
      </w:tr>
      <w:tr w14:paraId="65E87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889DDC3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第10周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C0D2F65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缺陷整改；</w:t>
            </w:r>
          </w:p>
          <w:p w14:paraId="20E02051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回归测试；</w:t>
            </w:r>
          </w:p>
          <w:p w14:paraId="5144892F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兼容性测试；</w:t>
            </w:r>
          </w:p>
          <w:p w14:paraId="4D4FAE0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测试评审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4D4609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测试人员+编码人员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897796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缺陷整改闭环报告；</w:t>
            </w:r>
          </w:p>
          <w:p w14:paraId="4EBD9852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最终测试报告；</w:t>
            </w:r>
          </w:p>
          <w:p w14:paraId="5A897208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3. 测试评审纪要</w:t>
            </w:r>
          </w:p>
        </w:tc>
      </w:tr>
      <w:tr w14:paraId="48253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2B00898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第11周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6467A5F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云服务器配置；</w:t>
            </w:r>
          </w:p>
          <w:p w14:paraId="68D16F77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系统部署与上线；</w:t>
            </w:r>
          </w:p>
          <w:p w14:paraId="45AE2A15">
            <w:pPr>
              <w:widowControl/>
              <w:numPr>
                <w:ilvl w:val="0"/>
                <w:numId w:val="27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用户培训材料编写；</w:t>
            </w:r>
          </w:p>
          <w:p w14:paraId="45913927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首轮用户培训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4A589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实施人员+PSM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36A23B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系统部署文档；</w:t>
            </w:r>
          </w:p>
          <w:p w14:paraId="54FA7C96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上线确认报告；</w:t>
            </w:r>
          </w:p>
          <w:p w14:paraId="288A6773">
            <w:pPr>
              <w:widowControl/>
              <w:numPr>
                <w:ilvl w:val="0"/>
                <w:numId w:val="28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用户培训PPT；</w:t>
            </w:r>
          </w:p>
          <w:p w14:paraId="60AF8243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培训记录</w:t>
            </w:r>
          </w:p>
        </w:tc>
      </w:tr>
      <w:tr w14:paraId="49EEB7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7844886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第12周</w:t>
            </w:r>
          </w:p>
        </w:tc>
        <w:tc>
          <w:tcPr>
            <w:tcW w:w="2145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DF1327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系统试运行支持；</w:t>
            </w:r>
          </w:p>
          <w:p w14:paraId="70EE63CE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用户反馈收集与整改；</w:t>
            </w:r>
          </w:p>
          <w:p w14:paraId="0477CF39">
            <w:pPr>
              <w:widowControl/>
              <w:numPr>
                <w:ilvl w:val="0"/>
                <w:numId w:val="29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项目验收资料汇编；</w:t>
            </w:r>
          </w:p>
          <w:p w14:paraId="03557B14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4. 项目总结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15F58AE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维护人员+PM+配置管理员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D9B758">
            <w:pPr>
              <w:widowControl/>
              <w:numPr>
                <w:ilvl w:val="0"/>
                <w:numId w:val="30"/>
              </w:numPr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试运行总结报告；</w:t>
            </w:r>
          </w:p>
          <w:p w14:paraId="585B8449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2. 项目验收文档包；3. 项目总结报告</w:t>
            </w:r>
          </w:p>
        </w:tc>
      </w:tr>
    </w:tbl>
    <w:p w14:paraId="74EFB728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风险管理计划</w:t>
      </w:r>
    </w:p>
    <w:p w14:paraId="72CBE68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风险管理计划基于校园社团活动管理系统的项目特性，聚焦核心风险领域，实现“提前预判、精准应对、动态管控”。</w:t>
      </w:r>
    </w:p>
    <w:tbl>
      <w:tblPr>
        <w:tblStyle w:val="24"/>
        <w:tblW w:w="882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666"/>
        <w:gridCol w:w="1045"/>
        <w:gridCol w:w="2328"/>
        <w:gridCol w:w="2678"/>
        <w:gridCol w:w="1187"/>
      </w:tblGrid>
      <w:tr w14:paraId="038ACA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53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57400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eastAsia="宋体"/>
                <w:b/>
                <w:bCs/>
                <w:sz w:val="20"/>
                <w:szCs w:val="21"/>
              </w:rPr>
            </w:pPr>
            <w:r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  <w:t>风险描述</w:t>
            </w:r>
          </w:p>
        </w:tc>
        <w:tc>
          <w:tcPr>
            <w:tcW w:w="670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1145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eastAsia="宋体"/>
                <w:b/>
                <w:bCs/>
                <w:sz w:val="20"/>
                <w:szCs w:val="21"/>
              </w:rPr>
            </w:pPr>
            <w:r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  <w:t>风险等级</w:t>
            </w:r>
          </w:p>
        </w:tc>
        <w:tc>
          <w:tcPr>
            <w:tcW w:w="1070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6B488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eastAsia="宋体"/>
                <w:b/>
                <w:bCs/>
                <w:sz w:val="20"/>
                <w:szCs w:val="21"/>
              </w:rPr>
            </w:pPr>
            <w:r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  <w:t>影响阶段</w:t>
            </w:r>
          </w:p>
        </w:tc>
        <w:tc>
          <w:tcPr>
            <w:tcW w:w="241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DE1C7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  <w:t>主要影响</w:t>
            </w:r>
          </w:p>
        </w:tc>
        <w:tc>
          <w:tcPr>
            <w:tcW w:w="2770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8BE92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eastAsia="宋体"/>
                <w:b/>
                <w:bCs/>
                <w:sz w:val="20"/>
                <w:szCs w:val="21"/>
              </w:rPr>
            </w:pPr>
            <w:r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  <w:t>应对措施</w:t>
            </w:r>
          </w:p>
        </w:tc>
        <w:tc>
          <w:tcPr>
            <w:tcW w:w="952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38F9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Times New Roman" w:eastAsia="宋体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宋体" w:eastAsia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14:paraId="17F371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FEE7A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甲方需求变更频繁</w:t>
            </w:r>
          </w:p>
        </w:tc>
        <w:tc>
          <w:tcPr>
            <w:tcW w:w="6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CA29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0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5BC98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需求-设计阶段</w:t>
            </w:r>
          </w:p>
        </w:tc>
        <w:tc>
          <w:tcPr>
            <w:tcW w:w="24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BF6A4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项目进度延误，里程碑节点难以按期完成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人力成本增加，超出原定预算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团队频繁切换工作内容，开发效率下降</w:t>
            </w:r>
          </w:p>
        </w:tc>
        <w:tc>
          <w:tcPr>
            <w:tcW w:w="27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0C8DE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项目初期明确需求基线并由甲方签署确认；建立需求变更审批流程，变更前评估对进度、成本的影响；限定微小变更每月不超过2次</w:t>
            </w:r>
          </w:p>
        </w:tc>
        <w:tc>
          <w:tcPr>
            <w:tcW w:w="95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6C896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29D51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8742F5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核心任务进度滞后</w:t>
            </w:r>
          </w:p>
        </w:tc>
        <w:tc>
          <w:tcPr>
            <w:tcW w:w="6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089C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高</w:t>
            </w:r>
          </w:p>
        </w:tc>
        <w:tc>
          <w:tcPr>
            <w:tcW w:w="10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313F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开发-测试阶段</w:t>
            </w:r>
          </w:p>
        </w:tc>
        <w:tc>
          <w:tcPr>
            <w:tcW w:w="24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9D748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测试时间被压缩，质量风险上升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上线时间推迟，影响新学期社团活动使用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项目整体交付可信度下降</w:t>
            </w:r>
          </w:p>
        </w:tc>
        <w:tc>
          <w:tcPr>
            <w:tcW w:w="27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13DFF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实行周度进度跟踪机制，PM每周组织例会同步进展；关键任务提前预留1-2天缓冲时间；滞后时及时协调跨角色资源支援</w:t>
            </w:r>
          </w:p>
        </w:tc>
        <w:tc>
          <w:tcPr>
            <w:tcW w:w="95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44F0E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PM+PSM</w:t>
            </w:r>
          </w:p>
        </w:tc>
      </w:tr>
      <w:tr w14:paraId="309FA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4C00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技术难题无法突破</w:t>
            </w:r>
          </w:p>
        </w:tc>
        <w:tc>
          <w:tcPr>
            <w:tcW w:w="6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84F4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0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5EBD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设计-开发阶段</w:t>
            </w:r>
          </w:p>
        </w:tc>
        <w:tc>
          <w:tcPr>
            <w:tcW w:w="24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70689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架构稳定性和系统性能存在隐患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引入外部支持导致额外成本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技术方案调整可能引发连锁修改</w:t>
            </w:r>
          </w:p>
        </w:tc>
        <w:tc>
          <w:tcPr>
            <w:tcW w:w="27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5BF51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设计阶段组织外部技术顾问参与评审；提前开展核心技术预研；遇到难题时24小时内启动外部顾问支援机制</w:t>
            </w:r>
          </w:p>
        </w:tc>
        <w:tc>
          <w:tcPr>
            <w:tcW w:w="95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97E4F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</w:t>
            </w:r>
          </w:p>
        </w:tc>
      </w:tr>
      <w:tr w14:paraId="3D81D6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B346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系统上线后重大缺陷</w:t>
            </w:r>
          </w:p>
        </w:tc>
        <w:tc>
          <w:tcPr>
            <w:tcW w:w="6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6DE3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中</w:t>
            </w:r>
          </w:p>
        </w:tc>
        <w:tc>
          <w:tcPr>
            <w:tcW w:w="10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89D2F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上线-试运行阶段</w:t>
            </w:r>
          </w:p>
        </w:tc>
        <w:tc>
          <w:tcPr>
            <w:tcW w:w="24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60CD1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用户使用体验严重下降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社团活动管理工作受影响，可能回退人工流程</w:t>
            </w:r>
            <w:r>
              <w:rPr>
                <w:rFonts w:hint="eastAsia"/>
                <w:kern w:val="0"/>
                <w:sz w:val="20"/>
                <w:szCs w:val="20"/>
                <w:lang w:eastAsia="zh-CN" w:bidi="ar"/>
              </w:rPr>
              <w:t>；</w:t>
            </w:r>
            <w:r>
              <w:rPr>
                <w:kern w:val="0"/>
                <w:sz w:val="20"/>
                <w:szCs w:val="20"/>
                <w:lang w:bidi="ar"/>
              </w:rPr>
              <w:t>项目团队需紧急投入大量运维与修复资源</w:t>
            </w:r>
          </w:p>
        </w:tc>
        <w:tc>
          <w:tcPr>
            <w:tcW w:w="2770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2D172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测试阶段执行全量测试（功能、性能、兼容性），关键功能安排交叉测试；上线前进行灰度测试；试运行阶段建立24小时缺陷响应机制</w:t>
            </w:r>
          </w:p>
        </w:tc>
        <w:tc>
          <w:tcPr>
            <w:tcW w:w="952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9ACD2">
            <w:pPr>
              <w:widowControl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测试人员</w:t>
            </w:r>
          </w:p>
        </w:tc>
      </w:tr>
    </w:tbl>
    <w:p w14:paraId="58CE9E37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质量管理计划</w:t>
      </w:r>
    </w:p>
    <w:p w14:paraId="69FAD70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质量管理计划聚焦系统核心质量要求，通过关键节点把控与责任分工，确保项目交付符合需求标准</w:t>
      </w:r>
      <w:r>
        <w:rPr>
          <w:rFonts w:hint="eastAsia"/>
          <w:sz w:val="24"/>
        </w:rPr>
        <w:t>。</w:t>
      </w:r>
    </w:p>
    <w:p w14:paraId="6667D626">
      <w:pPr>
        <w:spacing w:line="360" w:lineRule="auto"/>
        <w:ind w:firstLine="480" w:firstLineChars="200"/>
        <w:rPr>
          <w:rFonts w:hint="eastAsia"/>
          <w:sz w:val="24"/>
        </w:rPr>
      </w:pPr>
    </w:p>
    <w:p w14:paraId="735FA619">
      <w:pPr>
        <w:spacing w:line="360" w:lineRule="auto"/>
        <w:ind w:firstLine="480" w:firstLineChars="200"/>
        <w:rPr>
          <w:rFonts w:hint="eastAsia"/>
          <w:sz w:val="24"/>
        </w:rPr>
      </w:pPr>
    </w:p>
    <w:tbl>
      <w:tblPr>
        <w:tblStyle w:val="24"/>
        <w:tblW w:w="8822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3058"/>
        <w:gridCol w:w="2767"/>
        <w:gridCol w:w="1863"/>
      </w:tblGrid>
      <w:tr w14:paraId="66E66D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1134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178A9F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核心维度</w:t>
            </w:r>
          </w:p>
        </w:tc>
        <w:tc>
          <w:tcPr>
            <w:tcW w:w="305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DCB41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关键要求</w:t>
            </w:r>
          </w:p>
        </w:tc>
        <w:tc>
          <w:tcPr>
            <w:tcW w:w="2767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B601F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控制措施</w:t>
            </w:r>
          </w:p>
        </w:tc>
        <w:tc>
          <w:tcPr>
            <w:tcW w:w="1863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4122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14:paraId="5C851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10F60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功能质量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B160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核心功能 100% 符合需求，非核心缺陷率＜0.5%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7E554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阶段评审 + 全量测试，关键功能交叉验证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58D9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测试人员 + QA</w:t>
            </w:r>
          </w:p>
        </w:tc>
      </w:tr>
      <w:tr w14:paraId="37DBF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58395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性能质量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C849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单操作响应≤2 秒，支持 500 人同时在线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7618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性能测试 + 上线前压力测试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48B2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测试人员 + PSM</w:t>
            </w:r>
          </w:p>
        </w:tc>
      </w:tr>
      <w:tr w14:paraId="2B3950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259B28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兼容性质量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DF52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覆盖主流 PC / 手机端浏览器 / APP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34FD5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第三方适配测试 + 灰度验证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A76B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QA + 实施人员</w:t>
            </w:r>
          </w:p>
        </w:tc>
      </w:tr>
      <w:tr w14:paraId="7DBF4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D60307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文档质量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F10A4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符合统一模板，关键信息完整无错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290A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QA 每周合规性审计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926B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 + QA</w:t>
            </w:r>
          </w:p>
        </w:tc>
      </w:tr>
      <w:tr w14:paraId="02C78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BCF8A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安全质量</w:t>
            </w:r>
          </w:p>
        </w:tc>
        <w:tc>
          <w:tcPr>
            <w:tcW w:w="305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5ABB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密码加密存储，无越权访问 / 数据泄露</w:t>
            </w:r>
          </w:p>
        </w:tc>
        <w:tc>
          <w:tcPr>
            <w:tcW w:w="2767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84E83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安全测试 + 权限管控设计</w:t>
            </w:r>
          </w:p>
        </w:tc>
        <w:tc>
          <w:tcPr>
            <w:tcW w:w="1863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8CDB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架构设计师 + 测试人员</w:t>
            </w:r>
          </w:p>
        </w:tc>
      </w:tr>
    </w:tbl>
    <w:p w14:paraId="0FB6DD5C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配置管理计划</w:t>
      </w:r>
    </w:p>
    <w:p w14:paraId="4AFFAA4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配置管理计划规范核心配置项的版本、变更与存储，确保可追溯、无混乱</w:t>
      </w:r>
      <w:r>
        <w:rPr>
          <w:rFonts w:hint="eastAsia"/>
          <w:sz w:val="24"/>
        </w:rPr>
        <w:t>。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3798"/>
        <w:gridCol w:w="2132"/>
        <w:gridCol w:w="1319"/>
      </w:tblGrid>
      <w:tr w14:paraId="650B2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1249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3544D5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管理模块</w:t>
            </w:r>
          </w:p>
        </w:tc>
        <w:tc>
          <w:tcPr>
            <w:tcW w:w="3798" w:type="dxa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E78B2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核心内容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90BEC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执行要求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B2C9C">
            <w:pPr>
              <w:widowControl/>
              <w:spacing w:line="240" w:lineRule="atLeas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责任主体</w:t>
            </w:r>
          </w:p>
        </w:tc>
      </w:tr>
      <w:tr w14:paraId="273061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14E9D5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配置项范围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B798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文档类（需求 / 设计 / 测试 / 部署文档）、代码类（前后端代码 / 脚本）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11DB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建立统一台账，分级管控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D8C69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  <w:tr w14:paraId="28B69D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2A7DE6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版本管理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C932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采用 “主。次. 修订” 版号（如 V1.0.0），提交需注明修改说明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54A21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统一存储于 Git 仓库，按阶段分类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9B877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各角色</w:t>
            </w:r>
          </w:p>
        </w:tc>
      </w:tr>
      <w:tr w14:paraId="49282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128C0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变更控制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5074C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变更需提交申请，经 PM/PSM 评审后实施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5B545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记录变更历史，确保可追溯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7E20F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PM + 配置管理员</w:t>
            </w:r>
          </w:p>
        </w:tc>
      </w:tr>
      <w:tr w14:paraId="3353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49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854828">
            <w:pPr>
              <w:widowControl/>
              <w:spacing w:line="240" w:lineRule="atLeast"/>
              <w:jc w:val="center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存储备份</w:t>
            </w:r>
          </w:p>
        </w:tc>
        <w:tc>
          <w:tcPr>
            <w:tcW w:w="3798" w:type="dxa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DF236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核心配置项 “本地 + 云端” 双重备份，每周同步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1C6A0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权限分级管控，仅相关角色可访问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DCD22">
            <w:pPr>
              <w:widowControl/>
              <w:spacing w:line="240" w:lineRule="atLeast"/>
              <w:jc w:val="left"/>
              <w:rPr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配置管理员</w:t>
            </w:r>
          </w:p>
        </w:tc>
      </w:tr>
    </w:tbl>
    <w:p w14:paraId="4FC03E01">
      <w:pPr>
        <w:pStyle w:val="2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沟通计划</w:t>
      </w:r>
    </w:p>
    <w:p w14:paraId="0FC79558">
      <w:pPr>
        <w:spacing w:line="360" w:lineRule="auto"/>
        <w:ind w:firstLine="480" w:firstLineChars="200"/>
        <w:rPr>
          <w:sz w:val="24"/>
        </w:rPr>
      </w:pPr>
      <w:bookmarkStart w:id="3" w:name="_Hlk217497248"/>
      <w:r>
        <w:rPr>
          <w:sz w:val="24"/>
        </w:rPr>
        <w:t>沟通计划旨在建立项目全生命周期内高效、精准的信息传递机制，明确沟通目标、对象、内容、方式、频率及责任主体，确保核心干系人及时同步项目信息、协同解决问题，规避因沟通不畅导致的需求偏差、进度滞后等风险，保障项目顺利推进。</w:t>
      </w:r>
    </w:p>
    <w:tbl>
      <w:tblPr>
        <w:tblStyle w:val="24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594"/>
        <w:gridCol w:w="1460"/>
        <w:gridCol w:w="1747"/>
        <w:gridCol w:w="987"/>
      </w:tblGrid>
      <w:tr w14:paraId="25753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B916B9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沟通对象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5A9BB88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沟通内容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8C21DA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沟通方式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9FB930B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频率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44E796">
            <w:pPr>
              <w:widowControl/>
              <w:jc w:val="center"/>
              <w:textAlignment w:val="top"/>
              <w:rPr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 w:val="20"/>
                <w:szCs w:val="20"/>
                <w:lang w:bidi="ar"/>
              </w:rPr>
              <w:t>责任主体</w:t>
            </w:r>
          </w:p>
        </w:tc>
      </w:tr>
      <w:tr w14:paraId="216FE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BC3EBCE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甲方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3A0FCF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项目月度进度、预算执行情况、重大风险及应对措施、需求变更审批、阶段里程碑验收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C7D471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正式会议+书面报告+邮件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D1D6E30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每月1次常规沟通+阶段节点必沟通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18F4B0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7498B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D2B7AFD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核心团队（PM/PSM/开发/测试等）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81A17EC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周度任务进展、技术难题协同、资源需求协调、进度滞后整改方案、下周工作计划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1494AC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周例会+企业微信即时沟通+技术研讨会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C985F74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每周1次周例会+日常实时沟通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C92BE3C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PM</w:t>
            </w:r>
          </w:p>
        </w:tc>
      </w:tr>
      <w:tr w14:paraId="736D6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190AC0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社团负责人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24EC8D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需求确认及细化、设计原型反馈、测试用例审核、系统试运行体验反馈、验收标准对齐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93ACCD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需求/设计评审会+原型演示会+一对一访谈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58E433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需求/设计阶段每周1次+测试/试运行阶段关键节点沟通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376D6B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需求开发人员</w:t>
            </w:r>
          </w:p>
        </w:tc>
      </w:tr>
      <w:tr w14:paraId="0E417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680F135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第三方服务商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B260C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服务交付标准、交付时间节点、技术参数对接、服务过程问题整改、费用结算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37D363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商务对接会+技术对接群+邮件+正式协议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9B56B09">
            <w:pPr>
              <w:widowControl/>
              <w:jc w:val="left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合作启动1次全面对接+服务过程中按需沟通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D80B97">
            <w:pPr>
              <w:widowControl/>
              <w:jc w:val="center"/>
              <w:textAlignment w:val="top"/>
              <w:rPr>
                <w:kern w:val="0"/>
                <w:sz w:val="20"/>
                <w:szCs w:val="20"/>
                <w:lang w:bidi="ar"/>
              </w:rPr>
            </w:pPr>
            <w:r>
              <w:rPr>
                <w:kern w:val="0"/>
                <w:sz w:val="20"/>
                <w:szCs w:val="20"/>
                <w:lang w:bidi="ar"/>
              </w:rPr>
              <w:t>PSM</w:t>
            </w:r>
          </w:p>
        </w:tc>
      </w:tr>
      <w:bookmarkEnd w:id="3"/>
    </w:tbl>
    <w:p w14:paraId="0E444958"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EF94C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B1B33">
    <w:pPr>
      <w:pStyle w:val="17"/>
      <w:ind w:right="-40"/>
    </w:pPr>
    <w:r>
      <w:tab/>
    </w:r>
    <w:r>
      <w:tab/>
    </w:r>
  </w:p>
  <w:p w14:paraId="610F603F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5EC404F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677F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1B036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07D37"/>
    <w:multiLevelType w:val="singleLevel"/>
    <w:tmpl w:val="81D07D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7408F4"/>
    <w:multiLevelType w:val="singleLevel"/>
    <w:tmpl w:val="827408F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74EDF5B"/>
    <w:multiLevelType w:val="singleLevel"/>
    <w:tmpl w:val="974EDF5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9D9B41B"/>
    <w:multiLevelType w:val="singleLevel"/>
    <w:tmpl w:val="99D9B41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1A6FD06"/>
    <w:multiLevelType w:val="singleLevel"/>
    <w:tmpl w:val="A1A6FD0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6024DE4"/>
    <w:multiLevelType w:val="singleLevel"/>
    <w:tmpl w:val="A6024DE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70662AA"/>
    <w:multiLevelType w:val="singleLevel"/>
    <w:tmpl w:val="B70662A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9305A51"/>
    <w:multiLevelType w:val="singleLevel"/>
    <w:tmpl w:val="C9305A5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DC6820F"/>
    <w:multiLevelType w:val="singleLevel"/>
    <w:tmpl w:val="CDC6820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D37DB74E"/>
    <w:multiLevelType w:val="singleLevel"/>
    <w:tmpl w:val="D37DB74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C9186A4"/>
    <w:multiLevelType w:val="singleLevel"/>
    <w:tmpl w:val="DC9186A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DF0EE37E"/>
    <w:multiLevelType w:val="singleLevel"/>
    <w:tmpl w:val="DF0EE37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E6841193"/>
    <w:multiLevelType w:val="singleLevel"/>
    <w:tmpl w:val="E684119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F5CB119"/>
    <w:multiLevelType w:val="singleLevel"/>
    <w:tmpl w:val="EF5CB119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997D247"/>
    <w:multiLevelType w:val="singleLevel"/>
    <w:tmpl w:val="F997D247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0C93FCEA"/>
    <w:multiLevelType w:val="singleLevel"/>
    <w:tmpl w:val="0C93FCE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1123E055"/>
    <w:multiLevelType w:val="singleLevel"/>
    <w:tmpl w:val="1123E055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19F092A"/>
    <w:multiLevelType w:val="singleLevel"/>
    <w:tmpl w:val="119F092A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159E2DB4"/>
    <w:multiLevelType w:val="singleLevel"/>
    <w:tmpl w:val="159E2DB4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1">
    <w:nsid w:val="1E4C6A4D"/>
    <w:multiLevelType w:val="singleLevel"/>
    <w:tmpl w:val="1E4C6A4D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26B50F59"/>
    <w:multiLevelType w:val="singleLevel"/>
    <w:tmpl w:val="26B50F59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4015998E"/>
    <w:multiLevelType w:val="singleLevel"/>
    <w:tmpl w:val="4015998E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45DE9CFB"/>
    <w:multiLevelType w:val="singleLevel"/>
    <w:tmpl w:val="45DE9CFB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4D90E966"/>
    <w:multiLevelType w:val="singleLevel"/>
    <w:tmpl w:val="4D90E966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52E0C403"/>
    <w:multiLevelType w:val="singleLevel"/>
    <w:tmpl w:val="52E0C403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5EA7CB08"/>
    <w:multiLevelType w:val="singleLevel"/>
    <w:tmpl w:val="5EA7CB08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6A973505"/>
    <w:multiLevelType w:val="singleLevel"/>
    <w:tmpl w:val="6A973505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6EA57338"/>
    <w:multiLevelType w:val="singleLevel"/>
    <w:tmpl w:val="6EA57338"/>
    <w:lvl w:ilvl="0" w:tentative="0">
      <w:start w:val="1"/>
      <w:numFmt w:val="decimal"/>
      <w:suff w:val="space"/>
      <w:lvlText w:val="%1."/>
      <w:lvlJc w:val="left"/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4"/>
  </w:num>
  <w:num w:numId="4">
    <w:abstractNumId w:val="7"/>
  </w:num>
  <w:num w:numId="5">
    <w:abstractNumId w:val="29"/>
  </w:num>
  <w:num w:numId="6">
    <w:abstractNumId w:val="22"/>
  </w:num>
  <w:num w:numId="7">
    <w:abstractNumId w:val="12"/>
  </w:num>
  <w:num w:numId="8">
    <w:abstractNumId w:val="5"/>
  </w:num>
  <w:num w:numId="9">
    <w:abstractNumId w:val="19"/>
  </w:num>
  <w:num w:numId="10">
    <w:abstractNumId w:val="11"/>
  </w:num>
  <w:num w:numId="11">
    <w:abstractNumId w:val="2"/>
  </w:num>
  <w:num w:numId="12">
    <w:abstractNumId w:val="6"/>
  </w:num>
  <w:num w:numId="13">
    <w:abstractNumId w:val="25"/>
  </w:num>
  <w:num w:numId="14">
    <w:abstractNumId w:val="28"/>
  </w:num>
  <w:num w:numId="15">
    <w:abstractNumId w:val="3"/>
  </w:num>
  <w:num w:numId="16">
    <w:abstractNumId w:val="21"/>
  </w:num>
  <w:num w:numId="17">
    <w:abstractNumId w:val="0"/>
  </w:num>
  <w:num w:numId="18">
    <w:abstractNumId w:val="8"/>
  </w:num>
  <w:num w:numId="19">
    <w:abstractNumId w:val="1"/>
  </w:num>
  <w:num w:numId="20">
    <w:abstractNumId w:val="24"/>
  </w:num>
  <w:num w:numId="21">
    <w:abstractNumId w:val="27"/>
  </w:num>
  <w:num w:numId="22">
    <w:abstractNumId w:val="14"/>
  </w:num>
  <w:num w:numId="23">
    <w:abstractNumId w:val="26"/>
  </w:num>
  <w:num w:numId="24">
    <w:abstractNumId w:val="18"/>
  </w:num>
  <w:num w:numId="25">
    <w:abstractNumId w:val="13"/>
  </w:num>
  <w:num w:numId="26">
    <w:abstractNumId w:val="17"/>
  </w:num>
  <w:num w:numId="27">
    <w:abstractNumId w:val="9"/>
  </w:num>
  <w:num w:numId="28">
    <w:abstractNumId w:val="16"/>
  </w:num>
  <w:num w:numId="29">
    <w:abstractNumId w:val="2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5B0DEC"/>
    <w:rsid w:val="005E2730"/>
    <w:rsid w:val="006A6CA2"/>
    <w:rsid w:val="006B0CF3"/>
    <w:rsid w:val="007D0462"/>
    <w:rsid w:val="007F3B90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EC0983"/>
    <w:rsid w:val="00F26B93"/>
    <w:rsid w:val="00F814F3"/>
    <w:rsid w:val="00FB4638"/>
    <w:rsid w:val="01EA4629"/>
    <w:rsid w:val="02E565DA"/>
    <w:rsid w:val="03467A7A"/>
    <w:rsid w:val="0A526C05"/>
    <w:rsid w:val="0B2F497F"/>
    <w:rsid w:val="0CFE46F5"/>
    <w:rsid w:val="0D093B48"/>
    <w:rsid w:val="0DF7383C"/>
    <w:rsid w:val="0E941826"/>
    <w:rsid w:val="102E0E72"/>
    <w:rsid w:val="11A04334"/>
    <w:rsid w:val="11D5049D"/>
    <w:rsid w:val="14E82BDD"/>
    <w:rsid w:val="158063CA"/>
    <w:rsid w:val="19670574"/>
    <w:rsid w:val="197C7D83"/>
    <w:rsid w:val="199EDDAF"/>
    <w:rsid w:val="1C8C02F2"/>
    <w:rsid w:val="1C9B8DEE"/>
    <w:rsid w:val="1F6B2440"/>
    <w:rsid w:val="1F907394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15972"/>
    <w:rsid w:val="4A9722D1"/>
    <w:rsid w:val="4AB97C54"/>
    <w:rsid w:val="4DF95911"/>
    <w:rsid w:val="4FB86572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4952</Words>
  <Characters>5348</Characters>
  <Lines>415</Lines>
  <Paragraphs>376</Paragraphs>
  <TotalTime>3</TotalTime>
  <ScaleCrop>false</ScaleCrop>
  <LinksUpToDate>false</LinksUpToDate>
  <CharactersWithSpaces>5396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2025-12-31T06:23:37Z</dcterms:modified>
  <dc:title>需求说明书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F962BE0990184965994012373F79E5CA_13</vt:lpwstr>
  </property>
  <property fmtid="{D5CDD505-2E9C-101B-9397-08002B2CF9AE}" pid="7" name="KSOTemplateDocerSaveRecord">
    <vt:lpwstr>eyJoZGlkIjoiMDFlNGE2YWEyOWRiNGZiN2UwNDhjYmQ2Y2QxZmIwNzUiLCJ1c2VySWQiOiI5MTM3Mjg1NzQifQ==</vt:lpwstr>
  </property>
</Properties>
</file>