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62BDAE94"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B5FE2D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8D045B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ECD2C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C5EED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0BF376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62136DF0"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1DF5223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ED18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99B09D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195F2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A657A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5704A89F"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D8694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08E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088FB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97E232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716F6B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2B8136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  <w:r>
        <w:rPr>
          <w:rFonts w:hint="eastAsia" w:ascii="黑体" w:eastAsia="黑体"/>
          <w:caps/>
          <w:szCs w:val="44"/>
        </w:rPr>
        <w:t>·</w:t>
      </w:r>
    </w:p>
    <w:p w14:paraId="6ACDE19C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65F946F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2E56C2C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7551389">
      <w:pPr>
        <w:pStyle w:val="51"/>
        <w:ind w:left="420"/>
        <w:jc w:val="center"/>
        <w:rPr>
          <w:rFonts w:hint="default" w:ascii="Arial" w:hAnsi="Arial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 w:eastAsia="zh-CN"/>
        </w:rPr>
        <w:t>校园社团管理</w:t>
      </w:r>
      <w:r>
        <w:rPr>
          <w:rFonts w:hint="eastAsia" w:ascii="Arial" w:hAnsi="Arial" w:eastAsia="黑体"/>
          <w:caps/>
          <w:lang w:val="en-US"/>
        </w:rPr>
        <w:t>系统项目</w:t>
      </w:r>
      <w:r>
        <w:rPr>
          <w:rFonts w:hint="eastAsia" w:ascii="Arial" w:hAnsi="Arial" w:eastAsia="黑体"/>
          <w:caps/>
          <w:lang w:val="en-US" w:eastAsia="zh-CN"/>
        </w:rPr>
        <w:t>编码规范文档</w:t>
      </w:r>
    </w:p>
    <w:p w14:paraId="15DB54E6"/>
    <w:p w14:paraId="1A54C536">
      <w:pPr>
        <w:widowControl/>
        <w:jc w:val="left"/>
      </w:pPr>
      <w:bookmarkStart w:id="0" w:name="_Toc208994575"/>
      <w:bookmarkStart w:id="1" w:name="_Toc312161398"/>
    </w:p>
    <w:p w14:paraId="411E714C">
      <w:pPr>
        <w:widowControl/>
        <w:jc w:val="left"/>
      </w:pPr>
    </w:p>
    <w:p w14:paraId="47ED51CB">
      <w:pPr>
        <w:widowControl/>
        <w:jc w:val="left"/>
      </w:pPr>
    </w:p>
    <w:p w14:paraId="4AB9E4BE">
      <w:pPr>
        <w:widowControl/>
        <w:jc w:val="left"/>
      </w:pPr>
    </w:p>
    <w:p w14:paraId="1E435960">
      <w:pPr>
        <w:widowControl/>
        <w:jc w:val="left"/>
      </w:pPr>
    </w:p>
    <w:p w14:paraId="602C3AEE">
      <w:pPr>
        <w:widowControl/>
        <w:jc w:val="left"/>
      </w:pPr>
    </w:p>
    <w:p w14:paraId="1F65D370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70D3E919">
        <w:tc>
          <w:tcPr>
            <w:tcW w:w="992" w:type="dxa"/>
            <w:vAlign w:val="bottom"/>
          </w:tcPr>
          <w:p w14:paraId="144EB311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A38424F">
            <w:pPr>
              <w:widowControl/>
              <w:spacing w:line="36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孙伟玺</w:t>
            </w:r>
          </w:p>
        </w:tc>
        <w:tc>
          <w:tcPr>
            <w:tcW w:w="850" w:type="dxa"/>
            <w:vAlign w:val="bottom"/>
          </w:tcPr>
          <w:p w14:paraId="4B548DD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5D25357">
            <w:pPr>
              <w:widowControl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12.29</w:t>
            </w:r>
          </w:p>
        </w:tc>
      </w:tr>
      <w:tr w14:paraId="3E5B5B75">
        <w:tc>
          <w:tcPr>
            <w:tcW w:w="992" w:type="dxa"/>
            <w:vAlign w:val="bottom"/>
          </w:tcPr>
          <w:p w14:paraId="0CA262A4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AED91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ACBF57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94BE75">
            <w:pPr>
              <w:widowControl/>
              <w:spacing w:line="360" w:lineRule="auto"/>
              <w:jc w:val="left"/>
            </w:pPr>
          </w:p>
        </w:tc>
      </w:tr>
      <w:tr w14:paraId="57B73A91">
        <w:tc>
          <w:tcPr>
            <w:tcW w:w="992" w:type="dxa"/>
            <w:vAlign w:val="bottom"/>
          </w:tcPr>
          <w:p w14:paraId="51D05FE2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1FB4CC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0BD2271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DF3313">
            <w:pPr>
              <w:widowControl/>
              <w:spacing w:line="360" w:lineRule="auto"/>
              <w:jc w:val="left"/>
            </w:pPr>
          </w:p>
        </w:tc>
      </w:tr>
      <w:tr w14:paraId="39ECE8E1">
        <w:tc>
          <w:tcPr>
            <w:tcW w:w="992" w:type="dxa"/>
            <w:vAlign w:val="bottom"/>
          </w:tcPr>
          <w:p w14:paraId="2B4E9E46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21AB5DB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55BF3E8A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4CF25E1">
            <w:pPr>
              <w:widowControl/>
              <w:spacing w:line="360" w:lineRule="auto"/>
              <w:jc w:val="left"/>
            </w:pPr>
          </w:p>
        </w:tc>
      </w:tr>
    </w:tbl>
    <w:p w14:paraId="1AB35CD7">
      <w:pPr>
        <w:widowControl/>
        <w:jc w:val="left"/>
      </w:pPr>
    </w:p>
    <w:p w14:paraId="2C6331CD">
      <w:pPr>
        <w:widowControl/>
        <w:jc w:val="left"/>
      </w:pPr>
    </w:p>
    <w:p w14:paraId="12F570C7">
      <w:pPr>
        <w:widowControl/>
        <w:jc w:val="left"/>
      </w:pPr>
    </w:p>
    <w:p w14:paraId="6E72273D">
      <w:pPr>
        <w:widowControl/>
        <w:jc w:val="left"/>
      </w:pPr>
    </w:p>
    <w:p w14:paraId="6F172020">
      <w:pPr>
        <w:widowControl/>
        <w:jc w:val="left"/>
      </w:pPr>
      <w:r>
        <w:br w:type="page"/>
      </w:r>
    </w:p>
    <w:p w14:paraId="00DC7175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040F7086"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3F93BCB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B77AD9F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94C67B2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7332D8F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0BA4DE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64AF11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6762C017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C85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7340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3F5E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DF82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陆远，陈涛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F65204B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C552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项目文档模版确定</w:t>
            </w:r>
          </w:p>
        </w:tc>
      </w:tr>
      <w:tr w14:paraId="40A506FF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0225F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3858E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2025-12-29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8779C4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2025-12-29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74499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孙伟玺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BEF66BD">
            <w:pPr>
              <w:pStyle w:val="11"/>
              <w:spacing w:line="240" w:lineRule="atLeast"/>
              <w:ind w:firstLine="200" w:firstLineChars="100"/>
              <w:jc w:val="both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A45539A">
            <w:pPr>
              <w:pStyle w:val="11"/>
              <w:spacing w:line="240" w:lineRule="atLeast"/>
              <w:ind w:firstLine="200" w:firstLineChars="100"/>
              <w:jc w:val="both"/>
              <w:rPr>
                <w:rFonts w:hint="default"/>
                <w:b w:val="0"/>
                <w:sz w:val="20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项目编码规范文档</w:t>
            </w:r>
          </w:p>
        </w:tc>
      </w:tr>
      <w:tr w14:paraId="3B209F0B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A4C7D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2527CF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5063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C59E6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191B84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58437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1021F423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24408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8DB5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83A3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1C7CC5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CEB433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87F8BC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7CB756A8"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9FA7F4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FAE8D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2AE7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AABE14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44AD25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575367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/>
    <w:p w14:paraId="1D9D9B2D">
      <w:pPr>
        <w:widowControl/>
        <w:jc w:val="left"/>
      </w:pPr>
      <w:r>
        <w:br w:type="page"/>
      </w:r>
    </w:p>
    <w:p w14:paraId="4256D162"/>
    <w:bookmarkEnd w:id="0"/>
    <w:bookmarkEnd w:id="1"/>
    <w:p w14:paraId="17AB73BF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目录</w:t>
      </w:r>
    </w:p>
    <w:sdt>
      <w:sdtPr>
        <w:rPr>
          <w:rFonts w:ascii="宋体" w:hAnsi="宋体"/>
        </w:rPr>
        <w:id w:val="28783880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Cs w:val="30"/>
        </w:rPr>
      </w:sdtEndPr>
      <w:sdtContent>
        <w:p w14:paraId="27842361">
          <w:pPr>
            <w:rPr>
              <w:rFonts w:hint="eastAsia"/>
            </w:rPr>
          </w:pPr>
        </w:p>
        <w:p w14:paraId="6A45DB15">
          <w:pPr>
            <w:pStyle w:val="19"/>
            <w:tabs>
              <w:tab w:val="right" w:leader="dot" w:pos="8306"/>
            </w:tabs>
          </w:pPr>
          <w:r>
            <w:rPr>
              <w:b/>
              <w:sz w:val="30"/>
              <w:szCs w:val="30"/>
            </w:rPr>
            <w:fldChar w:fldCharType="begin"/>
          </w:r>
          <w:r>
            <w:rPr>
              <w:b/>
              <w:sz w:val="30"/>
              <w:szCs w:val="30"/>
            </w:rPr>
            <w:instrText xml:space="preserve">TOC \o "1-1" \h \u </w:instrText>
          </w:r>
          <w:r>
            <w:rPr>
              <w:b/>
              <w:sz w:val="30"/>
              <w:szCs w:val="30"/>
            </w:rPr>
            <w:fldChar w:fldCharType="separate"/>
          </w: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_Toc1773606710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1. </w:t>
          </w:r>
          <w:r>
            <w:rPr>
              <w:rFonts w:hint="eastAsia"/>
            </w:rPr>
            <w:t>编码标准与最佳实践</w:t>
          </w:r>
          <w:r>
            <w:tab/>
          </w:r>
          <w:r>
            <w:fldChar w:fldCharType="begin"/>
          </w:r>
          <w:r>
            <w:instrText xml:space="preserve"> PAGEREF _Toc1773606710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63192393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_Toc1934954610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2. </w:t>
          </w:r>
          <w:r>
            <w:rPr>
              <w:lang w:val="en-US" w:eastAsia="zh-CN"/>
            </w:rPr>
            <w:t>代码复用与模块化设计</w:t>
          </w:r>
          <w:r>
            <w:tab/>
          </w:r>
          <w:r>
            <w:fldChar w:fldCharType="begin"/>
          </w:r>
          <w:r>
            <w:instrText xml:space="preserve"> PAGEREF _Toc1934954610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6B9F1301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_Toc1437263749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3. </w:t>
          </w:r>
          <w:r>
            <w:t>代码审查与质量保证</w:t>
          </w:r>
          <w:r>
            <w:tab/>
          </w:r>
          <w:r>
            <w:fldChar w:fldCharType="begin"/>
          </w:r>
          <w:r>
            <w:instrText xml:space="preserve"> PAGEREF _Toc1437263749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14DC80D1">
          <w:pPr>
            <w:jc w:val="center"/>
            <w:rPr>
              <w:szCs w:val="30"/>
            </w:rPr>
          </w:pPr>
          <w:r>
            <w:rPr>
              <w:szCs w:val="30"/>
            </w:rPr>
            <w:fldChar w:fldCharType="end"/>
          </w:r>
        </w:p>
      </w:sdtContent>
    </w:sdt>
    <w:p w14:paraId="6A467DE8">
      <w:pPr>
        <w:jc w:val="center"/>
        <w:rPr>
          <w:szCs w:val="30"/>
        </w:rPr>
      </w:pPr>
    </w:p>
    <w:p w14:paraId="2D591F06">
      <w:pPr>
        <w:widowControl/>
        <w:jc w:val="left"/>
      </w:pPr>
    </w:p>
    <w:p w14:paraId="4F07F8AE">
      <w:pPr>
        <w:widowControl/>
        <w:jc w:val="left"/>
      </w:pPr>
    </w:p>
    <w:p w14:paraId="7FDBFA55">
      <w:pPr>
        <w:widowControl/>
        <w:jc w:val="left"/>
      </w:pPr>
    </w:p>
    <w:p w14:paraId="351F87E4">
      <w:pPr>
        <w:widowControl/>
        <w:jc w:val="left"/>
      </w:pPr>
    </w:p>
    <w:p w14:paraId="15ACF6CB">
      <w:pPr>
        <w:widowControl/>
        <w:jc w:val="left"/>
      </w:pPr>
    </w:p>
    <w:p w14:paraId="27848FBB">
      <w:pPr>
        <w:widowControl/>
        <w:jc w:val="left"/>
      </w:pPr>
    </w:p>
    <w:p w14:paraId="238AC570">
      <w:pPr>
        <w:widowControl/>
        <w:jc w:val="left"/>
      </w:pPr>
    </w:p>
    <w:p w14:paraId="1DC51EA0">
      <w:pPr>
        <w:widowControl/>
        <w:jc w:val="left"/>
      </w:pPr>
    </w:p>
    <w:p w14:paraId="2E3497CC">
      <w:pPr>
        <w:widowControl/>
        <w:jc w:val="left"/>
      </w:pPr>
    </w:p>
    <w:p w14:paraId="32B04560">
      <w:pPr>
        <w:widowControl/>
        <w:jc w:val="left"/>
      </w:pPr>
    </w:p>
    <w:p w14:paraId="2F624CAB">
      <w:pPr>
        <w:widowControl/>
        <w:jc w:val="left"/>
      </w:pPr>
    </w:p>
    <w:p w14:paraId="6923F8F6">
      <w:pPr>
        <w:widowControl/>
        <w:jc w:val="left"/>
      </w:pPr>
    </w:p>
    <w:p w14:paraId="2412E217">
      <w:pPr>
        <w:widowControl/>
        <w:jc w:val="left"/>
      </w:pPr>
    </w:p>
    <w:p w14:paraId="03785557">
      <w:pPr>
        <w:widowControl/>
        <w:jc w:val="left"/>
      </w:pPr>
    </w:p>
    <w:p w14:paraId="3A6E9AEF">
      <w:pPr>
        <w:widowControl/>
        <w:jc w:val="left"/>
      </w:pPr>
    </w:p>
    <w:p w14:paraId="403AA2BC">
      <w:pPr>
        <w:widowControl/>
        <w:jc w:val="left"/>
      </w:pPr>
    </w:p>
    <w:p w14:paraId="2481CCF5">
      <w:pPr>
        <w:widowControl/>
        <w:jc w:val="left"/>
      </w:pPr>
    </w:p>
    <w:p w14:paraId="22A0917F">
      <w:pPr>
        <w:widowControl/>
        <w:jc w:val="left"/>
      </w:pPr>
    </w:p>
    <w:p w14:paraId="2F23BB8D">
      <w:pPr>
        <w:rPr>
          <w:rFonts w:ascii="Arial" w:hAnsi="Arial" w:eastAsia="仿宋_GB2312" w:cs="Arial"/>
          <w:i/>
          <w:color w:val="0000FF"/>
          <w:sz w:val="24"/>
        </w:rPr>
      </w:pPr>
    </w:p>
    <w:p w14:paraId="56747296">
      <w:pPr>
        <w:pStyle w:val="2"/>
        <w:bidi w:val="0"/>
      </w:pPr>
      <w:bookmarkStart w:id="2" w:name="_Toc1773606710"/>
      <w:r>
        <w:rPr>
          <w:rFonts w:hint="eastAsia"/>
        </w:rPr>
        <w:t>编码标准与最佳实践</w:t>
      </w:r>
      <w:bookmarkEnd w:id="2"/>
    </w:p>
    <w:p w14:paraId="1F50102A">
      <w:pPr>
        <w:pStyle w:val="3"/>
        <w:bidi w:val="0"/>
      </w:pPr>
      <w:r>
        <w:t>代码风格与命名规范</w:t>
      </w:r>
    </w:p>
    <w:p w14:paraId="6D871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在本项目中，后端采用 Java (Spring Boot)，前端采用 Vue 3。为了确保前后端团队协作顺畅，代码风格必须严格统一。</w:t>
      </w:r>
    </w:p>
    <w:p w14:paraId="7637C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Java后端：</w:t>
      </w:r>
      <w:r>
        <w:rPr>
          <w:rFonts w:hint="eastAsia"/>
          <w:sz w:val="24"/>
          <w:szCs w:val="24"/>
        </w:rPr>
        <w:t>遵循阿里巴巴 Java 开发手册。类名使用 UpperCamelCase（大驼峰），方法名和变量名使用 lowerCamelCase（小驼峰），常量使用 UPPER_SNAKE_CASE。</w:t>
      </w:r>
    </w:p>
    <w:p w14:paraId="1FA33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Vue前端：</w:t>
      </w:r>
      <w:r>
        <w:rPr>
          <w:rFonts w:hint="eastAsia"/>
          <w:sz w:val="24"/>
          <w:szCs w:val="24"/>
        </w:rPr>
        <w:t>组件文件名使用 UpperCamelCase（如 ClubDetail.vue），事件处理函数习惯以 handle 开头。</w:t>
      </w:r>
    </w:p>
    <w:p w14:paraId="45C762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以下是本项目中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社团服务接口 (ClubService)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 Java 代码风格示例：</w:t>
      </w:r>
    </w:p>
    <w:p w14:paraId="6BC8E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>/**</w:t>
      </w:r>
    </w:p>
    <w:p w14:paraId="6454F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* 社团业务逻辑接口实现类</w:t>
      </w:r>
    </w:p>
    <w:p w14:paraId="71674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* 遵循单一职责原则，处理社团状态流转</w:t>
      </w:r>
    </w:p>
    <w:p w14:paraId="28657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*/</w:t>
      </w:r>
    </w:p>
    <w:p w14:paraId="5766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>@Service</w:t>
      </w:r>
    </w:p>
    <w:p w14:paraId="53B52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>public class ClubServiceImpl implements ClubService {</w:t>
      </w:r>
    </w:p>
    <w:p w14:paraId="57D69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79038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// 常量命名规范：全大写 + 下划线</w:t>
      </w:r>
    </w:p>
    <w:p w14:paraId="61EFB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private static final Integer STATUS_NORMAL = 1;</w:t>
      </w:r>
    </w:p>
    <w:p w14:paraId="2E714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69EF4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@Autowired</w:t>
      </w:r>
    </w:p>
    <w:p w14:paraId="48D5E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private TbClubMapper clubMapper;</w:t>
      </w:r>
    </w:p>
    <w:p w14:paraId="3096B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</w:p>
    <w:p w14:paraId="20B8A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/**</w:t>
      </w:r>
    </w:p>
    <w:p w14:paraId="33758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* 审核社团申请</w:t>
      </w:r>
    </w:p>
    <w:p w14:paraId="1F7C3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* 方法名 auditClub 清晰表达业务意图</w:t>
      </w:r>
    </w:p>
    <w:p w14:paraId="3E4BD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* @param clubId 社团ID (驼峰命名)</w:t>
      </w:r>
    </w:p>
    <w:p w14:paraId="2CEA4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* @param pass 是否通过</w:t>
      </w:r>
    </w:p>
    <w:p w14:paraId="57458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*/</w:t>
      </w:r>
    </w:p>
    <w:p w14:paraId="01717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@Override</w:t>
      </w:r>
    </w:p>
    <w:p w14:paraId="0AF54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@Transactional(rollbackFor = Exception.class)</w:t>
      </w:r>
    </w:p>
    <w:p w14:paraId="76C95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public void auditClub(Long clubId, Boolean pass) {</w:t>
      </w:r>
    </w:p>
    <w:p w14:paraId="64846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TbClub club = clubMapper.selectById(clubId);</w:t>
      </w:r>
    </w:p>
    <w:p w14:paraId="44083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if (pass) {</w:t>
      </w:r>
    </w:p>
    <w:p w14:paraId="00821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    club.setStatus(STATUS_NORMAL);</w:t>
      </w:r>
    </w:p>
    <w:p w14:paraId="67A69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    // 逻辑清晰：审核通过后自动初始化社长权限</w:t>
      </w:r>
    </w:p>
    <w:p w14:paraId="38FA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    grantPresidentRole(club.getPresidentId(), clubId);</w:t>
      </w:r>
    </w:p>
    <w:p w14:paraId="7638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} else {</w:t>
      </w:r>
    </w:p>
    <w:p w14:paraId="08AE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    club.setStatus(3); // 3代表驳回</w:t>
      </w:r>
    </w:p>
    <w:p w14:paraId="71DCB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}</w:t>
      </w:r>
    </w:p>
    <w:p w14:paraId="24A1E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    clubMapper.updateById(club);</w:t>
      </w:r>
    </w:p>
    <w:p w14:paraId="5179F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 xml:space="preserve">    }</w:t>
      </w:r>
    </w:p>
    <w:p w14:paraId="154AF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eastAsia="宋体"/>
          <w:sz w:val="24"/>
          <w:szCs w:val="24"/>
          <w:lang w:val="en-US" w:eastAsia="zh-CN"/>
        </w:rPr>
        <w:t>}</w:t>
      </w:r>
    </w:p>
    <w:p w14:paraId="48A2EF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此代码段展示了社团审核的业务逻辑。ClubServiceImpl 类名清晰，变量 clubId 符合驼峰规范，且代码中包含了必要的注释说明业务意图（如状态码含义）。</w:t>
      </w:r>
    </w:p>
    <w:p w14:paraId="5ABB78AA">
      <w:pPr>
        <w:pStyle w:val="3"/>
        <w:bidi w:val="0"/>
      </w:pPr>
      <w:r>
        <w:rPr>
          <w:lang w:val="en-US" w:eastAsia="zh-CN"/>
        </w:rPr>
        <w:t>编码逻辑与数据结构设计</w:t>
      </w:r>
    </w:p>
    <w:p w14:paraId="363BD9A5">
      <w:pPr>
        <w:pStyle w:val="21"/>
        <w:keepNext w:val="0"/>
        <w:keepLines w:val="0"/>
        <w:widowControl/>
        <w:suppressLineNumbers w:val="0"/>
      </w:pPr>
      <w:r>
        <w:t>编码逻辑应追求简洁高效，特别是在处理</w:t>
      </w:r>
      <w:r>
        <w:rPr>
          <w:b w:val="0"/>
          <w:bCs w:val="0"/>
        </w:rPr>
        <w:t>资源冲突检测</w:t>
      </w:r>
      <w:r>
        <w:t>这种高频核心业务时。优秀的开发者会选择合适的数据结构来降低时间复杂度。</w:t>
      </w:r>
    </w:p>
    <w:p w14:paraId="1D18453E">
      <w:pPr>
        <w:pStyle w:val="21"/>
        <w:keepNext w:val="0"/>
        <w:keepLines w:val="0"/>
        <w:widowControl/>
        <w:suppressLineNumbers w:val="0"/>
      </w:pPr>
      <w:r>
        <w:t xml:space="preserve">例如，在处理社团成员列表时，如果需要频繁根据 </w:t>
      </w:r>
      <w:r>
        <w:rPr>
          <w:rStyle w:val="29"/>
        </w:rPr>
        <w:t>userId</w:t>
      </w:r>
      <w:r>
        <w:t xml:space="preserve"> 查找成员信息，使用 Java 的 </w:t>
      </w:r>
      <w:r>
        <w:rPr>
          <w:rStyle w:val="29"/>
        </w:rPr>
        <w:t>Map</w:t>
      </w:r>
      <w:r>
        <w:t xml:space="preserve"> 结构比遍历 </w:t>
      </w:r>
      <w:r>
        <w:rPr>
          <w:rStyle w:val="29"/>
        </w:rPr>
        <w:t>List</w:t>
      </w:r>
      <w:r>
        <w:t xml:space="preserve"> 效率更高。在</w:t>
      </w:r>
      <w:r>
        <w:rPr>
          <w:b w:val="0"/>
          <w:bCs w:val="0"/>
        </w:rPr>
        <w:t>资源预约冲突检测</w:t>
      </w:r>
      <w:r>
        <w:t>中，我们利用 SQL 的索引覆盖和特定的时间段比较逻辑来优化性能。</w:t>
      </w:r>
    </w:p>
    <w:p w14:paraId="7FDF9E37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// 使用 Stream API 和 Map 优化数据处理逻辑</w:t>
      </w:r>
    </w:p>
    <w:p w14:paraId="229461DC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// 场景：获取社团列表时，需要批量匹配社长的详细信息</w:t>
      </w:r>
    </w:p>
    <w:p w14:paraId="74BD473C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public List&lt;ClubVo&gt; matchPresidentInfo(List&lt;TbClub&gt; clubs, List&lt;SysUser&gt; users) {</w:t>
      </w:r>
    </w:p>
    <w:p w14:paraId="263C3E2D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// 将用户列表转换为 Map&lt;UserId, UserObject&gt;，查找复杂度从 O(n) 降为 O(1)</w:t>
      </w:r>
    </w:p>
    <w:p w14:paraId="1C2ABA49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Map&lt;Long, SysUser&gt; userMap = users.stream()</w:t>
      </w:r>
    </w:p>
    <w:p w14:paraId="48AD2768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.collect(Collectors.toMap(SysUser::getId, user -&gt; user));</w:t>
      </w:r>
    </w:p>
    <w:p w14:paraId="57C884A9">
      <w:pPr>
        <w:pStyle w:val="21"/>
        <w:keepNext w:val="0"/>
        <w:keepLines w:val="0"/>
        <w:widowControl/>
        <w:suppressLineNumbers w:val="0"/>
        <w:rPr>
          <w:rFonts w:hint="eastAsia"/>
        </w:rPr>
      </w:pPr>
    </w:p>
    <w:p w14:paraId="4A7A4519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return clubs.stream().map(club -&gt; {</w:t>
      </w:r>
    </w:p>
    <w:p w14:paraId="2B828ABA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ClubVo vo = BeanUtil.copyProperties(club, ClubVo.class);</w:t>
      </w:r>
    </w:p>
    <w:p w14:paraId="4E0C7923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// 直接通过 Map 获取社长信息，避免嵌套循环</w:t>
      </w:r>
    </w:p>
    <w:p w14:paraId="47F36A47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SysUser president = userMap.get(club.getPresidentId());</w:t>
      </w:r>
    </w:p>
    <w:p w14:paraId="1F2F49E6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if (president != null) {</w:t>
      </w:r>
    </w:p>
    <w:p w14:paraId="729D95EF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    vo.setPresidentName(president.getRealName());</w:t>
      </w:r>
    </w:p>
    <w:p w14:paraId="505E6F35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4479DB54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return vo;</w:t>
      </w:r>
    </w:p>
    <w:p w14:paraId="60BB649C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}).collect(Collectors.toList());</w:t>
      </w:r>
    </w:p>
    <w:p w14:paraId="61E801F7">
      <w:pPr>
        <w:pStyle w:val="2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}</w:t>
      </w:r>
    </w:p>
    <w:p w14:paraId="26F69756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在这个例子中，通过引入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Map 数据结构和 Java Stream API，我们将原本需要双重循环（时间复杂度</w:t>
      </w:r>
      <m:oMath>
        <m:r>
          <m:rPr/>
          <w:rPr>
            <w:rFonts w:hint="default" w:ascii="DejaVu Math TeX Gyre" w:hAnsi="DejaVu Math TeX Gyre" w:eastAsia="sans-serif"/>
            <w:sz w:val="24"/>
          </w:rPr>
          <m:t>O(</m:t>
        </m:r>
        <m:sSup>
          <m:sSupPr>
            <m:ctrlPr>
              <w:rPr>
                <w:rFonts w:hint="default" w:ascii="DejaVu Math TeX Gyre" w:hAnsi="DejaVu Math TeX Gyre" w:eastAsia="sans-serif"/>
                <w:sz w:val="24"/>
              </w:rPr>
            </m:ctrlPr>
          </m:sSupPr>
          <m:e>
            <m:r>
              <m:rPr/>
              <w:rPr>
                <w:rFonts w:hint="default" w:ascii="DejaVu Math TeX Gyre" w:hAnsi="DejaVu Math TeX Gyre" w:eastAsia="sans-serif"/>
                <w:sz w:val="24"/>
              </w:rPr>
              <m:t>n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e>
          <m:sup>
            <m:r>
              <m:rPr/>
              <w:rPr>
                <w:rFonts w:hint="default" w:ascii="DejaVu Math TeX Gyre" w:hAnsi="DejaVu Math TeX Gyre" w:eastAsia="sans-serif"/>
                <w:sz w:val="24"/>
              </w:rPr>
              <m:t>2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sup>
        </m:sSup>
        <m:r>
          <m:rPr/>
          <w:rPr>
            <w:rFonts w:hint="default" w:ascii="DejaVu Math TeX Gyre" w:hAnsi="DejaVu Math TeX Gyre" w:eastAsia="sans-serif"/>
            <w:sz w:val="24"/>
          </w:rPr>
          <m:t>)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）的数据组装逻辑优化为</w:t>
      </w:r>
      <m:oMath>
        <m:r>
          <m:rPr/>
          <w:rPr>
            <w:rFonts w:hint="default" w:ascii="DejaVu Math TeX Gyre" w:hAnsi="DejaVu Math TeX Gyre" w:eastAsia="sans-serif"/>
            <w:sz w:val="24"/>
          </w:rPr>
          <m:t>O(n)</m:t>
        </m:r>
      </m:oMath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，显著提升了社团列表页的响应速度。</w:t>
      </w:r>
    </w:p>
    <w:p w14:paraId="231731F6">
      <w:pPr>
        <w:pStyle w:val="2"/>
        <w:bidi w:val="0"/>
      </w:pPr>
      <w:bookmarkStart w:id="3" w:name="_Toc1934954610"/>
      <w:r>
        <w:rPr>
          <w:lang w:val="en-US" w:eastAsia="zh-CN"/>
        </w:rPr>
        <w:t>代码复用与模块化设计</w:t>
      </w:r>
      <w:bookmarkEnd w:id="3"/>
    </w:p>
    <w:p w14:paraId="69CCA6DD">
      <w:pPr>
        <w:pStyle w:val="3"/>
        <w:bidi w:val="0"/>
      </w:pPr>
      <w:r>
        <w:t>代码复用策略与工具</w:t>
      </w:r>
    </w:p>
    <w:p w14:paraId="092004AB">
      <w:pPr>
        <w:pStyle w:val="21"/>
        <w:keepNext w:val="0"/>
        <w:keepLines w:val="0"/>
        <w:widowControl/>
        <w:suppressLineNumbers w:val="0"/>
        <w:rPr>
          <w:b w:val="0"/>
          <w:bCs w:val="0"/>
        </w:rPr>
      </w:pPr>
      <w:r>
        <w:t>代码复用是减少冗余、保证系统行为一致性的关键。本项目中，我们通过提取</w:t>
      </w:r>
      <w:r>
        <w:rPr>
          <w:b w:val="0"/>
          <w:bCs w:val="0"/>
        </w:rPr>
        <w:t>全局统一响应对象和工具类来实现复用。根据详细设计文档要求，所有API接口必须返回统一的JSON格式 。我们创建了</w:t>
      </w:r>
      <w:r>
        <w:rPr>
          <w:rStyle w:val="29"/>
          <w:rFonts w:hint="default" w:ascii="Times New Roman Regular" w:hAnsi="Times New Roman Regular" w:cs="Times New Roman Regular"/>
          <w:b w:val="0"/>
          <w:bCs w:val="0"/>
        </w:rPr>
        <w:t>Result&lt;T&gt;</w:t>
      </w:r>
      <w:r>
        <w:rPr>
          <w:b w:val="0"/>
          <w:bCs w:val="0"/>
        </w:rPr>
        <w:t>泛型类，供所有Controller复用。</w:t>
      </w:r>
    </w:p>
    <w:p w14:paraId="33C58FFA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common/Result.java - 全局统一响应结构</w:t>
      </w:r>
    </w:p>
    <w:p w14:paraId="2D606F3E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@Data</w:t>
      </w:r>
    </w:p>
    <w:p w14:paraId="5760BADC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class Result&lt;T&gt; implements Serializable {</w:t>
      </w:r>
    </w:p>
    <w:p w14:paraId="2B5D59DD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Integer code; // 状态码</w:t>
      </w:r>
    </w:p>
    <w:p w14:paraId="1B3F0E1E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String message; // 提示信息</w:t>
      </w:r>
    </w:p>
    <w:p w14:paraId="5088A1BA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T data; // 泛型数据</w:t>
      </w:r>
    </w:p>
    <w:p w14:paraId="264F5CF8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</w:p>
    <w:p w14:paraId="236C99C9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复用方法：成功响应</w:t>
      </w:r>
    </w:p>
    <w:p w14:paraId="2B5FA115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&lt;T&gt; Result&lt;T&gt; success(T data) {</w:t>
      </w:r>
    </w:p>
    <w:p w14:paraId="7A06F897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Result&lt;T&gt; r = new Result&lt;&gt;();</w:t>
      </w:r>
    </w:p>
    <w:p w14:paraId="4A336EC8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r.setCode(200);</w:t>
      </w:r>
    </w:p>
    <w:p w14:paraId="5BC876A2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r.setMessage("success");</w:t>
      </w:r>
    </w:p>
    <w:p w14:paraId="62A7C283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r.setData(data);</w:t>
      </w:r>
    </w:p>
    <w:p w14:paraId="0146C35E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return r;</w:t>
      </w:r>
    </w:p>
    <w:p w14:paraId="0CC8766D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4C2EE4FE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</w:p>
    <w:p w14:paraId="64914010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复用方法：失败响应</w:t>
      </w:r>
    </w:p>
    <w:p w14:paraId="5E41CA42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&lt;T&gt; Result&lt;T&gt; error(String msg) {</w:t>
      </w:r>
    </w:p>
    <w:p w14:paraId="5C327C8E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Result&lt;T&gt; r = new Result&lt;&gt;();</w:t>
      </w:r>
    </w:p>
    <w:p w14:paraId="6E246615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r.setCode(500);</w:t>
      </w:r>
    </w:p>
    <w:p w14:paraId="11F6A446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r.setMessage(msg);</w:t>
      </w:r>
    </w:p>
    <w:p w14:paraId="791CA6B4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return r;</w:t>
      </w:r>
    </w:p>
    <w:p w14:paraId="5176819C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38C98FC8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2838FA89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其他Controller文件可以通过静态方法调用直接复用该结构，无需重复定义 JSON字段：</w:t>
      </w:r>
    </w:p>
    <w:p w14:paraId="120CAD35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// ClubController.java</w:t>
      </w:r>
    </w:p>
    <w:p w14:paraId="641EBF98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@GetMapping("/{id}")</w:t>
      </w:r>
    </w:p>
    <w:p w14:paraId="6C0B525F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Result&lt;ClubVo&gt; getInfo(@PathVariable Long id) {</w:t>
      </w:r>
    </w:p>
    <w:p w14:paraId="21D2299B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ClubVo club = clubService.getClubDetail(id);</w:t>
      </w:r>
    </w:p>
    <w:p w14:paraId="41070F0D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return Result.success(club); // 直接复用</w:t>
      </w:r>
    </w:p>
    <w:p w14:paraId="748AC13B">
      <w:pPr>
        <w:pStyle w:val="21"/>
        <w:keepNext w:val="0"/>
        <w:keepLines w:val="0"/>
        <w:widowControl/>
        <w:suppressLineNumbers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7A5C1E0A">
      <w:pPr>
        <w:pStyle w:val="3"/>
        <w:bidi w:val="0"/>
      </w:pPr>
      <w:r>
        <w:rPr>
          <w:lang w:val="en-US" w:eastAsia="zh-CN"/>
        </w:rPr>
        <w:t>模块化设计原则与技巧</w:t>
      </w:r>
    </w:p>
    <w:p w14:paraId="748333BB">
      <w:pPr>
        <w:rPr>
          <w:rFonts w:hint="eastAsia"/>
        </w:rPr>
      </w:pPr>
      <w:r>
        <w:rPr>
          <w:rFonts w:hint="eastAsia"/>
        </w:rPr>
        <w:t>本项目遵循分层架构设计原则 ，将系统划分为 表现层 (Controller)、业务逻辑层 (Service) 和 数据持久层 (Mapper)。模块化设计不仅解耦了业务逻辑，还使得单元测试（Unit Test）变得更加容易。</w:t>
      </w:r>
    </w:p>
    <w:p w14:paraId="364DA2A8">
      <w:pPr>
        <w:rPr>
          <w:rFonts w:hint="eastAsia"/>
        </w:rPr>
      </w:pPr>
      <w:r>
        <w:rPr>
          <w:rFonts w:hint="eastAsia"/>
        </w:rPr>
        <w:t>我们使用 Mermaid 图表来展示这种模块化调用关系：</w:t>
      </w:r>
    </w:p>
    <w:p w14:paraId="28E8108B">
      <w:r>
        <w:drawing>
          <wp:inline distT="0" distB="0" distL="114300" distR="114300">
            <wp:extent cx="5274310" cy="2871470"/>
            <wp:effectExtent l="0" t="0" r="8890" b="2413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16A0">
      <w:pPr>
        <w:rPr>
          <w:rFonts w:hint="eastAsia"/>
        </w:rPr>
      </w:pPr>
      <w:r>
        <w:rPr>
          <w:rFonts w:hint="eastAsia"/>
        </w:rPr>
        <w:t>在这个例子中，展示了将社团管理系统划分为独立层次的策略。Controller 只负责参数接收与校验，Service 专注处理审核与状态流转业务，Mapper 专注数据读写。修改数据库字段只需调整 Mapper 层，不会影响前端调用。</w:t>
      </w:r>
    </w:p>
    <w:p w14:paraId="3393CD0B">
      <w:pPr>
        <w:pStyle w:val="2"/>
        <w:bidi w:val="0"/>
      </w:pPr>
      <w:bookmarkStart w:id="4" w:name="_Toc1437263749"/>
      <w:r>
        <w:t>代码审查与质量保证</w:t>
      </w:r>
      <w:bookmarkEnd w:id="4"/>
    </w:p>
    <w:p w14:paraId="4C304223">
      <w:pPr>
        <w:pStyle w:val="3"/>
        <w:bidi w:val="0"/>
      </w:pPr>
      <w:r>
        <w:rPr>
          <w:lang w:val="en-US" w:eastAsia="zh-CN"/>
        </w:rPr>
        <w:t>代码审查流程与方法</w:t>
      </w:r>
    </w:p>
    <w:p w14:paraId="3C9851CF">
      <w:pPr>
        <w:rPr>
          <w:rFonts w:hint="eastAsia"/>
        </w:rPr>
      </w:pPr>
      <w:r>
        <w:rPr>
          <w:rFonts w:hint="eastAsia"/>
        </w:rPr>
        <w:t>代码审查（Code Review）是CMMI流程中保证代码质量的核心环节。针对试运行期间发现的SQL连接池耗尽 和 文件上传漏洞 问题 ，我们制定了严格的审查清单（Checklist）。</w:t>
      </w:r>
    </w:p>
    <w:p w14:paraId="33AE7A6F">
      <w:pPr>
        <w:rPr>
          <w:rFonts w:hint="eastAsia"/>
        </w:rPr>
      </w:pPr>
      <w:r>
        <w:rPr>
          <w:rFonts w:hint="eastAsia"/>
        </w:rPr>
        <w:t>审查流程如下：</w:t>
      </w:r>
    </w:p>
    <w:p w14:paraId="42F156EB">
      <w:pPr>
        <w:numPr>
          <w:ilvl w:val="0"/>
          <w:numId w:val="2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提交 MR (Merge Request)：开发人员在 GitLab 提交代码分支。</w:t>
      </w:r>
    </w:p>
    <w:p w14:paraId="1485BD45">
      <w:pPr>
        <w:numPr>
          <w:ilvl w:val="0"/>
          <w:numId w:val="2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人工审查：Tech Lead 重点检查以下项目：</w:t>
      </w:r>
    </w:p>
    <w:p w14:paraId="6B4D2E4D">
      <w:pPr>
        <w:numPr>
          <w:ilvl w:val="1"/>
          <w:numId w:val="2"/>
        </w:numPr>
        <w:ind w:left="1680" w:leftChars="0" w:hanging="420" w:firstLineChars="0"/>
        <w:rPr>
          <w:rFonts w:hint="eastAsia"/>
        </w:rPr>
      </w:pPr>
      <w:r>
        <w:rPr>
          <w:rFonts w:hint="eastAsia"/>
        </w:rPr>
        <w:t>是否包含 SQL 拼接（防止 SQL 注入）。</w:t>
      </w:r>
    </w:p>
    <w:p w14:paraId="7EA86981">
      <w:pPr>
        <w:numPr>
          <w:ilvl w:val="1"/>
          <w:numId w:val="2"/>
        </w:numPr>
        <w:ind w:left="1680" w:leftChars="0" w:hanging="420" w:firstLineChars="0"/>
        <w:rPr>
          <w:rFonts w:hint="eastAsia"/>
        </w:rPr>
      </w:pPr>
      <w:r>
        <w:rPr>
          <w:rFonts w:hint="eastAsia"/>
        </w:rPr>
        <w:t>文件上传是否校验了文件头魔数（防止 WebShell）。</w:t>
      </w:r>
    </w:p>
    <w:p w14:paraId="5E83600E">
      <w:pPr>
        <w:numPr>
          <w:ilvl w:val="1"/>
          <w:numId w:val="2"/>
        </w:numPr>
        <w:ind w:left="1680" w:leftChars="0" w:hanging="420" w:firstLineChars="0"/>
        <w:rPr>
          <w:rFonts w:hint="eastAsia"/>
        </w:rPr>
      </w:pPr>
      <w:r>
        <w:rPr>
          <w:rFonts w:hint="eastAsia"/>
        </w:rPr>
        <w:t>循环内部是否包含数据库查询（防止性能问题）。</w:t>
      </w:r>
    </w:p>
    <w:p w14:paraId="497BA509">
      <w:pPr>
        <w:numPr>
          <w:ilvl w:val="0"/>
          <w:numId w:val="2"/>
        </w:numPr>
        <w:ind w:left="1265" w:leftChars="0" w:hanging="425" w:firstLineChars="0"/>
        <w:rPr>
          <w:rFonts w:hint="eastAsia"/>
        </w:rPr>
      </w:pPr>
      <w:r>
        <w:rPr>
          <w:rFonts w:hint="eastAsia"/>
        </w:rPr>
        <w:t>反馈与修复：针对审查意见进行修改，直到获得 Approve 标记。</w:t>
      </w:r>
    </w:p>
    <w:p w14:paraId="3C15C589">
      <w:pPr>
        <w:pStyle w:val="3"/>
        <w:bidi w:val="0"/>
      </w:pPr>
      <w:r>
        <w:t>编译器与静态代码分析工具</w:t>
      </w:r>
    </w:p>
    <w:p w14:paraId="258A4F68">
      <w:pPr>
        <w:rPr>
          <w:rFonts w:hint="eastAsia"/>
        </w:rPr>
      </w:pPr>
      <w:r>
        <w:rPr>
          <w:rFonts w:hint="eastAsia"/>
        </w:rPr>
        <w:t>为了减少人工审查的工作量，我们在 CI/CD 流水线中集成了静态代码分析工具。</w:t>
      </w:r>
    </w:p>
    <w:p w14:paraId="6AB15D0A">
      <w:pPr>
        <w:numPr>
          <w:ilvl w:val="0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Java 后端：使用 Checkstyle 和 SonarQube。</w:t>
      </w:r>
    </w:p>
    <w:p w14:paraId="264AF65E">
      <w:pPr>
        <w:numPr>
          <w:ilvl w:val="0"/>
          <w:numId w:val="3"/>
        </w:numPr>
        <w:ind w:left="1260" w:leftChars="0" w:hanging="420" w:firstLineChars="0"/>
        <w:rPr>
          <w:rFonts w:hint="eastAsia"/>
        </w:rPr>
      </w:pPr>
      <w:r>
        <w:rPr>
          <w:rFonts w:hint="eastAsia"/>
        </w:rPr>
        <w:t>Vue 前端：使用 ESLint。</w:t>
      </w:r>
    </w:p>
    <w:p w14:paraId="3BFDB230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工具可以在代码提交前自动检测风格问题和潜在 Bug。</w:t>
      </w:r>
    </w:p>
    <w:p w14:paraId="7B551553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# Maven 运行 Checkstyle 的示例输出</w:t>
      </w:r>
    </w:p>
    <w:p w14:paraId="56BAF788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$ mvn checkstyle:check</w:t>
      </w:r>
    </w:p>
    <w:p w14:paraId="4EAEAFC9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[WARN] src/main/java/com/club/service/ActivityService.java:45:1: 'if' construct must use '{}'s. [NeedBraces]</w:t>
      </w:r>
    </w:p>
    <w:p w14:paraId="6D490CB4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[ERROR] src/main/java/com/club/utils/FileUtil.java:22:15: Magic Number '10485760' should be defined as a constant. [MagicNumber]</w:t>
      </w:r>
    </w:p>
    <w:p w14:paraId="051FE345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[INFO] BUILD FAILURE</w:t>
      </w:r>
    </w:p>
    <w:p w14:paraId="6CA74AB5">
      <w:pPr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以上输出显示了构建过程中的拦截信息：</w:t>
      </w:r>
    </w:p>
    <w:p w14:paraId="603ABF03">
      <w:pPr>
        <w:widowControl w:val="0"/>
        <w:numPr>
          <w:ilvl w:val="0"/>
          <w:numId w:val="4"/>
        </w:numPr>
        <w:spacing w:line="360" w:lineRule="auto"/>
        <w:ind w:left="1265" w:leftChars="0" w:hanging="425" w:firstLineChars="0"/>
        <w:jc w:val="both"/>
        <w:rPr>
          <w:rFonts w:hint="eastAsia"/>
        </w:rPr>
      </w:pPr>
      <w:r>
        <w:rPr>
          <w:rFonts w:hint="eastAsia"/>
        </w:rPr>
        <w:t>ActivityService.java 中 if 语句缺少大括号，违反编码规范。</w:t>
      </w:r>
    </w:p>
    <w:p w14:paraId="7DB2B104">
      <w:pPr>
        <w:widowControl w:val="0"/>
        <w:numPr>
          <w:ilvl w:val="0"/>
          <w:numId w:val="4"/>
        </w:numPr>
        <w:spacing w:line="360" w:lineRule="auto"/>
        <w:ind w:left="1265" w:leftChars="0" w:hanging="425" w:firstLineChars="0"/>
        <w:jc w:val="both"/>
        <w:rPr>
          <w:rFonts w:hint="eastAsia"/>
        </w:rPr>
      </w:pPr>
      <w:r>
        <w:rPr>
          <w:rFonts w:hint="eastAsia"/>
        </w:rPr>
        <w:t>FileUtil.java 中使用了魔术数字 10485760 (10MB)，建议定义为常量 MAX_FILE_SIZE，这直接关联到详细设计中对文件大小限制的要求 。</w:t>
      </w:r>
      <w:bookmarkStart w:id="5" w:name="_GoBack"/>
      <w:bookmarkEnd w:id="5"/>
    </w:p>
    <w:p w14:paraId="56816BA5">
      <w:pPr>
        <w:widowControl w:val="0"/>
        <w:numPr>
          <w:numId w:val="0"/>
        </w:numPr>
        <w:spacing w:line="360" w:lineRule="auto"/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通过强制执行这些静态分析规则，我们在编码阶段就阻断了大部分低级错误，确保了代码库的整洁和稳健。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Microsoft YaHei UI">
    <w:altName w:val="冬青黑体简体中文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苹方-简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宋体-简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报隶-简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方正仿宋_GBK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Chalkboard SE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Charter Roman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D63BA"/>
    <w:multiLevelType w:val="singleLevel"/>
    <w:tmpl w:val="DFFD63BA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FBEE66D8"/>
    <w:multiLevelType w:val="singleLevel"/>
    <w:tmpl w:val="FBEE66D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7DBEC36D"/>
    <w:multiLevelType w:val="multilevel"/>
    <w:tmpl w:val="7DBEC36D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E356A4"/>
    <w:rsid w:val="7FFE0565"/>
    <w:rsid w:val="8FEF7CD9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Songti SC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Songti SC Bold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Songti SC Bold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uiPriority w:val="0"/>
    <w:rPr>
      <w:rFonts w:hint="default" w:ascii="Arial" w:hAnsi="Arial" w:eastAsia="Songti SC Bold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134</Words>
  <Characters>770</Characters>
  <Lines>6</Lines>
  <Paragraphs>1</Paragraphs>
  <TotalTime>22</TotalTime>
  <ScaleCrop>false</ScaleCrop>
  <LinksUpToDate>false</LinksUpToDate>
  <CharactersWithSpaces>903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2025-12-18T16:21:00Z</dcterms:created>
  <dc:creator>8000115456</dc:creator>
  <cp:lastModifiedBy>WPS_1553953458</cp:lastModifiedBy>
  <dcterms:modified xsi:type="dcterms:W3CDTF">2025-12-29T17:23:03Z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2052-12.1.24031.24031</vt:lpwstr>
  </property>
  <property fmtid="{D5CDD505-2E9C-101B-9397-08002B2CF9AE}" pid="6" name="ICV">
    <vt:lpwstr>780C8E6ECCACE47777485269D3A9B69E_43</vt:lpwstr>
  </property>
</Properties>
</file>