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62BDA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B5FE2D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8D045B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ECD2C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C5EED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0BF376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62136D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1DF5223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ED18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99B09D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A195F2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A657A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5704A8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D8694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08E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088FB6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97E232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716F6B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2B8136D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  <w:r>
        <w:rPr>
          <w:rFonts w:hint="eastAsia" w:ascii="黑体" w:eastAsia="黑体"/>
          <w:caps/>
          <w:szCs w:val="44"/>
        </w:rPr>
        <w:t>·</w:t>
      </w:r>
    </w:p>
    <w:p w14:paraId="6ACDE19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65F946F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2E56C2C">
      <w:pPr>
        <w:pStyle w:val="50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77551389">
      <w:pPr>
        <w:pStyle w:val="50"/>
        <w:ind w:left="420"/>
        <w:jc w:val="center"/>
        <w:rPr>
          <w:rFonts w:ascii="Arial" w:hAnsi="Arial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xx</w:t>
      </w:r>
      <w:r>
        <w:rPr>
          <w:rFonts w:hint="eastAsia" w:ascii="Arial" w:hAnsi="Arial" w:eastAsia="黑体"/>
          <w:caps/>
          <w:lang w:val="en-US"/>
        </w:rPr>
        <w:t>系统项目计划书</w:t>
      </w:r>
    </w:p>
    <w:p w14:paraId="15DB54E6"/>
    <w:p w14:paraId="1A54C536">
      <w:pPr>
        <w:widowControl/>
        <w:jc w:val="left"/>
      </w:pPr>
      <w:bookmarkStart w:id="0" w:name="_Toc208994575"/>
      <w:bookmarkStart w:id="1" w:name="_Toc312161398"/>
    </w:p>
    <w:p w14:paraId="411E714C">
      <w:pPr>
        <w:widowControl/>
        <w:jc w:val="left"/>
      </w:pPr>
    </w:p>
    <w:p w14:paraId="47ED51CB">
      <w:pPr>
        <w:widowControl/>
        <w:jc w:val="left"/>
      </w:pPr>
    </w:p>
    <w:p w14:paraId="4AB9E4BE">
      <w:pPr>
        <w:widowControl/>
        <w:jc w:val="left"/>
      </w:pPr>
    </w:p>
    <w:p w14:paraId="1E435960">
      <w:pPr>
        <w:widowControl/>
        <w:jc w:val="left"/>
      </w:pPr>
    </w:p>
    <w:p w14:paraId="602C3AEE">
      <w:pPr>
        <w:widowControl/>
        <w:jc w:val="left"/>
      </w:pPr>
    </w:p>
    <w:p w14:paraId="1F65D370">
      <w:pPr>
        <w:widowControl/>
        <w:jc w:val="left"/>
      </w:pPr>
    </w:p>
    <w:tbl>
      <w:tblPr>
        <w:tblStyle w:val="24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70D3E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44EB311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A38424F">
            <w:pPr>
              <w:widowControl/>
              <w:spacing w:line="360" w:lineRule="auto"/>
              <w:jc w:val="left"/>
            </w:pPr>
            <w:r>
              <w:rPr>
                <w:rFonts w:hint="eastAsia"/>
                <w:lang w:val="en-US" w:eastAsia="zh-CN"/>
              </w:rPr>
              <w:t>杨佳林</w:t>
            </w:r>
          </w:p>
        </w:tc>
        <w:tc>
          <w:tcPr>
            <w:tcW w:w="850" w:type="dxa"/>
            <w:vAlign w:val="bottom"/>
          </w:tcPr>
          <w:p w14:paraId="4B548DD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5D25357">
            <w:pPr>
              <w:widowControl/>
              <w:spacing w:line="360" w:lineRule="auto"/>
              <w:jc w:val="left"/>
            </w:pPr>
            <w:r>
              <w:rPr>
                <w:rFonts w:hint="eastAsia"/>
                <w:sz w:val="20"/>
              </w:rPr>
              <w:t>2025</w:t>
            </w:r>
            <w:r>
              <w:rPr>
                <w:rFonts w:hint="eastAsia"/>
                <w:sz w:val="20"/>
                <w:lang w:val="en-US" w:eastAsia="zh-CN"/>
              </w:rPr>
              <w:t>年</w:t>
            </w:r>
            <w:r>
              <w:rPr>
                <w:rFonts w:hint="eastAsia"/>
                <w:sz w:val="20"/>
              </w:rPr>
              <w:t>12</w:t>
            </w:r>
            <w:r>
              <w:rPr>
                <w:rFonts w:hint="eastAsia"/>
                <w:sz w:val="20"/>
                <w:lang w:val="en-US" w:eastAsia="zh-CN"/>
              </w:rPr>
              <w:t>月30日</w:t>
            </w:r>
          </w:p>
        </w:tc>
      </w:tr>
      <w:tr w14:paraId="3E5B5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0CA262A4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AED91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ACBF577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94BE75">
            <w:pPr>
              <w:widowControl/>
              <w:spacing w:line="360" w:lineRule="auto"/>
              <w:jc w:val="left"/>
            </w:pPr>
          </w:p>
        </w:tc>
      </w:tr>
      <w:tr w14:paraId="57B73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1D05FE2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1FB4CC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60BD2271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DF3313">
            <w:pPr>
              <w:widowControl/>
              <w:spacing w:line="360" w:lineRule="auto"/>
              <w:jc w:val="left"/>
            </w:pPr>
          </w:p>
        </w:tc>
      </w:tr>
      <w:tr w14:paraId="39EC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2B4E9E46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21AB5DB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55BF3E8A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4CF25E1">
            <w:pPr>
              <w:widowControl/>
              <w:spacing w:line="360" w:lineRule="auto"/>
              <w:jc w:val="left"/>
            </w:pPr>
          </w:p>
        </w:tc>
      </w:tr>
    </w:tbl>
    <w:p w14:paraId="1AB35CD7">
      <w:pPr>
        <w:widowControl/>
        <w:jc w:val="left"/>
      </w:pPr>
    </w:p>
    <w:p w14:paraId="2C6331CD">
      <w:pPr>
        <w:widowControl/>
        <w:jc w:val="left"/>
      </w:pPr>
    </w:p>
    <w:p w14:paraId="12F570C7">
      <w:pPr>
        <w:widowControl/>
        <w:jc w:val="left"/>
      </w:pPr>
    </w:p>
    <w:p w14:paraId="6E72273D">
      <w:pPr>
        <w:widowControl/>
        <w:jc w:val="left"/>
      </w:pPr>
    </w:p>
    <w:p w14:paraId="6F172020">
      <w:pPr>
        <w:widowControl/>
        <w:jc w:val="left"/>
      </w:pPr>
      <w:r>
        <w:br w:type="page"/>
      </w:r>
    </w:p>
    <w:p w14:paraId="00DC7175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3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040F7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3F93BCB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B77AD9F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294C67B2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7332D8F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0BA4DE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64AF115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6762C0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C85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73407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43F5EA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3DF822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杨佳林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F65204B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C552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0"/>
                <w:szCs w:val="24"/>
                <w:lang w:val="en-US" w:eastAsia="zh-CN" w:bidi="ar-SA"/>
              </w:rPr>
              <w:t>测试用例同行评审记录</w:t>
            </w:r>
          </w:p>
        </w:tc>
      </w:tr>
      <w:tr w14:paraId="40A506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0225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385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8779C4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74499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BEF66BD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A45539A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B209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0A4C7D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2527CF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5063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C59E6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191B84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584375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1021F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824408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8DB58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83A34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1C7CC5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CEB433F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87F8BC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7CB756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9FA7F4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FAE8D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2AE7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AABE14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44AD25E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575367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/>
    <w:p w14:paraId="1D9D9B2D">
      <w:pPr>
        <w:widowControl/>
        <w:jc w:val="left"/>
      </w:pPr>
      <w:r>
        <w:br w:type="page"/>
      </w:r>
    </w:p>
    <w:p w14:paraId="4256D162"/>
    <w:bookmarkEnd w:id="0"/>
    <w:bookmarkEnd w:id="1"/>
    <w:p w14:paraId="17AB73BF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目录</w:t>
      </w:r>
    </w:p>
    <w:sdt>
      <w:sdtPr>
        <w:rPr>
          <w:rFonts w:ascii="宋体" w:hAnsi="宋体"/>
        </w:rPr>
        <w:id w:val="28783880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Cs w:val="30"/>
        </w:rPr>
      </w:sdtEndPr>
      <w:sdtContent>
        <w:p w14:paraId="27842361">
          <w:pPr>
            <w:rPr>
              <w:rFonts w:hint="eastAsia"/>
            </w:rPr>
          </w:pPr>
        </w:p>
        <w:p w14:paraId="7935B6E0">
          <w:pPr>
            <w:pStyle w:val="19"/>
            <w:tabs>
              <w:tab w:val="right" w:leader="dot" w:pos="8306"/>
            </w:tabs>
          </w:pPr>
          <w:r>
            <w:rPr>
              <w:b/>
              <w:sz w:val="30"/>
              <w:szCs w:val="30"/>
            </w:rPr>
            <w:fldChar w:fldCharType="begin"/>
          </w:r>
          <w:r>
            <w:rPr>
              <w:b/>
              <w:sz w:val="30"/>
              <w:szCs w:val="30"/>
            </w:rPr>
            <w:instrText xml:space="preserve">TOC \o "1-1" \h \u </w:instrText>
          </w:r>
          <w:r>
            <w:rPr>
              <w:b/>
              <w:sz w:val="30"/>
              <w:szCs w:val="30"/>
            </w:rPr>
            <w:fldChar w:fldCharType="separate"/>
          </w: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_Toc27895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1. </w:t>
          </w:r>
          <w:r>
            <w:rPr>
              <w:rFonts w:hint="default"/>
            </w:rPr>
            <w:t>参会人员：</w:t>
          </w:r>
          <w:r>
            <w:tab/>
          </w:r>
          <w:r>
            <w:fldChar w:fldCharType="begin"/>
          </w:r>
          <w:r>
            <w:instrText xml:space="preserve"> PAGEREF _Toc27895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0BD1C185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_Toc31570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2. </w:t>
          </w:r>
          <w:r>
            <w:rPr>
              <w:rFonts w:hint="default"/>
            </w:rPr>
            <w:t>评审目的：</w:t>
          </w:r>
          <w:r>
            <w:tab/>
          </w:r>
          <w:r>
            <w:fldChar w:fldCharType="begin"/>
          </w:r>
          <w:r>
            <w:instrText xml:space="preserve"> PAGEREF _Toc31570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58D05F43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_Toc18600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3. </w:t>
          </w:r>
          <w:r>
            <w:rPr>
              <w:rFonts w:hint="default"/>
            </w:rPr>
            <w:t>评审内容： 针对《测试用例》文档中的全部用例进行评审</w:t>
          </w:r>
          <w:r>
            <w:tab/>
          </w:r>
          <w:r>
            <w:fldChar w:fldCharType="begin"/>
          </w:r>
          <w:r>
            <w:instrText xml:space="preserve"> PAGEREF _Toc18600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5C50C2E9">
          <w:pPr>
            <w:pStyle w:val="19"/>
            <w:tabs>
              <w:tab w:val="right" w:leader="dot" w:pos="8306"/>
            </w:tabs>
          </w:pPr>
          <w:r>
            <w:rPr>
              <w:szCs w:val="30"/>
            </w:rPr>
            <w:fldChar w:fldCharType="begin"/>
          </w:r>
          <w:r>
            <w:rPr>
              <w:szCs w:val="30"/>
            </w:rPr>
            <w:instrText xml:space="preserve"> HYPERLINK \l _Toc22691 </w:instrText>
          </w:r>
          <w:r>
            <w:rPr>
              <w:szCs w:val="30"/>
            </w:rPr>
            <w:fldChar w:fldCharType="separate"/>
          </w:r>
          <w:r>
            <w:rPr>
              <w:rFonts w:hint="default" w:ascii="Arial" w:hAnsi="Arial" w:cs="Arial"/>
            </w:rPr>
            <w:t xml:space="preserve">4. </w:t>
          </w:r>
          <w:r>
            <w:rPr>
              <w:rFonts w:hint="default"/>
            </w:rPr>
            <w:t>评审结论：</w:t>
          </w:r>
          <w:r>
            <w:tab/>
          </w:r>
          <w:r>
            <w:fldChar w:fldCharType="begin"/>
          </w:r>
          <w:r>
            <w:instrText xml:space="preserve"> PAGEREF _Toc22691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30"/>
            </w:rPr>
            <w:fldChar w:fldCharType="end"/>
          </w:r>
        </w:p>
        <w:p w14:paraId="14DC80D1">
          <w:pPr>
            <w:jc w:val="center"/>
            <w:rPr>
              <w:szCs w:val="30"/>
            </w:rPr>
          </w:pPr>
          <w:r>
            <w:rPr>
              <w:szCs w:val="30"/>
            </w:rPr>
            <w:fldChar w:fldCharType="end"/>
          </w:r>
        </w:p>
      </w:sdtContent>
    </w:sdt>
    <w:p w14:paraId="6A467DE8">
      <w:pPr>
        <w:jc w:val="center"/>
        <w:rPr>
          <w:szCs w:val="30"/>
        </w:rPr>
      </w:pPr>
    </w:p>
    <w:p w14:paraId="2D591F06">
      <w:pPr>
        <w:widowControl/>
        <w:jc w:val="left"/>
      </w:pPr>
      <w:bookmarkStart w:id="6" w:name="_GoBack"/>
      <w:bookmarkEnd w:id="6"/>
    </w:p>
    <w:p w14:paraId="4F07F8AE">
      <w:pPr>
        <w:widowControl/>
        <w:jc w:val="left"/>
      </w:pPr>
    </w:p>
    <w:p w14:paraId="7FDBFA55">
      <w:pPr>
        <w:widowControl/>
        <w:jc w:val="left"/>
      </w:pPr>
    </w:p>
    <w:p w14:paraId="351F87E4">
      <w:pPr>
        <w:widowControl/>
        <w:jc w:val="left"/>
      </w:pPr>
    </w:p>
    <w:p w14:paraId="15ACF6CB">
      <w:pPr>
        <w:widowControl/>
        <w:jc w:val="left"/>
      </w:pPr>
    </w:p>
    <w:p w14:paraId="27848FBB">
      <w:pPr>
        <w:widowControl/>
        <w:jc w:val="left"/>
      </w:pPr>
    </w:p>
    <w:p w14:paraId="238AC570">
      <w:pPr>
        <w:widowControl/>
        <w:jc w:val="left"/>
      </w:pPr>
    </w:p>
    <w:p w14:paraId="1DC51EA0">
      <w:pPr>
        <w:widowControl/>
        <w:jc w:val="left"/>
      </w:pPr>
    </w:p>
    <w:p w14:paraId="2E3497CC">
      <w:pPr>
        <w:widowControl/>
        <w:jc w:val="left"/>
      </w:pPr>
    </w:p>
    <w:p w14:paraId="32B04560">
      <w:pPr>
        <w:widowControl/>
        <w:jc w:val="left"/>
      </w:pPr>
    </w:p>
    <w:p w14:paraId="2F624CAB">
      <w:pPr>
        <w:widowControl/>
        <w:jc w:val="left"/>
      </w:pPr>
    </w:p>
    <w:p w14:paraId="6923F8F6">
      <w:pPr>
        <w:widowControl/>
        <w:jc w:val="left"/>
      </w:pPr>
    </w:p>
    <w:p w14:paraId="2412E217">
      <w:pPr>
        <w:widowControl/>
        <w:jc w:val="left"/>
      </w:pPr>
    </w:p>
    <w:p w14:paraId="03785557">
      <w:pPr>
        <w:widowControl/>
        <w:jc w:val="left"/>
      </w:pPr>
    </w:p>
    <w:p w14:paraId="3A6E9AEF">
      <w:pPr>
        <w:widowControl/>
        <w:jc w:val="left"/>
      </w:pPr>
    </w:p>
    <w:p w14:paraId="403AA2BC">
      <w:pPr>
        <w:widowControl/>
        <w:jc w:val="left"/>
      </w:pPr>
    </w:p>
    <w:p w14:paraId="2481CCF5">
      <w:pPr>
        <w:widowControl/>
        <w:jc w:val="left"/>
      </w:pPr>
    </w:p>
    <w:p w14:paraId="22A0917F">
      <w:pPr>
        <w:widowControl/>
        <w:jc w:val="left"/>
      </w:pPr>
    </w:p>
    <w:p w14:paraId="04FA7B59">
      <w:pPr>
        <w:widowControl/>
        <w:jc w:val="left"/>
      </w:pPr>
    </w:p>
    <w:p w14:paraId="185AC061">
      <w:pPr>
        <w:widowControl/>
        <w:jc w:val="left"/>
      </w:pPr>
    </w:p>
    <w:p w14:paraId="6C9301CF">
      <w:pPr>
        <w:widowControl/>
        <w:jc w:val="left"/>
      </w:pPr>
    </w:p>
    <w:p w14:paraId="5EB9415B">
      <w:pPr>
        <w:widowControl/>
        <w:jc w:val="left"/>
      </w:pPr>
    </w:p>
    <w:p w14:paraId="040D3447">
      <w:pPr>
        <w:widowControl/>
        <w:jc w:val="left"/>
      </w:pPr>
    </w:p>
    <w:p w14:paraId="099B30B5">
      <w:pPr>
        <w:widowControl/>
        <w:jc w:val="left"/>
      </w:pPr>
    </w:p>
    <w:p w14:paraId="21A849FA">
      <w:pPr>
        <w:widowControl/>
        <w:jc w:val="left"/>
      </w:pPr>
    </w:p>
    <w:p w14:paraId="502AB477">
      <w:pPr>
        <w:widowControl/>
        <w:jc w:val="left"/>
      </w:pPr>
    </w:p>
    <w:p w14:paraId="115A1F5C">
      <w:pPr>
        <w:widowControl/>
        <w:jc w:val="left"/>
      </w:pPr>
    </w:p>
    <w:p w14:paraId="4971D600">
      <w:pPr>
        <w:widowControl/>
        <w:jc w:val="left"/>
      </w:pPr>
    </w:p>
    <w:p w14:paraId="2F2BA614">
      <w:pPr>
        <w:widowControl/>
        <w:jc w:val="left"/>
      </w:pPr>
    </w:p>
    <w:p w14:paraId="388F0C35">
      <w:pPr>
        <w:widowControl/>
        <w:jc w:val="left"/>
      </w:pPr>
    </w:p>
    <w:p w14:paraId="7893E4DC"/>
    <w:p w14:paraId="027274F9">
      <w:pPr>
        <w:pStyle w:val="2"/>
        <w:bidi w:val="0"/>
        <w:rPr>
          <w:rFonts w:hint="eastAsia"/>
        </w:rPr>
      </w:pPr>
      <w:bookmarkStart w:id="2" w:name="_Toc27895"/>
      <w:r>
        <w:rPr>
          <w:rFonts w:hint="default"/>
        </w:rPr>
        <w:t>参会人员：</w:t>
      </w:r>
      <w:bookmarkEnd w:id="2"/>
    </w:p>
    <w:p w14:paraId="3D81C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测试代表： 陆远</w:t>
      </w:r>
    </w:p>
    <w:p w14:paraId="05154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开发代表： 柯帮国</w:t>
      </w:r>
    </w:p>
    <w:p w14:paraId="7B87D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产品代表： 陈欣</w:t>
      </w:r>
    </w:p>
    <w:p w14:paraId="4125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质量保证： </w:t>
      </w:r>
      <w:r>
        <w:rPr>
          <w:rFonts w:hint="eastAsia" w:ascii="宋体" w:hAnsi="宋体" w:eastAsia="宋体" w:cs="宋体"/>
          <w:sz w:val="24"/>
          <w:szCs w:val="24"/>
          <w14:ligatures w14:val="standardContextual"/>
        </w:rPr>
        <w:t>刘建</w:t>
      </w:r>
    </w:p>
    <w:p w14:paraId="51EDD0FA">
      <w:pPr>
        <w:pStyle w:val="2"/>
        <w:bidi w:val="0"/>
        <w:rPr>
          <w:rFonts w:hint="eastAsia"/>
        </w:rPr>
      </w:pPr>
      <w:bookmarkStart w:id="3" w:name="_Toc31570"/>
      <w:r>
        <w:rPr>
          <w:rFonts w:hint="default"/>
        </w:rPr>
        <w:t>评审目的：</w:t>
      </w:r>
      <w:bookmarkEnd w:id="3"/>
    </w:p>
    <w:p w14:paraId="3BE9A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确保测试用例覆盖了需求规格说明中的核心功能。</w:t>
      </w:r>
    </w:p>
    <w:p w14:paraId="46661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检查测试用例的准确性、清晰度和可执行性。</w:t>
      </w:r>
    </w:p>
    <w:p w14:paraId="370F9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发现用例设计中可能存在的遗漏、错误或冗余。</w:t>
      </w:r>
    </w:p>
    <w:p w14:paraId="33F93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对齐不同角色对功能的理解。</w:t>
      </w:r>
    </w:p>
    <w:p w14:paraId="176A9FB7">
      <w:pPr>
        <w:pStyle w:val="2"/>
        <w:bidi w:val="0"/>
        <w:rPr>
          <w:rFonts w:hint="eastAsia"/>
        </w:rPr>
      </w:pPr>
      <w:bookmarkStart w:id="4" w:name="_Toc18600"/>
      <w:r>
        <w:rPr>
          <w:rFonts w:hint="default"/>
        </w:rPr>
        <w:t>评审内容： 针对《测试用例》文档中的全部用例进行评审</w:t>
      </w:r>
      <w:bookmarkEnd w:id="4"/>
    </w:p>
    <w:tbl>
      <w:tblPr>
        <w:tblStyle w:val="24"/>
        <w:tblW w:w="99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317"/>
        <w:gridCol w:w="1217"/>
        <w:gridCol w:w="808"/>
        <w:gridCol w:w="958"/>
        <w:gridCol w:w="2267"/>
        <w:gridCol w:w="875"/>
        <w:gridCol w:w="825"/>
      </w:tblGrid>
      <w:tr w14:paraId="3F44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6373BD0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序号</w:t>
            </w:r>
          </w:p>
        </w:tc>
        <w:tc>
          <w:tcPr>
            <w:tcW w:w="2317" w:type="dxa"/>
          </w:tcPr>
          <w:p w14:paraId="4DC1711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问题描述 / 建议</w:t>
            </w:r>
          </w:p>
        </w:tc>
        <w:tc>
          <w:tcPr>
            <w:tcW w:w="1217" w:type="dxa"/>
          </w:tcPr>
          <w:p w14:paraId="080B34E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涉及用例ID</w:t>
            </w:r>
          </w:p>
        </w:tc>
        <w:tc>
          <w:tcPr>
            <w:tcW w:w="808" w:type="dxa"/>
          </w:tcPr>
          <w:p w14:paraId="771F78F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提出人</w:t>
            </w:r>
          </w:p>
        </w:tc>
        <w:tc>
          <w:tcPr>
            <w:tcW w:w="958" w:type="dxa"/>
          </w:tcPr>
          <w:p w14:paraId="51BA9A9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问题类型</w:t>
            </w:r>
          </w:p>
        </w:tc>
        <w:tc>
          <w:tcPr>
            <w:tcW w:w="2267" w:type="dxa"/>
          </w:tcPr>
          <w:p w14:paraId="1FB3AC9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结论与修改建议</w:t>
            </w:r>
          </w:p>
        </w:tc>
        <w:tc>
          <w:tcPr>
            <w:tcW w:w="875" w:type="dxa"/>
          </w:tcPr>
          <w:p w14:paraId="34EDC8C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责任人</w:t>
            </w:r>
          </w:p>
        </w:tc>
        <w:tc>
          <w:tcPr>
            <w:tcW w:w="825" w:type="dxa"/>
          </w:tcPr>
          <w:p w14:paraId="55075B2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状态</w:t>
            </w:r>
          </w:p>
        </w:tc>
      </w:tr>
      <w:tr w14:paraId="49E4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10EACAF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1</w:t>
            </w:r>
          </w:p>
        </w:tc>
        <w:tc>
          <w:tcPr>
            <w:tcW w:w="2317" w:type="dxa"/>
          </w:tcPr>
          <w:p w14:paraId="226509B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建议补充“活动报名”流程的测试用例。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当前用例集中在发布和管理，但学生报名是核心用户场景。</w:t>
            </w:r>
          </w:p>
        </w:tc>
        <w:tc>
          <w:tcPr>
            <w:tcW w:w="1217" w:type="dxa"/>
          </w:tcPr>
          <w:p w14:paraId="3CAE53E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无</w:t>
            </w:r>
          </w:p>
        </w:tc>
        <w:tc>
          <w:tcPr>
            <w:tcW w:w="808" w:type="dxa"/>
          </w:tcPr>
          <w:p w14:paraId="78438DE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958" w:type="dxa"/>
          </w:tcPr>
          <w:p w14:paraId="738DFCD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用例遗漏</w:t>
            </w:r>
          </w:p>
        </w:tc>
        <w:tc>
          <w:tcPr>
            <w:tcW w:w="2267" w:type="dxa"/>
          </w:tcPr>
          <w:p w14:paraId="241F2E4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同意补充。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需增加：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1. 学生正常报名、取消报名。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报名人数已满时的提示。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3. 报名截止时间后的操作限制</w:t>
            </w:r>
          </w:p>
        </w:tc>
        <w:tc>
          <w:tcPr>
            <w:tcW w:w="875" w:type="dxa"/>
          </w:tcPr>
          <w:p w14:paraId="15D2A22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825" w:type="dxa"/>
          </w:tcPr>
          <w:p w14:paraId="2AAE720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已解决</w:t>
            </w:r>
          </w:p>
        </w:tc>
      </w:tr>
      <w:tr w14:paraId="5E82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0116F5A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2</w:t>
            </w:r>
          </w:p>
        </w:tc>
        <w:tc>
          <w:tcPr>
            <w:tcW w:w="2317" w:type="dxa"/>
          </w:tcPr>
          <w:p w14:paraId="3CCA4A1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用例ST-ACT-004中，边界值考虑不足。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将人数限制从10改为4（当前报名5人）会失败，但从10改为5呢？系统是否允许等于当前报名数？</w:t>
            </w:r>
          </w:p>
        </w:tc>
        <w:tc>
          <w:tcPr>
            <w:tcW w:w="1217" w:type="dxa"/>
          </w:tcPr>
          <w:p w14:paraId="5F6A2C3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ST-ACT-004</w:t>
            </w:r>
          </w:p>
        </w:tc>
        <w:tc>
          <w:tcPr>
            <w:tcW w:w="808" w:type="dxa"/>
          </w:tcPr>
          <w:p w14:paraId="78C8F1B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958" w:type="dxa"/>
          </w:tcPr>
          <w:p w14:paraId="168246A0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边界值缺失</w:t>
            </w:r>
          </w:p>
        </w:tc>
        <w:tc>
          <w:tcPr>
            <w:tcW w:w="2267" w:type="dxa"/>
          </w:tcPr>
          <w:p w14:paraId="3E754D1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需明确规则。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与产品确认后，规则应为：修改后的人数限制不得小于当前已报名人数。用例需修改步骤和预期结果，并补充“修改为等于当前人数（5）”的测试场景</w:t>
            </w:r>
          </w:p>
        </w:tc>
        <w:tc>
          <w:tcPr>
            <w:tcW w:w="875" w:type="dxa"/>
          </w:tcPr>
          <w:p w14:paraId="275B7A7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825" w:type="dxa"/>
          </w:tcPr>
          <w:p w14:paraId="0B822D9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已解决</w:t>
            </w:r>
          </w:p>
        </w:tc>
      </w:tr>
      <w:tr w14:paraId="26A0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2955CF1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3</w:t>
            </w:r>
          </w:p>
        </w:tc>
        <w:tc>
          <w:tcPr>
            <w:tcW w:w="2317" w:type="dxa"/>
          </w:tcPr>
          <w:p w14:paraId="63EC9C7B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成员管理模块缺少“退出社团”的普通成员视角用例。</w:t>
            </w:r>
          </w:p>
        </w:tc>
        <w:tc>
          <w:tcPr>
            <w:tcW w:w="1217" w:type="dxa"/>
          </w:tcPr>
          <w:p w14:paraId="0597997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无</w:t>
            </w:r>
          </w:p>
        </w:tc>
        <w:tc>
          <w:tcPr>
            <w:tcW w:w="808" w:type="dxa"/>
          </w:tcPr>
          <w:p w14:paraId="30FC724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柯帮国</w:t>
            </w:r>
          </w:p>
          <w:p w14:paraId="5B2797C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</w:p>
        </w:tc>
        <w:tc>
          <w:tcPr>
            <w:tcW w:w="958" w:type="dxa"/>
          </w:tcPr>
          <w:p w14:paraId="67EB18A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用例遗漏</w:t>
            </w:r>
          </w:p>
        </w:tc>
        <w:tc>
          <w:tcPr>
            <w:tcW w:w="2267" w:type="dxa"/>
          </w:tcPr>
          <w:p w14:paraId="0576169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同意补充。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增加用例：已验证成员登录后，在已加入的社团详情页点击“退出社团”的功能验证。</w:t>
            </w:r>
          </w:p>
        </w:tc>
        <w:tc>
          <w:tcPr>
            <w:tcW w:w="875" w:type="dxa"/>
          </w:tcPr>
          <w:p w14:paraId="44B4B6F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825" w:type="dxa"/>
          </w:tcPr>
          <w:p w14:paraId="00207C0D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已解决</w:t>
            </w:r>
          </w:p>
        </w:tc>
      </w:tr>
      <w:tr w14:paraId="76A8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449A4689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4</w:t>
            </w:r>
          </w:p>
        </w:tc>
        <w:tc>
          <w:tcPr>
            <w:tcW w:w="2317" w:type="dxa"/>
          </w:tcPr>
          <w:p w14:paraId="787BA8F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性能与安全性建议。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用例均为功能测试，建议在测试计划中补充：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1. 导出大量数据（如万人报名）的性能。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br w:type="textWrapping"/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2. 越权操作测试（如普通学生尝试审核社团）。</w:t>
            </w:r>
          </w:p>
        </w:tc>
        <w:tc>
          <w:tcPr>
            <w:tcW w:w="1217" w:type="dxa"/>
          </w:tcPr>
          <w:p w14:paraId="67F2BB0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整体</w:t>
            </w:r>
          </w:p>
        </w:tc>
        <w:tc>
          <w:tcPr>
            <w:tcW w:w="808" w:type="dxa"/>
          </w:tcPr>
          <w:p w14:paraId="307E357E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刘建</w:t>
            </w:r>
          </w:p>
          <w:p w14:paraId="745A6C3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</w:p>
        </w:tc>
        <w:tc>
          <w:tcPr>
            <w:tcW w:w="958" w:type="dxa"/>
          </w:tcPr>
          <w:p w14:paraId="20B8D3D3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测试类型建议</w:t>
            </w:r>
          </w:p>
        </w:tc>
        <w:tc>
          <w:tcPr>
            <w:tcW w:w="2267" w:type="dxa"/>
          </w:tcPr>
          <w:p w14:paraId="208E9031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采纳建议。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此部分内容不写入当前功能测试用例文档，但应在《系统测试计划》中增加“非功能测试”章节，并单独设计性能和安全性测试用例。</w:t>
            </w:r>
          </w:p>
        </w:tc>
        <w:tc>
          <w:tcPr>
            <w:tcW w:w="875" w:type="dxa"/>
          </w:tcPr>
          <w:p w14:paraId="76F289D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刘建</w:t>
            </w:r>
          </w:p>
        </w:tc>
        <w:tc>
          <w:tcPr>
            <w:tcW w:w="825" w:type="dxa"/>
          </w:tcPr>
          <w:p w14:paraId="53CAEF6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已记录</w:t>
            </w:r>
          </w:p>
        </w:tc>
      </w:tr>
      <w:tr w14:paraId="7E27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3332CBF0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5</w:t>
            </w:r>
          </w:p>
        </w:tc>
        <w:tc>
          <w:tcPr>
            <w:tcW w:w="2317" w:type="dxa"/>
          </w:tcPr>
          <w:p w14:paraId="008DA7C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用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例ST-REG-001前置条件过严。 系统是否真不允许一个学生创建多个社团？需求文档中未明确。</w:t>
            </w:r>
          </w:p>
        </w:tc>
        <w:tc>
          <w:tcPr>
            <w:tcW w:w="1217" w:type="dxa"/>
          </w:tcPr>
          <w:p w14:paraId="2386DFF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ST-REG-001</w:t>
            </w:r>
          </w:p>
        </w:tc>
        <w:tc>
          <w:tcPr>
            <w:tcW w:w="808" w:type="dxa"/>
          </w:tcPr>
          <w:p w14:paraId="6DDE14C5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刘建</w:t>
            </w:r>
          </w:p>
          <w:p w14:paraId="6179EC66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</w:p>
        </w:tc>
        <w:tc>
          <w:tcPr>
            <w:tcW w:w="958" w:type="dxa"/>
          </w:tcPr>
          <w:p w14:paraId="0413ABD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澄清</w:t>
            </w:r>
          </w:p>
        </w:tc>
        <w:tc>
          <w:tcPr>
            <w:tcW w:w="2267" w:type="dxa"/>
          </w:tcPr>
          <w:p w14:paraId="125EB5FC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需确认需求。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产品经理会后确认：允许一个学生创建或管理多个社团。前置条件需修改为“该学生创建社团数未达到上限（如3个）”。</w:t>
            </w:r>
          </w:p>
        </w:tc>
        <w:tc>
          <w:tcPr>
            <w:tcW w:w="875" w:type="dxa"/>
          </w:tcPr>
          <w:p w14:paraId="4C234C2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825" w:type="dxa"/>
          </w:tcPr>
          <w:p w14:paraId="7C0B959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已解决</w:t>
            </w:r>
          </w:p>
        </w:tc>
      </w:tr>
      <w:tr w14:paraId="2674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</w:tcPr>
          <w:p w14:paraId="4406AEA5">
            <w:pPr>
              <w:spacing w:before="120" w:after="120" w:line="288" w:lineRule="auto"/>
              <w:ind w:firstLine="0" w:firstLineChars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standardContextual"/>
              </w:rPr>
              <w:t>6</w:t>
            </w:r>
          </w:p>
        </w:tc>
        <w:tc>
          <w:tcPr>
            <w:tcW w:w="2317" w:type="dxa"/>
          </w:tcPr>
          <w:p w14:paraId="66DBCD27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UI/UX建议。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在ST-ACT-005（取消活动）中，预期结果可补充：活动在首页“活动广场”应不再显示或明确标记为“已取消”。</w:t>
            </w:r>
          </w:p>
        </w:tc>
        <w:tc>
          <w:tcPr>
            <w:tcW w:w="1217" w:type="dxa"/>
          </w:tcPr>
          <w:p w14:paraId="5AE7725A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ST-ACT-005</w:t>
            </w:r>
          </w:p>
        </w:tc>
        <w:tc>
          <w:tcPr>
            <w:tcW w:w="808" w:type="dxa"/>
          </w:tcPr>
          <w:p w14:paraId="055C6B1F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陈欣</w:t>
            </w:r>
          </w:p>
        </w:tc>
        <w:tc>
          <w:tcPr>
            <w:tcW w:w="958" w:type="dxa"/>
          </w:tcPr>
          <w:p w14:paraId="5139F8E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用户体验</w:t>
            </w:r>
          </w:p>
        </w:tc>
        <w:tc>
          <w:tcPr>
            <w:tcW w:w="2267" w:type="dxa"/>
          </w:tcPr>
          <w:p w14:paraId="2150D708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同意补充。</w:t>
            </w: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 在预期结果中增加一条：“3. 该活动在首页活动广场的展示应有明显变化（如置灰、增加‘已取消’标签）”。</w:t>
            </w:r>
          </w:p>
        </w:tc>
        <w:tc>
          <w:tcPr>
            <w:tcW w:w="875" w:type="dxa"/>
          </w:tcPr>
          <w:p w14:paraId="778ADE32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14:ligatures w14:val="standardContextual"/>
              </w:rPr>
              <w:t>陆远</w:t>
            </w:r>
          </w:p>
        </w:tc>
        <w:tc>
          <w:tcPr>
            <w:tcW w:w="825" w:type="dxa"/>
          </w:tcPr>
          <w:p w14:paraId="1B83E1B4">
            <w:pPr>
              <w:spacing w:before="120" w:after="120" w:line="288" w:lineRule="auto"/>
              <w:ind w:firstLine="0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standardContextual"/>
              </w:rPr>
              <w:t>已解决</w:t>
            </w:r>
          </w:p>
        </w:tc>
      </w:tr>
    </w:tbl>
    <w:p w14:paraId="6587D86A">
      <w:pPr>
        <w:pStyle w:val="2"/>
        <w:bidi w:val="0"/>
        <w:rPr>
          <w:rFonts w:hint="default"/>
        </w:rPr>
      </w:pPr>
      <w:bookmarkStart w:id="5" w:name="_Toc22691"/>
      <w:r>
        <w:rPr>
          <w:rFonts w:hint="default"/>
        </w:rPr>
        <w:t>评审结论：</w:t>
      </w:r>
      <w:bookmarkEnd w:id="5"/>
    </w:p>
    <w:p w14:paraId="598CF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通过情况：有条件通过。测试用例框架完整，覆盖了主要功能路径，但需根据评审意见进行补充和修改。</w:t>
      </w:r>
    </w:p>
    <w:p w14:paraId="02B7D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主要待办事项：</w:t>
      </w:r>
    </w:p>
    <w:p w14:paraId="672EC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测试工程师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路远</w:t>
      </w: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根据评审记录，在2个工作日内更新测试用例文档（V1.1）。</w:t>
      </w:r>
    </w:p>
    <w:p w14:paraId="0CEA7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产品经理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陈欣</w:t>
      </w: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就“学生创建社团数量限制”问题给出最终决策并同步团队。</w:t>
      </w:r>
    </w:p>
    <w:p w14:paraId="371DC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测试经理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杨佳林</w:t>
      </w: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在测试计划中规划非功能测试环节。</w:t>
      </w:r>
    </w:p>
    <w:p w14:paraId="763B6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14:ligatures w14:val="standardContextual"/>
        </w:rPr>
      </w:pP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后续安排：更新后的测试用例将由主持人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standardContextual"/>
        </w:rPr>
        <w:t>杨佳林</w:t>
      </w:r>
      <w:r>
        <w:rPr>
          <w:rFonts w:hint="default" w:ascii="宋体" w:hAnsi="宋体" w:eastAsia="宋体" w:cs="宋体"/>
          <w:sz w:val="24"/>
          <w:szCs w:val="24"/>
          <w14:ligatures w14:val="standardContextual"/>
        </w:rPr>
        <w:t>进行最终确认，之后即可投入测试执行阶段。</w:t>
      </w:r>
    </w:p>
    <w:p w14:paraId="16E9E113"/>
    <w:p w14:paraId="097DCA32"/>
    <w:p w14:paraId="44268376"/>
    <w:p w14:paraId="148E0E67"/>
    <w:p w14:paraId="28CB324D"/>
    <w:p w14:paraId="1655863F"/>
    <w:p w14:paraId="6A0BE34B"/>
    <w:p w14:paraId="651BAE3A"/>
    <w:p w14:paraId="71F7DC2E"/>
    <w:p w14:paraId="4CC6CD3E"/>
    <w:p w14:paraId="01BC992C"/>
    <w:p w14:paraId="3B4CD1B3"/>
    <w:p w14:paraId="0D159A06"/>
    <w:p w14:paraId="10C28211"/>
    <w:p w14:paraId="11048E43"/>
    <w:p w14:paraId="76D249C6"/>
    <w:p w14:paraId="7C651BED"/>
    <w:p w14:paraId="4DED3B9F"/>
    <w:p w14:paraId="21152B97"/>
    <w:p w14:paraId="4435F7C1"/>
    <w:p w14:paraId="656E6DEB"/>
    <w:p w14:paraId="587BC329"/>
    <w:p w14:paraId="1EFAE03A"/>
    <w:p w14:paraId="1978CCDE"/>
    <w:p w14:paraId="4A58122D"/>
    <w:p w14:paraId="2FBE24A9"/>
    <w:p w14:paraId="2C9138D8"/>
    <w:p w14:paraId="5A3E7AF4"/>
    <w:p w14:paraId="028A0E78"/>
    <w:p w14:paraId="74099846">
      <w:pPr>
        <w:rPr>
          <w:rFonts w:ascii="Arial" w:hAnsi="Arial" w:eastAsia="仿宋_GB2312" w:cs="Arial"/>
          <w:i/>
          <w:color w:val="0000FF"/>
          <w:sz w:val="24"/>
        </w:rPr>
      </w:pPr>
    </w:p>
    <w:p w14:paraId="2F23BB8D">
      <w:pPr>
        <w:rPr>
          <w:rFonts w:ascii="Arial" w:hAnsi="Arial" w:eastAsia="仿宋_GB2312" w:cs="Arial"/>
          <w:i/>
          <w:color w:val="0000FF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7A33D83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6E7747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3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5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1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39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4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0"/>
    <w:qFormat/>
    <w:uiPriority w:val="0"/>
    <w:pPr>
      <w:ind w:left="100" w:leftChars="2500"/>
    </w:pPr>
  </w:style>
  <w:style w:type="paragraph" w:styleId="15">
    <w:name w:val="Body Text Indent 2"/>
    <w:basedOn w:val="1"/>
    <w:link w:val="42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6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38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2">
    <w:name w:val="annotation subject"/>
    <w:basedOn w:val="9"/>
    <w:next w:val="9"/>
    <w:link w:val="45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FollowedHyperlink"/>
    <w:basedOn w:val="25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semiHidden/>
    <w:unhideWhenUsed/>
    <w:qFormat/>
    <w:uiPriority w:val="99"/>
    <w:rPr>
      <w:color w:val="0000FF"/>
      <w:u w:val="single"/>
    </w:rPr>
  </w:style>
  <w:style w:type="character" w:styleId="29">
    <w:name w:val="annotation reference"/>
    <w:basedOn w:val="25"/>
    <w:semiHidden/>
    <w:unhideWhenUsed/>
    <w:qFormat/>
    <w:uiPriority w:val="0"/>
    <w:rPr>
      <w:sz w:val="21"/>
      <w:szCs w:val="21"/>
    </w:rPr>
  </w:style>
  <w:style w:type="character" w:customStyle="1" w:styleId="30">
    <w:name w:val="标题 1 Char"/>
    <w:basedOn w:val="25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1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2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3">
    <w:name w:val="标题 4 字符"/>
    <w:basedOn w:val="25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5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5">
    <w:name w:val="批注文字 字符"/>
    <w:basedOn w:val="25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6">
    <w:name w:val="页眉 字符"/>
    <w:basedOn w:val="25"/>
    <w:link w:val="18"/>
    <w:qFormat/>
    <w:locked/>
    <w:uiPriority w:val="99"/>
    <w:rPr>
      <w:kern w:val="2"/>
      <w:sz w:val="18"/>
      <w:szCs w:val="18"/>
    </w:rPr>
  </w:style>
  <w:style w:type="character" w:customStyle="1" w:styleId="37">
    <w:name w:val="页脚 字符"/>
    <w:basedOn w:val="25"/>
    <w:link w:val="17"/>
    <w:qFormat/>
    <w:uiPriority w:val="0"/>
    <w:rPr>
      <w:kern w:val="2"/>
      <w:sz w:val="18"/>
      <w:szCs w:val="18"/>
    </w:rPr>
  </w:style>
  <w:style w:type="character" w:customStyle="1" w:styleId="38">
    <w:name w:val="标题 字符"/>
    <w:basedOn w:val="25"/>
    <w:link w:val="2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9">
    <w:name w:val="正文文本 字符"/>
    <w:basedOn w:val="25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0">
    <w:name w:val="日期 字符"/>
    <w:basedOn w:val="25"/>
    <w:link w:val="14"/>
    <w:qFormat/>
    <w:locked/>
    <w:uiPriority w:val="0"/>
    <w:rPr>
      <w:kern w:val="2"/>
      <w:sz w:val="21"/>
      <w:szCs w:val="24"/>
    </w:rPr>
  </w:style>
  <w:style w:type="character" w:customStyle="1" w:styleId="41">
    <w:name w:val="正文文本 3 字符"/>
    <w:basedOn w:val="25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2">
    <w:name w:val="正文文本缩进 2 字符"/>
    <w:basedOn w:val="25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3">
    <w:name w:val="文档结构图 字符"/>
    <w:basedOn w:val="25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4">
    <w:name w:val="纯文本 字符"/>
    <w:basedOn w:val="25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5">
    <w:name w:val="批注主题 字符"/>
    <w:basedOn w:val="35"/>
    <w:link w:val="22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6">
    <w:name w:val="批注框文本 字符"/>
    <w:basedOn w:val="25"/>
    <w:link w:val="16"/>
    <w:semiHidden/>
    <w:qFormat/>
    <w:locked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8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49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0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1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2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3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4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5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6">
    <w:name w:val="模板内容"/>
    <w:qFormat/>
    <w:uiPriority w:val="0"/>
    <w:rPr>
      <w:color w:val="0000FF"/>
    </w:rPr>
  </w:style>
  <w:style w:type="paragraph" w:customStyle="1" w:styleId="5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</Words>
  <Characters>227</Characters>
  <Lines>6</Lines>
  <Paragraphs>1</Paragraphs>
  <TotalTime>2</TotalTime>
  <ScaleCrop>false</ScaleCrop>
  <LinksUpToDate>false</LinksUpToDate>
  <CharactersWithSpaces>261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2025-12-18T08:21:00Z</dcterms:created>
  <dc:creator>8000115456</dc:creator>
  <cp:lastModifiedBy>日光边境</cp:lastModifiedBy>
  <dcterms:modified xsi:type="dcterms:W3CDTF">2025-12-30T15:00:40Z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2052-12.1.0.23542</vt:lpwstr>
  </property>
  <property fmtid="{D5CDD505-2E9C-101B-9397-08002B2CF9AE}" pid="6" name="ICV">
    <vt:lpwstr>27355F228F3447EA8449209CA62C64C5_13</vt:lpwstr>
  </property>
  <property fmtid="{D5CDD505-2E9C-101B-9397-08002B2CF9AE}" pid="7" name="KSOTemplateDocerSaveRecord">
    <vt:lpwstr>eyJoZGlkIjoiZGE4NTczN2YzZmM0NzM2MzNhYzdlOTIwOTQ2NzQ4NzciLCJ1c2VySWQiOiI4MDkyOTA3NTcifQ==</vt:lpwstr>
  </property>
</Properties>
</file>