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DEA0A" w14:textId="77777777" w:rsidR="008425A7" w:rsidRDefault="008425A7">
      <w:pPr>
        <w:pStyle w:val="Titredelarticle"/>
      </w:pPr>
    </w:p>
    <w:p w14:paraId="67085ED7" w14:textId="77777777" w:rsidR="008425A7" w:rsidRDefault="008425A7">
      <w:pPr>
        <w:pStyle w:val="Titredelarticle"/>
        <w:spacing w:after="0"/>
      </w:pPr>
    </w:p>
    <w:p w14:paraId="472B5CCF" w14:textId="77777777" w:rsidR="008425A7" w:rsidRDefault="00396D66">
      <w:pPr>
        <w:pStyle w:val="Titredelarticle"/>
        <w:spacing w:after="0"/>
      </w:pPr>
      <w:r>
        <w:rPr>
          <w:rFonts w:ascii="Calibri" w:hAnsi="Calibri" w:cs="Calibri"/>
          <w:i/>
          <w:iCs/>
          <w:sz w:val="28"/>
          <w:szCs w:val="28"/>
        </w:rPr>
        <w:t>E</w:t>
      </w:r>
      <w:r w:rsidR="004A4E66">
        <w:rPr>
          <w:rFonts w:ascii="Calibri" w:hAnsi="Calibri" w:cs="Calibri"/>
          <w:i/>
          <w:iCs/>
          <w:sz w:val="28"/>
          <w:szCs w:val="28"/>
        </w:rPr>
        <w:t>T SI L’ON PUBLAIT LA TENDANCE-CYCLE ?</w:t>
      </w:r>
      <w:r>
        <w:rPr>
          <w:rFonts w:ascii="Calibri" w:hAnsi="Calibri" w:cs="Calibri"/>
          <w:i/>
          <w:iCs/>
          <w:sz w:val="28"/>
          <w:szCs w:val="28"/>
        </w:rPr>
        <w:t xml:space="preserve"> </w:t>
      </w:r>
    </w:p>
    <w:p w14:paraId="659450F5" w14:textId="77777777" w:rsidR="008425A7" w:rsidRDefault="004A4E66">
      <w:pPr>
        <w:pStyle w:val="Auteurs"/>
        <w:jc w:val="center"/>
      </w:pPr>
      <w:r>
        <w:rPr>
          <w:rFonts w:ascii="Calibri" w:hAnsi="Calibri" w:cs="Calibri"/>
        </w:rPr>
        <w:t>Alain QUARTIER-LA-TENTE</w:t>
      </w:r>
      <w:r w:rsidR="00396D66">
        <w:rPr>
          <w:rFonts w:ascii="Calibri" w:hAnsi="Calibri" w:cs="Calibri"/>
        </w:rPr>
        <w:t xml:space="preserve"> (*)</w:t>
      </w:r>
    </w:p>
    <w:p w14:paraId="05F2A617" w14:textId="77777777" w:rsidR="008425A7" w:rsidRPr="004A4E66" w:rsidRDefault="00396D66" w:rsidP="004A4E66">
      <w:pPr>
        <w:pStyle w:val="Organismedu1erauteur"/>
        <w:jc w:val="center"/>
        <w:rPr>
          <w:rFonts w:ascii="Calibri" w:hAnsi="Calibri" w:cs="Calibri"/>
        </w:rPr>
      </w:pPr>
      <w:r>
        <w:rPr>
          <w:rFonts w:ascii="Calibri" w:hAnsi="Calibri" w:cs="Calibri"/>
          <w:szCs w:val="24"/>
        </w:rPr>
        <w:t xml:space="preserve">(*) </w:t>
      </w:r>
      <w:r w:rsidR="004A4E66">
        <w:rPr>
          <w:rFonts w:ascii="Calibri" w:hAnsi="Calibri" w:cs="Calibri"/>
          <w:szCs w:val="24"/>
        </w:rPr>
        <w:t xml:space="preserve">DGFiP et </w:t>
      </w:r>
      <w:r w:rsidR="004A4E66" w:rsidRPr="004A4E66">
        <w:rPr>
          <w:rFonts w:ascii="Calibri" w:hAnsi="Calibri" w:cs="Calibri"/>
        </w:rPr>
        <w:t>Laboratoire d'Économie et de Management Nantes-Atlantique</w:t>
      </w:r>
      <w:r w:rsidR="004A4E66">
        <w:rPr>
          <w:rFonts w:ascii="Calibri" w:hAnsi="Calibri" w:cs="Calibri"/>
        </w:rPr>
        <w:t xml:space="preserve"> (LEMNA)</w:t>
      </w:r>
    </w:p>
    <w:p w14:paraId="48DA8716" w14:textId="77777777" w:rsidR="008425A7" w:rsidRDefault="008425A7">
      <w:pPr>
        <w:pStyle w:val="Standard"/>
        <w:rPr>
          <w:rFonts w:ascii="Calibri" w:hAnsi="Calibri"/>
          <w:sz w:val="24"/>
        </w:rPr>
      </w:pPr>
    </w:p>
    <w:p w14:paraId="027D42D1" w14:textId="24FD2EC6" w:rsidR="008425A7" w:rsidRPr="00533C5E" w:rsidRDefault="00000000" w:rsidP="00533C5E">
      <w:pPr>
        <w:widowControl/>
        <w:jc w:val="center"/>
        <w:rPr>
          <w:rFonts w:asciiTheme="minorHAnsi" w:hAnsiTheme="minorHAnsi" w:cstheme="minorHAnsi"/>
        </w:rPr>
      </w:pPr>
      <w:hyperlink r:id="rId7" w:history="1">
        <w:r w:rsidR="00E95C76" w:rsidRPr="00E77829">
          <w:rPr>
            <w:rStyle w:val="Lienhypertexte"/>
            <w:rFonts w:asciiTheme="minorHAnsi" w:hAnsiTheme="minorHAnsi" w:cstheme="minorHAnsi"/>
          </w:rPr>
          <w:t>alain.quartier-la-tente@dgfip.finances.gouv.fr</w:t>
        </w:r>
      </w:hyperlink>
    </w:p>
    <w:p w14:paraId="1A790E04" w14:textId="77777777" w:rsidR="008425A7" w:rsidRDefault="008425A7">
      <w:pPr>
        <w:widowControl/>
        <w:jc w:val="center"/>
      </w:pPr>
    </w:p>
    <w:p w14:paraId="311B6AE0" w14:textId="77777777" w:rsidR="008425A7" w:rsidRDefault="00396D66">
      <w:pPr>
        <w:widowControl/>
        <w:jc w:val="both"/>
      </w:pPr>
      <w:r>
        <w:rPr>
          <w:rFonts w:ascii="Calibri" w:eastAsia="Times New Roman" w:hAnsi="Calibri" w:cs="Calibri"/>
          <w:b/>
          <w:bCs/>
          <w:lang w:bidi="ar-SA"/>
        </w:rPr>
        <w:t>Mots-clés</w:t>
      </w:r>
      <w:r>
        <w:rPr>
          <w:rFonts w:ascii="Calibri" w:eastAsia="Times New Roman" w:hAnsi="Calibri" w:cs="Calibri"/>
          <w:lang w:bidi="ar-SA"/>
        </w:rPr>
        <w:t xml:space="preserve"> </w:t>
      </w:r>
      <w:r>
        <w:rPr>
          <w:rFonts w:ascii="Calibri" w:eastAsia="Times New Roman" w:hAnsi="Calibri" w:cs="Calibri"/>
          <w:i/>
          <w:iCs/>
          <w:lang w:bidi="ar-SA"/>
        </w:rPr>
        <w:t>(6 maximum)</w:t>
      </w:r>
      <w:r>
        <w:rPr>
          <w:rFonts w:ascii="Calibri" w:eastAsia="Times New Roman" w:hAnsi="Calibri" w:cs="Calibri"/>
          <w:lang w:bidi="ar-SA"/>
        </w:rPr>
        <w:t xml:space="preserve"> : </w:t>
      </w:r>
      <w:r w:rsidR="0074775C">
        <w:rPr>
          <w:rFonts w:ascii="Calibri" w:eastAsia="Times New Roman" w:hAnsi="Calibri" w:cs="Calibri"/>
          <w:lang w:bidi="ar-SA"/>
        </w:rPr>
        <w:t>Séries temporelles</w:t>
      </w:r>
      <w:r>
        <w:rPr>
          <w:rFonts w:ascii="Calibri" w:eastAsia="Times New Roman" w:hAnsi="Calibri" w:cs="Calibri"/>
          <w:lang w:bidi="ar-SA"/>
        </w:rPr>
        <w:t xml:space="preserve">, </w:t>
      </w:r>
      <w:r w:rsidR="0074775C">
        <w:rPr>
          <w:rFonts w:ascii="Calibri" w:eastAsia="Times New Roman" w:hAnsi="Calibri" w:cs="Calibri"/>
          <w:lang w:bidi="ar-SA"/>
        </w:rPr>
        <w:t>tendance-cycle</w:t>
      </w:r>
      <w:r>
        <w:rPr>
          <w:rFonts w:ascii="Calibri" w:eastAsia="Times New Roman" w:hAnsi="Calibri" w:cs="Calibri"/>
          <w:lang w:bidi="ar-SA"/>
        </w:rPr>
        <w:t xml:space="preserve">, </w:t>
      </w:r>
      <w:r w:rsidR="0074775C">
        <w:rPr>
          <w:rFonts w:ascii="Calibri" w:eastAsia="Times New Roman" w:hAnsi="Calibri" w:cs="Calibri"/>
          <w:lang w:bidi="ar-SA"/>
        </w:rPr>
        <w:t>désaisonnalisation</w:t>
      </w:r>
      <w:r>
        <w:rPr>
          <w:rFonts w:ascii="Calibri" w:eastAsia="Times New Roman" w:hAnsi="Calibri" w:cs="Calibri"/>
          <w:lang w:bidi="ar-SA"/>
        </w:rPr>
        <w:t xml:space="preserve">, </w:t>
      </w:r>
      <w:r w:rsidR="0074775C">
        <w:rPr>
          <w:rFonts w:ascii="Calibri" w:eastAsia="Times New Roman" w:hAnsi="Calibri" w:cs="Calibri"/>
          <w:lang w:bidi="ar-SA"/>
        </w:rPr>
        <w:t>conjoncture</w:t>
      </w:r>
      <w:r>
        <w:rPr>
          <w:rFonts w:ascii="Calibri" w:eastAsia="Times New Roman" w:hAnsi="Calibri" w:cs="Calibri"/>
          <w:lang w:bidi="ar-SA"/>
        </w:rPr>
        <w:t xml:space="preserve">, </w:t>
      </w:r>
      <w:r w:rsidR="0074775C">
        <w:rPr>
          <w:rFonts w:ascii="Calibri" w:eastAsia="Times New Roman" w:hAnsi="Calibri" w:cs="Calibri"/>
          <w:lang w:bidi="ar-SA"/>
        </w:rPr>
        <w:t>points de retournement</w:t>
      </w:r>
    </w:p>
    <w:p w14:paraId="03DFDF6E" w14:textId="77777777" w:rsidR="008425A7" w:rsidRDefault="008425A7">
      <w:pPr>
        <w:widowControl/>
        <w:jc w:val="both"/>
      </w:pPr>
    </w:p>
    <w:p w14:paraId="3E8B4073" w14:textId="07E85D7A" w:rsidR="008425A7" w:rsidRDefault="00396D66">
      <w:pPr>
        <w:widowControl/>
        <w:jc w:val="both"/>
      </w:pPr>
      <w:r>
        <w:rPr>
          <w:rFonts w:ascii="Calibri" w:eastAsia="Times New Roman" w:hAnsi="Calibri" w:cs="Calibri"/>
          <w:b/>
          <w:bCs/>
          <w:lang w:bidi="ar-SA"/>
        </w:rPr>
        <w:t>Domaine concerné</w:t>
      </w:r>
      <w:r>
        <w:rPr>
          <w:rFonts w:ascii="Calibri" w:eastAsia="Times New Roman" w:hAnsi="Calibri" w:cs="Calibri"/>
          <w:lang w:bidi="ar-SA"/>
        </w:rPr>
        <w:t xml:space="preserve"> : </w:t>
      </w:r>
      <w:r w:rsidR="004A4E66">
        <w:rPr>
          <w:rFonts w:ascii="Calibri" w:eastAsia="Times New Roman" w:hAnsi="Calibri" w:cs="Calibri"/>
          <w:lang w:bidi="ar-SA"/>
        </w:rPr>
        <w:t>Séries temporelles — désaisonnalisation</w:t>
      </w:r>
    </w:p>
    <w:p w14:paraId="7F344C2C" w14:textId="77777777" w:rsidR="008425A7" w:rsidRDefault="00396D66">
      <w:pPr>
        <w:pStyle w:val="Standard"/>
      </w:pPr>
      <w:r>
        <w:t>_________________________________________________________________________________</w:t>
      </w:r>
    </w:p>
    <w:p w14:paraId="145B305E" w14:textId="77777777" w:rsidR="008425A7" w:rsidRDefault="008425A7">
      <w:pPr>
        <w:pStyle w:val="Standard"/>
        <w:rPr>
          <w:rFonts w:ascii="Calibri" w:hAnsi="Calibri"/>
          <w:sz w:val="24"/>
          <w:szCs w:val="24"/>
        </w:rPr>
      </w:pPr>
    </w:p>
    <w:p w14:paraId="095B4DB5" w14:textId="77777777" w:rsidR="008425A7" w:rsidRDefault="00396D66">
      <w:pPr>
        <w:pStyle w:val="Standard"/>
      </w:pPr>
      <w:r>
        <w:rPr>
          <w:rFonts w:ascii="Calibri" w:hAnsi="Calibri"/>
          <w:b/>
          <w:bCs/>
          <w:sz w:val="24"/>
          <w:szCs w:val="24"/>
        </w:rPr>
        <w:t>Résumé</w:t>
      </w:r>
    </w:p>
    <w:p w14:paraId="0EC0DE24" w14:textId="77777777" w:rsidR="008425A7" w:rsidRDefault="008425A7">
      <w:pPr>
        <w:pStyle w:val="Standard"/>
      </w:pPr>
    </w:p>
    <w:p w14:paraId="1816C633" w14:textId="77777777" w:rsidR="000155E9" w:rsidRPr="00387D16" w:rsidRDefault="000155E9" w:rsidP="000155E9">
      <w:pPr>
        <w:pStyle w:val="Standard"/>
        <w:rPr>
          <w:rFonts w:asciiTheme="minorHAnsi" w:hAnsiTheme="minorHAnsi" w:cstheme="minorHAnsi"/>
          <w:sz w:val="22"/>
          <w:szCs w:val="22"/>
        </w:rPr>
      </w:pPr>
      <w:r w:rsidRPr="00387D16">
        <w:rPr>
          <w:rFonts w:asciiTheme="minorHAnsi" w:hAnsiTheme="minorHAnsi" w:cstheme="minorHAnsi"/>
          <w:sz w:val="22"/>
          <w:szCs w:val="22"/>
        </w:rPr>
        <w:t xml:space="preserve">Les séries chronologiques se décomposent </w:t>
      </w:r>
      <w:r>
        <w:rPr>
          <w:rFonts w:asciiTheme="minorHAnsi" w:hAnsiTheme="minorHAnsi" w:cstheme="minorHAnsi"/>
          <w:sz w:val="22"/>
          <w:szCs w:val="22"/>
        </w:rPr>
        <w:t xml:space="preserve">généralement </w:t>
      </w:r>
      <w:r w:rsidRPr="00387D16">
        <w:rPr>
          <w:rFonts w:asciiTheme="minorHAnsi" w:hAnsiTheme="minorHAnsi" w:cstheme="minorHAnsi"/>
          <w:sz w:val="22"/>
          <w:szCs w:val="22"/>
        </w:rPr>
        <w:t xml:space="preserve">en trois composantes : </w:t>
      </w:r>
    </w:p>
    <w:p w14:paraId="3CBE5211" w14:textId="3E98D321" w:rsidR="000155E9" w:rsidRPr="00387D16" w:rsidRDefault="000155E9" w:rsidP="000155E9">
      <w:pPr>
        <w:pStyle w:val="Standard"/>
        <w:numPr>
          <w:ilvl w:val="0"/>
          <w:numId w:val="14"/>
        </w:numPr>
        <w:autoSpaceDN/>
        <w:rPr>
          <w:rFonts w:asciiTheme="minorHAnsi" w:hAnsiTheme="minorHAnsi" w:cstheme="minorHAnsi"/>
          <w:sz w:val="22"/>
          <w:szCs w:val="22"/>
        </w:rPr>
      </w:pPr>
      <w:r w:rsidRPr="00387D16">
        <w:rPr>
          <w:rFonts w:asciiTheme="minorHAnsi" w:hAnsiTheme="minorHAnsi" w:cstheme="minorHAnsi"/>
          <w:sz w:val="22"/>
          <w:szCs w:val="22"/>
        </w:rPr>
        <w:t>La tendance-cycle qui contient la tendance (évolutions de long terme) et le cycle (évolutions de court terme autour de la tendance). La tendance et le cycle étant difficiles à séparer (notamment sur des séries courtes), ils sont estimés de manière conjointes dans la majorité des méthodes de décomposition.</w:t>
      </w:r>
    </w:p>
    <w:p w14:paraId="6C5F3136" w14:textId="77777777" w:rsidR="000155E9" w:rsidRPr="00387D16" w:rsidRDefault="000155E9" w:rsidP="000155E9">
      <w:pPr>
        <w:pStyle w:val="Standard"/>
        <w:numPr>
          <w:ilvl w:val="0"/>
          <w:numId w:val="14"/>
        </w:numPr>
        <w:autoSpaceDN/>
        <w:rPr>
          <w:rFonts w:asciiTheme="minorHAnsi" w:hAnsiTheme="minorHAnsi" w:cstheme="minorHAnsi"/>
          <w:sz w:val="22"/>
          <w:szCs w:val="22"/>
        </w:rPr>
      </w:pPr>
      <w:r w:rsidRPr="00387D16">
        <w:rPr>
          <w:rFonts w:asciiTheme="minorHAnsi" w:hAnsiTheme="minorHAnsi" w:cstheme="minorHAnsi"/>
          <w:sz w:val="22"/>
          <w:szCs w:val="22"/>
        </w:rPr>
        <w:t xml:space="preserve">Les effets saisonniers et de calendrier </w:t>
      </w:r>
      <w:r w:rsidRPr="00387D16">
        <w:rPr>
          <w:rFonts w:asciiTheme="minorHAnsi" w:eastAsia="DengXian" w:hAnsiTheme="minorHAnsi" w:cstheme="minorHAnsi"/>
          <w:color w:val="000000"/>
          <w:kern w:val="0"/>
          <w:sz w:val="22"/>
          <w:szCs w:val="22"/>
        </w:rPr>
        <w:t>qui représentent les variations régulières dans les données qui se manifestent durant le même mois ou le même trimestre chaque année</w:t>
      </w:r>
      <w:r w:rsidRPr="00387D16">
        <w:rPr>
          <w:rFonts w:asciiTheme="minorHAnsi" w:hAnsiTheme="minorHAnsi" w:cstheme="minorHAnsi"/>
          <w:sz w:val="22"/>
          <w:szCs w:val="22"/>
        </w:rPr>
        <w:t>.</w:t>
      </w:r>
    </w:p>
    <w:p w14:paraId="1AEFD90F" w14:textId="58349012" w:rsidR="000155E9" w:rsidRPr="00387D16" w:rsidRDefault="00CC14A7" w:rsidP="000155E9">
      <w:pPr>
        <w:pStyle w:val="Standard"/>
        <w:numPr>
          <w:ilvl w:val="0"/>
          <w:numId w:val="14"/>
        </w:numPr>
        <w:autoSpaceDN/>
        <w:rPr>
          <w:rFonts w:asciiTheme="minorHAnsi" w:hAnsiTheme="minorHAnsi" w:cstheme="minorHAnsi"/>
          <w:sz w:val="22"/>
          <w:szCs w:val="22"/>
        </w:rPr>
      </w:pPr>
      <w:r>
        <w:rPr>
          <w:rFonts w:asciiTheme="minorHAnsi" w:hAnsiTheme="minorHAnsi" w:cstheme="minorHAnsi"/>
          <w:sz w:val="22"/>
          <w:szCs w:val="22"/>
        </w:rPr>
        <w:t>L</w:t>
      </w:r>
      <w:r w:rsidR="000155E9" w:rsidRPr="00387D16">
        <w:rPr>
          <w:rFonts w:asciiTheme="minorHAnsi" w:hAnsiTheme="minorHAnsi" w:cstheme="minorHAnsi"/>
          <w:sz w:val="22"/>
          <w:szCs w:val="22"/>
        </w:rPr>
        <w:t xml:space="preserve">’irrégulier </w:t>
      </w:r>
      <w:r w:rsidR="000155E9" w:rsidRPr="00387D16">
        <w:rPr>
          <w:rFonts w:asciiTheme="minorHAnsi" w:hAnsiTheme="minorHAnsi" w:cstheme="minorHAnsi"/>
          <w:color w:val="000000" w:themeColor="text1"/>
          <w:sz w:val="22"/>
          <w:szCs w:val="22"/>
        </w:rPr>
        <w:t>qui représente les fluctuations inattendues qui ne font pas partie des composantes précédentes. C’est par exemple le cas de chocs économiques non prévus (grèves, conditions météorologiques inhabituelles…) ou du bruit (erreurs de mesures liées à l’échantillonnage…).</w:t>
      </w:r>
    </w:p>
    <w:p w14:paraId="7E66D269" w14:textId="77777777" w:rsidR="000155E9" w:rsidRPr="00387D16" w:rsidRDefault="000155E9" w:rsidP="000155E9">
      <w:pPr>
        <w:pStyle w:val="Standard"/>
        <w:rPr>
          <w:rFonts w:asciiTheme="minorHAnsi" w:hAnsiTheme="minorHAnsi" w:cstheme="minorHAnsi"/>
          <w:sz w:val="22"/>
          <w:szCs w:val="22"/>
        </w:rPr>
      </w:pPr>
    </w:p>
    <w:p w14:paraId="49A30EAA" w14:textId="77777777" w:rsidR="000155E9" w:rsidRPr="00387D16" w:rsidRDefault="000155E9" w:rsidP="000155E9">
      <w:pPr>
        <w:pStyle w:val="Standard"/>
        <w:rPr>
          <w:rFonts w:asciiTheme="minorHAnsi" w:hAnsiTheme="minorHAnsi" w:cstheme="minorHAnsi"/>
          <w:sz w:val="22"/>
          <w:szCs w:val="22"/>
        </w:rPr>
      </w:pPr>
      <w:r w:rsidRPr="00387D16">
        <w:rPr>
          <w:rFonts w:asciiTheme="minorHAnsi" w:hAnsiTheme="minorHAnsi" w:cstheme="minorHAnsi"/>
          <w:sz w:val="22"/>
          <w:szCs w:val="22"/>
        </w:rPr>
        <w:t xml:space="preserve">Pour l’analyse conjoncturelle, les indicateurs économiques sont généralement uniquement corrigés des variations saisonnières, laissant ainsi l’effet combiné de la tendance-cycle et de l’irrégulier. </w:t>
      </w:r>
      <w:r>
        <w:rPr>
          <w:rFonts w:asciiTheme="minorHAnsi" w:hAnsiTheme="minorHAnsi" w:cstheme="minorHAnsi"/>
          <w:sz w:val="22"/>
          <w:szCs w:val="22"/>
        </w:rPr>
        <w:t>Toutefois, l’analyse des évolutions de ces indicateurs peut être complexe lorsque l’irrégulier est important.</w:t>
      </w:r>
    </w:p>
    <w:p w14:paraId="0F7667CD" w14:textId="5723A71D" w:rsidR="000155E9" w:rsidRDefault="000155E9" w:rsidP="000155E9">
      <w:pPr>
        <w:pStyle w:val="Corpsdetexte"/>
        <w:jc w:val="both"/>
      </w:pPr>
      <w:r w:rsidRPr="00EC1CFB">
        <w:rPr>
          <w:rFonts w:cstheme="minorHAnsi"/>
          <w:sz w:val="22"/>
          <w:szCs w:val="22"/>
        </w:rPr>
        <w:t xml:space="preserve">Le calcul </w:t>
      </w:r>
      <w:r>
        <w:rPr>
          <w:rFonts w:cstheme="minorHAnsi"/>
          <w:sz w:val="22"/>
          <w:szCs w:val="22"/>
        </w:rPr>
        <w:t>et la publication de la tendance-cycle présente plusieurs avantages pour enrichir l</w:t>
      </w:r>
      <w:r>
        <w:rPr>
          <w:rFonts w:eastAsia="Calibri" w:cstheme="minorHAnsi"/>
          <w:sz w:val="22"/>
          <w:szCs w:val="22"/>
          <w:lang w:val="fr-FR"/>
        </w:rPr>
        <w:t>’analyse de la conjoncture économique</w:t>
      </w:r>
      <w:r>
        <w:rPr>
          <w:rFonts w:cstheme="minorHAnsi"/>
          <w:sz w:val="22"/>
          <w:szCs w:val="22"/>
        </w:rPr>
        <w:t>, notamment une meilleure lecture du cycle conjoncturel classique (également appelé cycle des affaires) et des points de retournement associés</w:t>
      </w:r>
      <w:r>
        <w:rPr>
          <w:rStyle w:val="Appelnotedebasdep"/>
          <w:rFonts w:cstheme="minorHAnsi"/>
          <w:sz w:val="22"/>
          <w:szCs w:val="22"/>
        </w:rPr>
        <w:footnoteReference w:id="1"/>
      </w:r>
      <w:r>
        <w:rPr>
          <w:rFonts w:cstheme="minorHAnsi"/>
          <w:sz w:val="22"/>
          <w:szCs w:val="22"/>
        </w:rPr>
        <w:t xml:space="preserve"> [1–4]. C’est également la composante à privilégier pour effectuer des prévisions à long-terme. Pourtant, seuls quelques instituts statistiques, comme Statistique Canada ou l’</w:t>
      </w:r>
      <w:proofErr w:type="spellStart"/>
      <w:r>
        <w:rPr>
          <w:rFonts w:cstheme="minorHAnsi"/>
          <w:sz w:val="22"/>
          <w:szCs w:val="22"/>
        </w:rPr>
        <w:t>Australian</w:t>
      </w:r>
      <w:proofErr w:type="spellEnd"/>
      <w:r>
        <w:rPr>
          <w:rFonts w:cstheme="minorHAnsi"/>
          <w:sz w:val="22"/>
          <w:szCs w:val="22"/>
        </w:rPr>
        <w:t xml:space="preserve"> Bureau of </w:t>
      </w:r>
      <w:proofErr w:type="spellStart"/>
      <w:r>
        <w:rPr>
          <w:rFonts w:cstheme="minorHAnsi"/>
          <w:sz w:val="22"/>
          <w:szCs w:val="22"/>
        </w:rPr>
        <w:t>Statistics</w:t>
      </w:r>
      <w:proofErr w:type="spellEnd"/>
      <w:r>
        <w:rPr>
          <w:rFonts w:cstheme="minorHAnsi"/>
          <w:sz w:val="22"/>
          <w:szCs w:val="22"/>
        </w:rPr>
        <w:t>, diffusent régulièrement cette composante.</w:t>
      </w:r>
    </w:p>
    <w:p w14:paraId="4C78E75B" w14:textId="77777777" w:rsidR="00A14D0D" w:rsidRPr="00A14D0D" w:rsidRDefault="00A14D0D" w:rsidP="00A14D0D">
      <w:pPr>
        <w:pStyle w:val="Corpsdetexte"/>
        <w:rPr>
          <w:rFonts w:cstheme="minorHAnsi"/>
          <w:sz w:val="22"/>
          <w:szCs w:val="22"/>
        </w:rPr>
      </w:pPr>
      <w:r w:rsidRPr="00A14D0D">
        <w:rPr>
          <w:rFonts w:cstheme="minorHAnsi"/>
          <w:sz w:val="22"/>
          <w:szCs w:val="22"/>
        </w:rPr>
        <w:t xml:space="preserve">L’objectif de cette étude est d’expliquer l’intérêt de publier la composante tendance-cycle et les recommandations pour le faire. Elle présente également les méthodes, basées sur des moyennes </w:t>
      </w:r>
      <w:r w:rsidRPr="00A14D0D">
        <w:rPr>
          <w:rFonts w:cstheme="minorHAnsi"/>
          <w:sz w:val="22"/>
          <w:szCs w:val="22"/>
        </w:rPr>
        <w:lastRenderedPageBreak/>
        <w:t>mobiles, utilisées par Statistique Canada [5] et l’Australian Bureau of Statistics [6]. Elle montre comment ces méthodes peuvent être étendues pour :</w:t>
      </w:r>
    </w:p>
    <w:p w14:paraId="55507DA0" w14:textId="77777777" w:rsidR="00A14D0D" w:rsidRPr="000155E9" w:rsidRDefault="00A14D0D" w:rsidP="000155E9">
      <w:pPr>
        <w:pStyle w:val="Paragraphedeliste"/>
        <w:widowControl/>
        <w:numPr>
          <w:ilvl w:val="0"/>
          <w:numId w:val="15"/>
        </w:numPr>
        <w:suppressAutoHyphens w:val="0"/>
        <w:autoSpaceDN/>
        <w:spacing w:after="200"/>
        <w:textAlignment w:val="auto"/>
        <w:rPr>
          <w:rFonts w:asciiTheme="minorHAnsi" w:hAnsiTheme="minorHAnsi" w:cstheme="minorHAnsi"/>
          <w:sz w:val="22"/>
          <w:szCs w:val="22"/>
        </w:rPr>
      </w:pPr>
      <w:r w:rsidRPr="000155E9">
        <w:rPr>
          <w:rFonts w:asciiTheme="minorHAnsi" w:hAnsiTheme="minorHAnsi" w:cstheme="minorHAnsi"/>
          <w:sz w:val="22"/>
          <w:szCs w:val="22"/>
        </w:rPr>
        <w:t>Réduire le biais des estimations intermédiaires, notamment autour de points de retournement [7] ;</w:t>
      </w:r>
    </w:p>
    <w:p w14:paraId="0BF04EBA" w14:textId="77777777" w:rsidR="00A14D0D" w:rsidRPr="000155E9" w:rsidRDefault="00A14D0D" w:rsidP="000155E9">
      <w:pPr>
        <w:pStyle w:val="Paragraphedeliste"/>
        <w:widowControl/>
        <w:numPr>
          <w:ilvl w:val="0"/>
          <w:numId w:val="15"/>
        </w:numPr>
        <w:suppressAutoHyphens w:val="0"/>
        <w:autoSpaceDN/>
        <w:spacing w:after="200"/>
        <w:textAlignment w:val="auto"/>
        <w:rPr>
          <w:rFonts w:asciiTheme="minorHAnsi" w:hAnsiTheme="minorHAnsi" w:cstheme="minorHAnsi"/>
          <w:sz w:val="22"/>
          <w:szCs w:val="22"/>
        </w:rPr>
      </w:pPr>
      <w:r w:rsidRPr="000155E9">
        <w:rPr>
          <w:rFonts w:asciiTheme="minorHAnsi" w:hAnsiTheme="minorHAnsi" w:cstheme="minorHAnsi"/>
          <w:sz w:val="22"/>
          <w:szCs w:val="22"/>
        </w:rPr>
        <w:t>Modéliser les points atypiques afin d’éviter qu’ils biaisent l’estimation de la tendance-cycle [8].</w:t>
      </w:r>
    </w:p>
    <w:p w14:paraId="1D08E2C1" w14:textId="77777777" w:rsidR="00A14D0D" w:rsidRPr="00A14D0D" w:rsidRDefault="00A14D0D" w:rsidP="00A14D0D">
      <w:pPr>
        <w:pStyle w:val="FirstParagraph"/>
        <w:rPr>
          <w:rFonts w:cstheme="minorHAnsi"/>
          <w:sz w:val="22"/>
          <w:szCs w:val="22"/>
        </w:rPr>
      </w:pPr>
      <w:r w:rsidRPr="00A14D0D">
        <w:rPr>
          <w:rFonts w:cstheme="minorHAnsi"/>
          <w:sz w:val="22"/>
          <w:szCs w:val="22"/>
        </w:rPr>
        <w:t>L’étude s’accompagne d’un package R,</w:t>
      </w:r>
      <w:r>
        <w:rPr>
          <w:rFonts w:cstheme="minorHAnsi"/>
          <w:sz w:val="22"/>
          <w:szCs w:val="22"/>
        </w:rPr>
        <w:t xml:space="preserve"> </w:t>
      </w:r>
      <w:r w:rsidRPr="00A14D0D">
        <w:rPr>
          <w:rFonts w:cstheme="minorHAnsi"/>
          <w:i/>
          <w:iCs/>
          <w:sz w:val="22"/>
          <w:szCs w:val="22"/>
        </w:rPr>
        <w:t>publishTC</w:t>
      </w:r>
      <w:r w:rsidRPr="00A14D0D">
        <w:rPr>
          <w:rFonts w:cstheme="minorHAnsi"/>
          <w:sz w:val="22"/>
          <w:szCs w:val="22"/>
        </w:rPr>
        <w:t xml:space="preserve"> (</w:t>
      </w:r>
      <w:hyperlink r:id="rId8">
        <w:r w:rsidRPr="00A14D0D">
          <w:rPr>
            <w:rStyle w:val="Lienhypertexte"/>
            <w:rFonts w:cstheme="minorHAnsi"/>
            <w:sz w:val="22"/>
            <w:szCs w:val="22"/>
          </w:rPr>
          <w:t>https://github.com/AQLT/publishTC</w:t>
        </w:r>
      </w:hyperlink>
      <w:r w:rsidRPr="00A14D0D">
        <w:rPr>
          <w:rFonts w:cstheme="minorHAnsi"/>
          <w:sz w:val="22"/>
          <w:szCs w:val="22"/>
        </w:rPr>
        <w:t>), qui facilite la mise en œuvre et la comparaison de ces méthodes. Elle explique également comment mettre en place une production automatique de cette composante, l’appliquant à une dizaine de publications de l’Insee (</w:t>
      </w:r>
      <w:hyperlink r:id="rId9">
        <w:r w:rsidRPr="00A14D0D">
          <w:rPr>
            <w:rStyle w:val="Lienhypertexte"/>
            <w:rFonts w:cstheme="minorHAnsi"/>
            <w:sz w:val="22"/>
            <w:szCs w:val="22"/>
          </w:rPr>
          <w:t>https://aqlt.github.io/publishTC.wp/</w:t>
        </w:r>
      </w:hyperlink>
      <w:r w:rsidRPr="00A14D0D">
        <w:rPr>
          <w:rFonts w:cstheme="minorHAnsi"/>
          <w:sz w:val="22"/>
          <w:szCs w:val="22"/>
        </w:rPr>
        <w:t>).</w:t>
      </w:r>
    </w:p>
    <w:p w14:paraId="78EFCDE4" w14:textId="77777777" w:rsidR="00A14D0D" w:rsidRPr="00A14D0D" w:rsidRDefault="00A14D0D" w:rsidP="00A14D0D">
      <w:pPr>
        <w:pStyle w:val="Corpsdetexte"/>
        <w:rPr>
          <w:rFonts w:cstheme="minorHAnsi"/>
          <w:sz w:val="22"/>
          <w:szCs w:val="22"/>
        </w:rPr>
      </w:pPr>
      <w:r w:rsidRPr="00A14D0D">
        <w:rPr>
          <w:rFonts w:cstheme="minorHAnsi"/>
          <w:sz w:val="22"/>
          <w:szCs w:val="22"/>
        </w:rPr>
        <w:t>L’ensemble des codes étant disponibles en open source, cette étude est entièrement reproductible.</w:t>
      </w:r>
    </w:p>
    <w:p w14:paraId="22BAA47B" w14:textId="77777777" w:rsidR="002440D5" w:rsidRPr="004A4E66" w:rsidRDefault="002440D5">
      <w:pPr>
        <w:pStyle w:val="Bibliographie"/>
        <w:rPr>
          <w:rFonts w:ascii="Calibri" w:hAnsi="Calibri" w:cs="Calibri"/>
          <w:sz w:val="24"/>
          <w:szCs w:val="24"/>
        </w:rPr>
      </w:pPr>
    </w:p>
    <w:p w14:paraId="6D44D7E0" w14:textId="77777777" w:rsidR="008425A7" w:rsidRPr="00CF092D" w:rsidRDefault="00396D66">
      <w:pPr>
        <w:pStyle w:val="Bibliographie"/>
      </w:pPr>
      <w:r w:rsidRPr="00CF092D">
        <w:rPr>
          <w:rFonts w:ascii="Calibri" w:hAnsi="Calibri" w:cs="Calibri"/>
          <w:sz w:val="24"/>
          <w:szCs w:val="24"/>
        </w:rPr>
        <w:t>Bibliographie</w:t>
      </w:r>
      <w:r w:rsidRPr="00CF092D">
        <w:rPr>
          <w:rFonts w:ascii="Calibri" w:hAnsi="Calibri"/>
          <w:i/>
          <w:iCs/>
          <w:sz w:val="24"/>
          <w:szCs w:val="24"/>
          <w:shd w:val="clear" w:color="auto" w:fill="FFFF00"/>
        </w:rPr>
        <w:t xml:space="preserve"> </w:t>
      </w:r>
    </w:p>
    <w:p w14:paraId="051A9A60" w14:textId="77777777" w:rsidR="008425A7" w:rsidRPr="00CF092D" w:rsidRDefault="008425A7">
      <w:pPr>
        <w:pStyle w:val="Standard"/>
        <w:rPr>
          <w:rFonts w:ascii="Calibri" w:hAnsi="Calibri" w:cs="Times New Roman"/>
          <w:sz w:val="24"/>
          <w:szCs w:val="24"/>
        </w:rPr>
      </w:pPr>
    </w:p>
    <w:p w14:paraId="68A0FADD" w14:textId="77777777" w:rsidR="00A14D0D" w:rsidRPr="00A14D0D" w:rsidRDefault="00A14D0D" w:rsidP="00A14D0D">
      <w:pPr>
        <w:widowControl/>
        <w:suppressAutoHyphens w:val="0"/>
        <w:autoSpaceDN/>
        <w:spacing w:after="200"/>
        <w:textAlignment w:val="auto"/>
        <w:rPr>
          <w:rFonts w:asciiTheme="minorHAnsi" w:eastAsia="Cambria" w:hAnsiTheme="minorHAnsi" w:cstheme="minorHAnsi"/>
          <w:kern w:val="0"/>
          <w:lang w:val="en-US" w:eastAsia="en-US" w:bidi="ar-SA"/>
        </w:rPr>
      </w:pPr>
      <w:bookmarkStart w:id="0" w:name="ref-imf_qna_2017"/>
      <w:bookmarkStart w:id="1" w:name="refs"/>
      <w:r w:rsidRPr="00A14D0D">
        <w:rPr>
          <w:rFonts w:asciiTheme="minorHAnsi" w:eastAsia="Cambria" w:hAnsiTheme="minorHAnsi" w:cstheme="minorHAnsi"/>
          <w:kern w:val="0"/>
          <w:lang w:val="fr" w:eastAsia="en-US" w:bidi="ar-SA"/>
        </w:rPr>
        <w:t xml:space="preserve">[1] Fonds monétaire international (2017) </w:t>
      </w:r>
      <w:hyperlink r:id="rId10">
        <w:r w:rsidRPr="00A14D0D">
          <w:rPr>
            <w:rFonts w:asciiTheme="minorHAnsi" w:eastAsia="Cambria" w:hAnsiTheme="minorHAnsi" w:cstheme="minorHAnsi"/>
            <w:color w:val="4F81BD"/>
            <w:kern w:val="0"/>
            <w:lang w:val="fr" w:eastAsia="en-US" w:bidi="ar-SA"/>
          </w:rPr>
          <w:t>Manuel des comptes nationaux trimestriels</w:t>
        </w:r>
      </w:hyperlink>
      <w:r w:rsidRPr="00A14D0D">
        <w:rPr>
          <w:rFonts w:asciiTheme="minorHAnsi" w:eastAsia="Cambria" w:hAnsiTheme="minorHAnsi" w:cstheme="minorHAnsi"/>
          <w:kern w:val="0"/>
          <w:lang w:val="fr" w:eastAsia="en-US" w:bidi="ar-SA"/>
        </w:rPr>
        <w:t xml:space="preserve">, Édition 2017. </w:t>
      </w:r>
      <w:r w:rsidRPr="00A14D0D">
        <w:rPr>
          <w:rFonts w:asciiTheme="minorHAnsi" w:eastAsia="Cambria" w:hAnsiTheme="minorHAnsi" w:cstheme="minorHAnsi"/>
          <w:kern w:val="0"/>
          <w:lang w:val="en-US" w:eastAsia="en-US" w:bidi="ar-SA"/>
        </w:rPr>
        <w:t>Fonds monétaire international, Washington, D.C.</w:t>
      </w:r>
    </w:p>
    <w:p w14:paraId="02C4CDA6" w14:textId="77777777" w:rsidR="00A14D0D" w:rsidRPr="00A14D0D" w:rsidRDefault="00A14D0D" w:rsidP="00A14D0D">
      <w:pPr>
        <w:widowControl/>
        <w:suppressAutoHyphens w:val="0"/>
        <w:autoSpaceDN/>
        <w:spacing w:after="200"/>
        <w:textAlignment w:val="auto"/>
        <w:rPr>
          <w:rFonts w:asciiTheme="minorHAnsi" w:eastAsia="Cambria" w:hAnsiTheme="minorHAnsi" w:cstheme="minorHAnsi"/>
          <w:kern w:val="0"/>
          <w:lang w:val="en-US" w:eastAsia="en-US" w:bidi="ar-SA"/>
        </w:rPr>
      </w:pPr>
      <w:bookmarkStart w:id="2" w:name="ref-menezes2006timely"/>
      <w:bookmarkEnd w:id="0"/>
      <w:r w:rsidRPr="00A14D0D">
        <w:rPr>
          <w:rFonts w:asciiTheme="minorHAnsi" w:eastAsia="Cambria" w:hAnsiTheme="minorHAnsi" w:cstheme="minorHAnsi"/>
          <w:kern w:val="0"/>
          <w:lang w:val="en-US" w:eastAsia="en-US" w:bidi="ar-SA"/>
        </w:rPr>
        <w:t xml:space="preserve">[2] MENEZES Z, MCLAREN CH, VON SANDEN N, Zhang X, BLACK M (2006) </w:t>
      </w:r>
      <w:hyperlink r:id="rId11">
        <w:r w:rsidRPr="00A14D0D">
          <w:rPr>
            <w:rFonts w:asciiTheme="minorHAnsi" w:eastAsia="Cambria" w:hAnsiTheme="minorHAnsi" w:cstheme="minorHAnsi"/>
            <w:color w:val="4F81BD"/>
            <w:kern w:val="0"/>
            <w:lang w:val="en-US" w:eastAsia="en-US" w:bidi="ar-SA"/>
          </w:rPr>
          <w:t>Timely detection of turning points: Should I use the seasonally adjusted or trend estimates?</w:t>
        </w:r>
      </w:hyperlink>
      <w:r w:rsidRPr="00A14D0D">
        <w:rPr>
          <w:rFonts w:asciiTheme="minorHAnsi" w:eastAsia="Cambria" w:hAnsiTheme="minorHAnsi" w:cstheme="minorHAnsi"/>
          <w:kern w:val="0"/>
          <w:lang w:val="en-US" w:eastAsia="en-US" w:bidi="ar-SA"/>
        </w:rPr>
        <w:t xml:space="preserve"> In: Proceedings of the conference on Seasonality, Seasonal Adjustment and their implications for Short-Term Analysis and Forecasting</w:t>
      </w:r>
    </w:p>
    <w:p w14:paraId="53121938" w14:textId="77777777" w:rsidR="00A14D0D" w:rsidRPr="00A14D0D" w:rsidRDefault="00A14D0D" w:rsidP="00A14D0D">
      <w:pPr>
        <w:widowControl/>
        <w:suppressAutoHyphens w:val="0"/>
        <w:autoSpaceDN/>
        <w:spacing w:after="200"/>
        <w:textAlignment w:val="auto"/>
        <w:rPr>
          <w:rFonts w:asciiTheme="minorHAnsi" w:eastAsia="Cambria" w:hAnsiTheme="minorHAnsi" w:cstheme="minorHAnsi"/>
          <w:kern w:val="0"/>
          <w:lang w:val="en-US" w:eastAsia="en-US" w:bidi="ar-SA"/>
        </w:rPr>
      </w:pPr>
      <w:bookmarkStart w:id="3" w:name="ref-huot1989note"/>
      <w:bookmarkEnd w:id="2"/>
      <w:r w:rsidRPr="00A14D0D">
        <w:rPr>
          <w:rFonts w:asciiTheme="minorHAnsi" w:eastAsia="Cambria" w:hAnsiTheme="minorHAnsi" w:cstheme="minorHAnsi"/>
          <w:kern w:val="0"/>
          <w:lang w:val="en-US" w:eastAsia="en-US" w:bidi="ar-SA"/>
        </w:rPr>
        <w:t xml:space="preserve">[3] Huot G, Chhab NB (1989) </w:t>
      </w:r>
      <w:hyperlink r:id="rId12">
        <w:r w:rsidRPr="00A14D0D">
          <w:rPr>
            <w:rFonts w:asciiTheme="minorHAnsi" w:eastAsia="Cambria" w:hAnsiTheme="minorHAnsi" w:cstheme="minorHAnsi"/>
            <w:color w:val="4F81BD"/>
            <w:kern w:val="0"/>
            <w:lang w:val="en-US" w:eastAsia="en-US" w:bidi="ar-SA"/>
          </w:rPr>
          <w:t>A note on the use of trend-cycle estimates for the help-wanted index</w:t>
        </w:r>
      </w:hyperlink>
    </w:p>
    <w:p w14:paraId="785E50DC" w14:textId="77777777" w:rsidR="00A14D0D" w:rsidRPr="00A14D0D" w:rsidRDefault="00A14D0D" w:rsidP="00A14D0D">
      <w:pPr>
        <w:widowControl/>
        <w:suppressAutoHyphens w:val="0"/>
        <w:autoSpaceDN/>
        <w:spacing w:after="200"/>
        <w:textAlignment w:val="auto"/>
        <w:rPr>
          <w:rFonts w:asciiTheme="minorHAnsi" w:eastAsia="Cambria" w:hAnsiTheme="minorHAnsi" w:cstheme="minorHAnsi"/>
          <w:kern w:val="0"/>
          <w:lang w:val="en-US" w:eastAsia="en-US" w:bidi="ar-SA"/>
        </w:rPr>
      </w:pPr>
      <w:bookmarkStart w:id="4" w:name="ref-abs_interpreting_ts_2001"/>
      <w:bookmarkEnd w:id="3"/>
      <w:r w:rsidRPr="00A14D0D">
        <w:rPr>
          <w:rFonts w:asciiTheme="minorHAnsi" w:eastAsia="Cambria" w:hAnsiTheme="minorHAnsi" w:cstheme="minorHAnsi"/>
          <w:kern w:val="0"/>
          <w:lang w:val="en-US" w:eastAsia="en-US" w:bidi="ar-SA"/>
        </w:rPr>
        <w:t xml:space="preserve">[4] Australian Bureau of Statistics (2001) </w:t>
      </w:r>
      <w:hyperlink r:id="rId13">
        <w:r w:rsidRPr="00A14D0D">
          <w:rPr>
            <w:rFonts w:asciiTheme="minorHAnsi" w:eastAsia="Cambria" w:hAnsiTheme="minorHAnsi" w:cstheme="minorHAnsi"/>
            <w:color w:val="4F81BD"/>
            <w:kern w:val="0"/>
            <w:lang w:val="en-US" w:eastAsia="en-US" w:bidi="ar-SA"/>
          </w:rPr>
          <w:t>Feature article: Interpreting Time Series Data</w:t>
        </w:r>
      </w:hyperlink>
      <w:r w:rsidRPr="00A14D0D">
        <w:rPr>
          <w:rFonts w:asciiTheme="minorHAnsi" w:eastAsia="Cambria" w:hAnsiTheme="minorHAnsi" w:cstheme="minorHAnsi"/>
          <w:kern w:val="0"/>
          <w:lang w:val="en-US" w:eastAsia="en-US" w:bidi="ar-SA"/>
        </w:rPr>
        <w:t>. Australian Bureau of Statistics, Canberra, Australia</w:t>
      </w:r>
    </w:p>
    <w:p w14:paraId="5550FEC2" w14:textId="77777777" w:rsidR="00A14D0D" w:rsidRPr="00A14D0D" w:rsidRDefault="00A14D0D" w:rsidP="00A14D0D">
      <w:pPr>
        <w:widowControl/>
        <w:suppressAutoHyphens w:val="0"/>
        <w:autoSpaceDN/>
        <w:spacing w:after="200"/>
        <w:textAlignment w:val="auto"/>
        <w:rPr>
          <w:rFonts w:asciiTheme="minorHAnsi" w:eastAsia="Cambria" w:hAnsiTheme="minorHAnsi" w:cstheme="minorHAnsi"/>
          <w:kern w:val="0"/>
          <w:lang w:val="en-US" w:eastAsia="en-US" w:bidi="ar-SA"/>
        </w:rPr>
      </w:pPr>
      <w:bookmarkStart w:id="5" w:name="ref-picard_matthews_2016"/>
      <w:bookmarkEnd w:id="4"/>
      <w:r w:rsidRPr="00A14D0D">
        <w:rPr>
          <w:rFonts w:asciiTheme="minorHAnsi" w:eastAsia="Cambria" w:hAnsiTheme="minorHAnsi" w:cstheme="minorHAnsi"/>
          <w:kern w:val="0"/>
          <w:lang w:val="en-US" w:eastAsia="en-US" w:bidi="ar-SA"/>
        </w:rPr>
        <w:t xml:space="preserve">[5] Picard F, Matthews S (2016) </w:t>
      </w:r>
      <w:hyperlink r:id="rId14">
        <w:r w:rsidRPr="00A14D0D">
          <w:rPr>
            <w:rFonts w:asciiTheme="minorHAnsi" w:eastAsia="Cambria" w:hAnsiTheme="minorHAnsi" w:cstheme="minorHAnsi"/>
            <w:color w:val="4F81BD"/>
            <w:kern w:val="0"/>
            <w:lang w:val="en-US" w:eastAsia="en-US" w:bidi="ar-SA"/>
          </w:rPr>
          <w:t>The Addition of Trend-Cycle Estimates to Selected Publications at Statistics Canada</w:t>
        </w:r>
      </w:hyperlink>
    </w:p>
    <w:p w14:paraId="1F4A359D" w14:textId="77777777" w:rsidR="00A14D0D" w:rsidRPr="00A14D0D" w:rsidRDefault="00A14D0D" w:rsidP="00A14D0D">
      <w:pPr>
        <w:widowControl/>
        <w:suppressAutoHyphens w:val="0"/>
        <w:autoSpaceDN/>
        <w:spacing w:after="200"/>
        <w:textAlignment w:val="auto"/>
        <w:rPr>
          <w:rFonts w:asciiTheme="minorHAnsi" w:eastAsia="Cambria" w:hAnsiTheme="minorHAnsi" w:cstheme="minorHAnsi"/>
          <w:kern w:val="0"/>
          <w:lang w:val="en-US" w:eastAsia="en-US" w:bidi="ar-SA"/>
        </w:rPr>
      </w:pPr>
      <w:bookmarkStart w:id="6" w:name="ref-abs_interpreting_ts_2003"/>
      <w:bookmarkEnd w:id="5"/>
      <w:r w:rsidRPr="00A14D0D">
        <w:rPr>
          <w:rFonts w:asciiTheme="minorHAnsi" w:eastAsia="Cambria" w:hAnsiTheme="minorHAnsi" w:cstheme="minorHAnsi"/>
          <w:kern w:val="0"/>
          <w:lang w:val="en-US" w:eastAsia="en-US" w:bidi="ar-SA"/>
        </w:rPr>
        <w:t xml:space="preserve">[6] Australian Bureau of Statistics (2003) </w:t>
      </w:r>
      <w:hyperlink r:id="rId15">
        <w:r w:rsidRPr="00A14D0D">
          <w:rPr>
            <w:rFonts w:asciiTheme="minorHAnsi" w:eastAsia="Cambria" w:hAnsiTheme="minorHAnsi" w:cstheme="minorHAnsi"/>
            <w:color w:val="4F81BD"/>
            <w:kern w:val="0"/>
            <w:lang w:val="en-US" w:eastAsia="en-US" w:bidi="ar-SA"/>
          </w:rPr>
          <w:t>A Guide to Interpreting Time Series – Monitoring Trends</w:t>
        </w:r>
      </w:hyperlink>
      <w:r w:rsidRPr="00A14D0D">
        <w:rPr>
          <w:rFonts w:asciiTheme="minorHAnsi" w:eastAsia="Cambria" w:hAnsiTheme="minorHAnsi" w:cstheme="minorHAnsi"/>
          <w:kern w:val="0"/>
          <w:lang w:val="en-US" w:eastAsia="en-US" w:bidi="ar-SA"/>
        </w:rPr>
        <w:t>. Australian Bureau of Statistics, Canberra, Australia</w:t>
      </w:r>
    </w:p>
    <w:p w14:paraId="7CF79967" w14:textId="77777777" w:rsidR="00A14D0D" w:rsidRPr="00A14D0D" w:rsidRDefault="00A14D0D" w:rsidP="00A14D0D">
      <w:pPr>
        <w:widowControl/>
        <w:suppressAutoHyphens w:val="0"/>
        <w:autoSpaceDN/>
        <w:spacing w:after="200"/>
        <w:textAlignment w:val="auto"/>
        <w:rPr>
          <w:rFonts w:asciiTheme="minorHAnsi" w:eastAsia="Cambria" w:hAnsiTheme="minorHAnsi" w:cstheme="minorHAnsi"/>
          <w:kern w:val="0"/>
          <w:lang w:val="fr" w:eastAsia="en-US" w:bidi="ar-SA"/>
        </w:rPr>
      </w:pPr>
      <w:bookmarkStart w:id="7" w:name="ref-jos2024AQLT"/>
      <w:bookmarkEnd w:id="6"/>
      <w:r w:rsidRPr="00A14D0D">
        <w:rPr>
          <w:rFonts w:asciiTheme="minorHAnsi" w:eastAsia="Cambria" w:hAnsiTheme="minorHAnsi" w:cstheme="minorHAnsi"/>
          <w:kern w:val="0"/>
          <w:lang w:val="en-US" w:eastAsia="en-US" w:bidi="ar-SA"/>
        </w:rPr>
        <w:t xml:space="preserve">[7] Quartier-la-Tente A (2024) Improving real-time trend estimates using local parametrisation of polynomial regression filters. </w:t>
      </w:r>
      <w:r w:rsidRPr="00A14D0D">
        <w:rPr>
          <w:rFonts w:asciiTheme="minorHAnsi" w:eastAsia="Cambria" w:hAnsiTheme="minorHAnsi" w:cstheme="minorHAnsi"/>
          <w:kern w:val="0"/>
          <w:lang w:val="fr" w:eastAsia="en-US" w:bidi="ar-SA"/>
        </w:rPr>
        <w:t>Journal of Official Statistics 40(4):685</w:t>
      </w:r>
      <w:r w:rsidRPr="00A14D0D">
        <w:rPr>
          <w:rFonts w:ascii="Cambria Math" w:eastAsia="Cambria" w:hAnsi="Cambria Math" w:cs="Cambria Math"/>
          <w:kern w:val="0"/>
          <w:lang w:val="fr" w:eastAsia="en-US" w:bidi="ar-SA"/>
        </w:rPr>
        <w:t>‑</w:t>
      </w:r>
      <w:r w:rsidRPr="00A14D0D">
        <w:rPr>
          <w:rFonts w:asciiTheme="minorHAnsi" w:eastAsia="Cambria" w:hAnsiTheme="minorHAnsi" w:cstheme="minorHAnsi"/>
          <w:kern w:val="0"/>
          <w:lang w:val="fr" w:eastAsia="en-US" w:bidi="ar-SA"/>
        </w:rPr>
        <w:t xml:space="preserve">715. </w:t>
      </w:r>
      <w:hyperlink r:id="rId16">
        <w:r w:rsidRPr="00A14D0D">
          <w:rPr>
            <w:rFonts w:asciiTheme="minorHAnsi" w:eastAsia="Cambria" w:hAnsiTheme="minorHAnsi" w:cstheme="minorHAnsi"/>
            <w:color w:val="4F81BD"/>
            <w:kern w:val="0"/>
            <w:lang w:val="fr" w:eastAsia="en-US" w:bidi="ar-SA"/>
          </w:rPr>
          <w:t>https://doi.org/10.1177/0282423X241283207</w:t>
        </w:r>
      </w:hyperlink>
    </w:p>
    <w:p w14:paraId="41C50EA9" w14:textId="77777777" w:rsidR="00A14D0D" w:rsidRPr="00A14D0D" w:rsidRDefault="00A14D0D" w:rsidP="00A14D0D">
      <w:pPr>
        <w:widowControl/>
        <w:suppressAutoHyphens w:val="0"/>
        <w:autoSpaceDN/>
        <w:spacing w:after="200"/>
        <w:textAlignment w:val="auto"/>
        <w:rPr>
          <w:rFonts w:asciiTheme="minorHAnsi" w:eastAsia="Cambria" w:hAnsiTheme="minorHAnsi" w:cstheme="minorHAnsi"/>
          <w:kern w:val="0"/>
          <w:lang w:val="fr" w:eastAsia="en-US" w:bidi="ar-SA"/>
        </w:rPr>
      </w:pPr>
      <w:bookmarkStart w:id="8" w:name="ref-AQLT2025robustMA"/>
      <w:bookmarkEnd w:id="7"/>
      <w:r w:rsidRPr="00A14D0D">
        <w:rPr>
          <w:rFonts w:asciiTheme="minorHAnsi" w:eastAsia="Cambria" w:hAnsiTheme="minorHAnsi" w:cstheme="minorHAnsi"/>
          <w:kern w:val="0"/>
          <w:lang w:val="fr" w:eastAsia="en-US" w:bidi="ar-SA"/>
        </w:rPr>
        <w:t xml:space="preserve">[8] Quartier-la-Tente A (2025) </w:t>
      </w:r>
      <w:hyperlink r:id="rId17">
        <w:r w:rsidRPr="00A14D0D">
          <w:rPr>
            <w:rFonts w:asciiTheme="minorHAnsi" w:eastAsia="Cambria" w:hAnsiTheme="minorHAnsi" w:cstheme="minorHAnsi"/>
            <w:color w:val="4F81BD"/>
            <w:kern w:val="0"/>
            <w:lang w:val="fr" w:eastAsia="en-US" w:bidi="ar-SA"/>
          </w:rPr>
          <w:t>Estimation de la tendance-cycle avec des méthodes robustes aux points atypiques</w:t>
        </w:r>
      </w:hyperlink>
      <w:bookmarkEnd w:id="1"/>
      <w:bookmarkEnd w:id="8"/>
    </w:p>
    <w:p w14:paraId="3FD0482E" w14:textId="77777777" w:rsidR="008425A7" w:rsidRPr="00A14D0D" w:rsidRDefault="008425A7" w:rsidP="00A14D0D">
      <w:pPr>
        <w:pStyle w:val="Standard"/>
        <w:rPr>
          <w:rFonts w:asciiTheme="minorHAnsi" w:hAnsiTheme="minorHAnsi" w:cstheme="minorHAnsi"/>
        </w:rPr>
      </w:pPr>
    </w:p>
    <w:sectPr w:rsidR="008425A7" w:rsidRPr="00A14D0D">
      <w:headerReference w:type="default" r:id="rId18"/>
      <w:footerReference w:type="default" r:id="rId19"/>
      <w:pgSz w:w="11906" w:h="16838"/>
      <w:pgMar w:top="1116"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C20160" w14:textId="77777777" w:rsidR="003420DD" w:rsidRDefault="003420DD">
      <w:r>
        <w:separator/>
      </w:r>
    </w:p>
  </w:endnote>
  <w:endnote w:type="continuationSeparator" w:id="0">
    <w:p w14:paraId="4238E7D8" w14:textId="77777777" w:rsidR="003420DD" w:rsidRDefault="003420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B06040202020202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1"/>
    <w:family w:val="roman"/>
    <w:pitch w:val="variable"/>
    <w:sig w:usb0="0000A003" w:usb1="00000000" w:usb2="00000000" w:usb3="00000000" w:csb0="00000001"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986AE" w14:textId="77777777" w:rsidR="00E047B8" w:rsidRDefault="00396D66">
    <w:pPr>
      <w:pStyle w:val="Pieddepage"/>
      <w:jc w:val="center"/>
      <w:rPr>
        <w:rFonts w:ascii="Calibri" w:hAnsi="Calibri" w:cs="Calibri"/>
        <w:i/>
        <w:iCs/>
      </w:rPr>
    </w:pPr>
    <w:r>
      <w:rPr>
        <w:rFonts w:ascii="Calibri" w:hAnsi="Calibri" w:cs="Calibri"/>
        <w:i/>
        <w:iCs/>
      </w:rPr>
      <w:t>15</w:t>
    </w:r>
    <w:r>
      <w:rPr>
        <w:rFonts w:ascii="Calibri" w:hAnsi="Calibri" w:cs="Calibri"/>
        <w:i/>
        <w:iCs/>
        <w:vertAlign w:val="superscript"/>
      </w:rPr>
      <w:t>e</w:t>
    </w:r>
    <w:r>
      <w:rPr>
        <w:rFonts w:ascii="Calibri" w:hAnsi="Calibri" w:cs="Calibri"/>
        <w:i/>
        <w:iCs/>
      </w:rPr>
      <w:t xml:space="preserve"> édition des Journées de méthodologie statistique de l’Insee (JMS 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546403" w14:textId="77777777" w:rsidR="003420DD" w:rsidRDefault="003420DD">
      <w:r>
        <w:rPr>
          <w:color w:val="000000"/>
        </w:rPr>
        <w:separator/>
      </w:r>
    </w:p>
  </w:footnote>
  <w:footnote w:type="continuationSeparator" w:id="0">
    <w:p w14:paraId="1EE93245" w14:textId="77777777" w:rsidR="003420DD" w:rsidRDefault="003420DD">
      <w:r>
        <w:continuationSeparator/>
      </w:r>
    </w:p>
  </w:footnote>
  <w:footnote w:id="1">
    <w:p w14:paraId="17F00325" w14:textId="77777777" w:rsidR="000155E9" w:rsidRPr="000155E9" w:rsidRDefault="000155E9" w:rsidP="000155E9">
      <w:pPr>
        <w:pStyle w:val="Notedebasdepage"/>
        <w:rPr>
          <w:rFonts w:asciiTheme="minorHAnsi" w:hAnsiTheme="minorHAnsi" w:cstheme="minorHAnsi"/>
        </w:rPr>
      </w:pPr>
      <w:r w:rsidRPr="000155E9">
        <w:rPr>
          <w:rStyle w:val="Appelnotedebasdep"/>
          <w:rFonts w:asciiTheme="minorHAnsi" w:hAnsiTheme="minorHAnsi" w:cstheme="minorHAnsi"/>
        </w:rPr>
        <w:footnoteRef/>
      </w:r>
      <w:r w:rsidRPr="000155E9">
        <w:rPr>
          <w:rFonts w:asciiTheme="minorHAnsi" w:hAnsiTheme="minorHAnsi" w:cstheme="minorHAnsi"/>
        </w:rPr>
        <w:t xml:space="preserve"> </w:t>
      </w:r>
      <w:r w:rsidRPr="000155E9">
        <w:rPr>
          <w:rFonts w:asciiTheme="minorHAnsi" w:hAnsiTheme="minorHAnsi" w:cstheme="minorHAnsi"/>
          <w:szCs w:val="20"/>
        </w:rPr>
        <w:t>On parle de point de retournement lorsque l’on passe d’une phase de récession (diminutions successives) à une phase d’expansion de l’économie (augmentations successives), ou d’une phase d’expansion à une phase de récession.</w:t>
      </w:r>
    </w:p>
    <w:p w14:paraId="6DB5577D" w14:textId="77777777" w:rsidR="000155E9" w:rsidRDefault="000155E9" w:rsidP="000155E9">
      <w:pPr>
        <w:pStyle w:val="Notedebasdepag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6724D" w14:textId="77777777" w:rsidR="00E047B8" w:rsidRDefault="002440D5" w:rsidP="002440D5">
    <w:pPr>
      <w:pStyle w:val="En-tte"/>
      <w:ind w:left="426"/>
    </w:pPr>
    <w:r w:rsidRPr="002440D5">
      <w:rPr>
        <w:noProof/>
      </w:rPr>
      <w:drawing>
        <wp:inline distT="0" distB="0" distL="0" distR="0" wp14:anchorId="335AD76E" wp14:editId="3F07590C">
          <wp:extent cx="5760720" cy="746760"/>
          <wp:effectExtent l="0" t="0" r="0" b="0"/>
          <wp:docPr id="3" name="Image 2">
            <a:extLst xmlns:a="http://schemas.openxmlformats.org/drawingml/2006/main">
              <a:ext uri="{FF2B5EF4-FFF2-40B4-BE49-F238E27FC236}">
                <a16:creationId xmlns:a16="http://schemas.microsoft.com/office/drawing/2014/main" id="{914D4B01-AC5B-4798-A42F-AB816B7AE27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a:extLst>
                      <a:ext uri="{FF2B5EF4-FFF2-40B4-BE49-F238E27FC236}">
                        <a16:creationId xmlns:a16="http://schemas.microsoft.com/office/drawing/2014/main" id="{914D4B01-AC5B-4798-A42F-AB816B7AE27A}"/>
                      </a:ext>
                    </a:extLst>
                  </pic:cNvPr>
                  <pic:cNvPicPr>
                    <a:picLocks noChangeAspect="1"/>
                  </pic:cNvPicPr>
                </pic:nvPicPr>
                <pic:blipFill>
                  <a:blip r:embed="rId1"/>
                  <a:stretch>
                    <a:fillRect/>
                  </a:stretch>
                </pic:blipFill>
                <pic:spPr>
                  <a:xfrm>
                    <a:off x="0" y="0"/>
                    <a:ext cx="5760720" cy="746760"/>
                  </a:xfrm>
                  <a:prstGeom prst="rect">
                    <a:avLst/>
                  </a:prstGeom>
                </pic:spPr>
              </pic:pic>
            </a:graphicData>
          </a:graphic>
        </wp:inline>
      </w:drawing>
    </w:r>
  </w:p>
  <w:p w14:paraId="20FBC1D3" w14:textId="77777777" w:rsidR="00E047B8" w:rsidRDefault="0000000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99421"/>
    <w:multiLevelType w:val="multilevel"/>
    <w:tmpl w:val="33AA603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039642ED"/>
    <w:multiLevelType w:val="hybridMultilevel"/>
    <w:tmpl w:val="5F9A07C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B380C68"/>
    <w:multiLevelType w:val="multilevel"/>
    <w:tmpl w:val="2AD2269A"/>
    <w:styleLink w:val="WW8Num6"/>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 w15:restartNumberingAfterBreak="0">
    <w:nsid w:val="15E47171"/>
    <w:multiLevelType w:val="hybridMultilevel"/>
    <w:tmpl w:val="BBAE9EAA"/>
    <w:lvl w:ilvl="0" w:tplc="0CAA41F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F7F7C4A"/>
    <w:multiLevelType w:val="multilevel"/>
    <w:tmpl w:val="E2487A56"/>
    <w:styleLink w:val="WW8Num4"/>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1.%3."/>
      <w:lvlJc w:val="left"/>
      <w:pPr>
        <w:ind w:left="1944" w:hanging="504"/>
      </w:pPr>
    </w:lvl>
    <w:lvl w:ilvl="3">
      <w:start w:val="1"/>
      <w:numFmt w:val="decimal"/>
      <w:lvlText w:val="1.1.%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5" w15:restartNumberingAfterBreak="0">
    <w:nsid w:val="27465DD5"/>
    <w:multiLevelType w:val="multilevel"/>
    <w:tmpl w:val="01521CD4"/>
    <w:styleLink w:val="WW8Num9"/>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6" w15:restartNumberingAfterBreak="0">
    <w:nsid w:val="29F96CA8"/>
    <w:multiLevelType w:val="hybridMultilevel"/>
    <w:tmpl w:val="7896B700"/>
    <w:lvl w:ilvl="0" w:tplc="4E86FE8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A595424"/>
    <w:multiLevelType w:val="hybridMultilevel"/>
    <w:tmpl w:val="5D420028"/>
    <w:lvl w:ilvl="0" w:tplc="040C000F">
      <w:start w:val="1"/>
      <w:numFmt w:val="decimal"/>
      <w:lvlText w:val="%1."/>
      <w:lvlJc w:val="left"/>
      <w:pPr>
        <w:ind w:left="960" w:hanging="360"/>
      </w:pPr>
    </w:lvl>
    <w:lvl w:ilvl="1" w:tplc="040C0019" w:tentative="1">
      <w:start w:val="1"/>
      <w:numFmt w:val="lowerLetter"/>
      <w:lvlText w:val="%2."/>
      <w:lvlJc w:val="left"/>
      <w:pPr>
        <w:ind w:left="1680" w:hanging="360"/>
      </w:pPr>
    </w:lvl>
    <w:lvl w:ilvl="2" w:tplc="040C001B" w:tentative="1">
      <w:start w:val="1"/>
      <w:numFmt w:val="lowerRoman"/>
      <w:lvlText w:val="%3."/>
      <w:lvlJc w:val="right"/>
      <w:pPr>
        <w:ind w:left="2400" w:hanging="180"/>
      </w:pPr>
    </w:lvl>
    <w:lvl w:ilvl="3" w:tplc="040C000F" w:tentative="1">
      <w:start w:val="1"/>
      <w:numFmt w:val="decimal"/>
      <w:lvlText w:val="%4."/>
      <w:lvlJc w:val="left"/>
      <w:pPr>
        <w:ind w:left="3120" w:hanging="360"/>
      </w:pPr>
    </w:lvl>
    <w:lvl w:ilvl="4" w:tplc="040C0019" w:tentative="1">
      <w:start w:val="1"/>
      <w:numFmt w:val="lowerLetter"/>
      <w:lvlText w:val="%5."/>
      <w:lvlJc w:val="left"/>
      <w:pPr>
        <w:ind w:left="3840" w:hanging="360"/>
      </w:pPr>
    </w:lvl>
    <w:lvl w:ilvl="5" w:tplc="040C001B" w:tentative="1">
      <w:start w:val="1"/>
      <w:numFmt w:val="lowerRoman"/>
      <w:lvlText w:val="%6."/>
      <w:lvlJc w:val="right"/>
      <w:pPr>
        <w:ind w:left="4560" w:hanging="180"/>
      </w:pPr>
    </w:lvl>
    <w:lvl w:ilvl="6" w:tplc="040C000F" w:tentative="1">
      <w:start w:val="1"/>
      <w:numFmt w:val="decimal"/>
      <w:lvlText w:val="%7."/>
      <w:lvlJc w:val="left"/>
      <w:pPr>
        <w:ind w:left="5280" w:hanging="360"/>
      </w:pPr>
    </w:lvl>
    <w:lvl w:ilvl="7" w:tplc="040C0019" w:tentative="1">
      <w:start w:val="1"/>
      <w:numFmt w:val="lowerLetter"/>
      <w:lvlText w:val="%8."/>
      <w:lvlJc w:val="left"/>
      <w:pPr>
        <w:ind w:left="6000" w:hanging="360"/>
      </w:pPr>
    </w:lvl>
    <w:lvl w:ilvl="8" w:tplc="040C001B" w:tentative="1">
      <w:start w:val="1"/>
      <w:numFmt w:val="lowerRoman"/>
      <w:lvlText w:val="%9."/>
      <w:lvlJc w:val="right"/>
      <w:pPr>
        <w:ind w:left="6720" w:hanging="180"/>
      </w:pPr>
    </w:lvl>
  </w:abstractNum>
  <w:abstractNum w:abstractNumId="8" w15:restartNumberingAfterBreak="0">
    <w:nsid w:val="2CEB6E1E"/>
    <w:multiLevelType w:val="multilevel"/>
    <w:tmpl w:val="72C45758"/>
    <w:styleLink w:val="WW8Num7"/>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 w15:restartNumberingAfterBreak="0">
    <w:nsid w:val="307E11CD"/>
    <w:multiLevelType w:val="multilevel"/>
    <w:tmpl w:val="1682CAD2"/>
    <w:styleLink w:val="WW8Num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D010EF3"/>
    <w:multiLevelType w:val="multilevel"/>
    <w:tmpl w:val="630C54F4"/>
    <w:styleLink w:val="WW8Num10"/>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1" w15:restartNumberingAfterBreak="0">
    <w:nsid w:val="3F4A3FDD"/>
    <w:multiLevelType w:val="multilevel"/>
    <w:tmpl w:val="A2E23404"/>
    <w:styleLink w:val="WW8Num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C0A2910"/>
    <w:multiLevelType w:val="multilevel"/>
    <w:tmpl w:val="F3DE3C7E"/>
    <w:styleLink w:val="WW8Num3"/>
    <w:lvl w:ilvl="0">
      <w:start w:val="1"/>
      <w:numFmt w:val="decimal"/>
      <w:pStyle w:val="Titreniveau3NUMEROTE"/>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3" w15:restartNumberingAfterBreak="0">
    <w:nsid w:val="60FB5688"/>
    <w:multiLevelType w:val="multilevel"/>
    <w:tmpl w:val="E424D3DC"/>
    <w:styleLink w:val="WW8Num5"/>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2.1.%3."/>
      <w:lvlJc w:val="left"/>
      <w:pPr>
        <w:ind w:left="1584" w:hanging="504"/>
      </w:pPr>
    </w:lvl>
    <w:lvl w:ilvl="3">
      <w:start w:val="1"/>
      <w:numFmt w:val="decimal"/>
      <w:lvlText w:val="2.1.%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4" w15:restartNumberingAfterBreak="0">
    <w:nsid w:val="722C48FF"/>
    <w:multiLevelType w:val="multilevel"/>
    <w:tmpl w:val="437C3BCE"/>
    <w:styleLink w:val="WW8Num2"/>
    <w:lvl w:ilvl="0">
      <w:start w:val="2"/>
      <w:numFmt w:val="decimal"/>
      <w:lvlText w:val="%1."/>
      <w:lvlJc w:val="left"/>
      <w:pPr>
        <w:ind w:left="720" w:hanging="360"/>
      </w:pPr>
    </w:lvl>
    <w:lvl w:ilvl="1">
      <w:start w:val="1"/>
      <w:numFmt w:val="decimal"/>
      <w:lvlText w:val="%1.%2."/>
      <w:lvlJc w:val="left"/>
      <w:pPr>
        <w:ind w:left="1152" w:hanging="432"/>
      </w:pPr>
    </w:lvl>
    <w:lvl w:ilvl="2">
      <w:start w:val="1"/>
      <w:numFmt w:val="decimal"/>
      <w:lvlText w:val="2.1.%3."/>
      <w:lvlJc w:val="left"/>
      <w:pPr>
        <w:ind w:left="1584" w:hanging="504"/>
      </w:pPr>
    </w:lvl>
    <w:lvl w:ilvl="3">
      <w:start w:val="1"/>
      <w:numFmt w:val="decimal"/>
      <w:lvlText w:val="2.1.%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16cid:durableId="1590846573">
    <w:abstractNumId w:val="11"/>
  </w:num>
  <w:num w:numId="2" w16cid:durableId="1025981756">
    <w:abstractNumId w:val="14"/>
  </w:num>
  <w:num w:numId="3" w16cid:durableId="1162156631">
    <w:abstractNumId w:val="12"/>
  </w:num>
  <w:num w:numId="4" w16cid:durableId="1509101557">
    <w:abstractNumId w:val="4"/>
  </w:num>
  <w:num w:numId="5" w16cid:durableId="1578858642">
    <w:abstractNumId w:val="13"/>
  </w:num>
  <w:num w:numId="6" w16cid:durableId="1210534965">
    <w:abstractNumId w:val="2"/>
  </w:num>
  <w:num w:numId="7" w16cid:durableId="773207281">
    <w:abstractNumId w:val="8"/>
  </w:num>
  <w:num w:numId="8" w16cid:durableId="1520854047">
    <w:abstractNumId w:val="9"/>
  </w:num>
  <w:num w:numId="9" w16cid:durableId="1526871737">
    <w:abstractNumId w:val="5"/>
  </w:num>
  <w:num w:numId="10" w16cid:durableId="591427597">
    <w:abstractNumId w:val="10"/>
  </w:num>
  <w:num w:numId="11" w16cid:durableId="1841431715">
    <w:abstractNumId w:val="1"/>
  </w:num>
  <w:num w:numId="12" w16cid:durableId="164900413">
    <w:abstractNumId w:val="3"/>
  </w:num>
  <w:num w:numId="13" w16cid:durableId="16087308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271232226">
    <w:abstractNumId w:val="6"/>
  </w:num>
  <w:num w:numId="15" w16cid:durableId="12220593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25A7"/>
    <w:rsid w:val="000155E9"/>
    <w:rsid w:val="00106016"/>
    <w:rsid w:val="00185338"/>
    <w:rsid w:val="0019717F"/>
    <w:rsid w:val="001D07D7"/>
    <w:rsid w:val="002440D5"/>
    <w:rsid w:val="0025602C"/>
    <w:rsid w:val="00292DC7"/>
    <w:rsid w:val="002D1611"/>
    <w:rsid w:val="003420DD"/>
    <w:rsid w:val="00355204"/>
    <w:rsid w:val="00396D66"/>
    <w:rsid w:val="00472155"/>
    <w:rsid w:val="004A4E66"/>
    <w:rsid w:val="004B5667"/>
    <w:rsid w:val="00533C5E"/>
    <w:rsid w:val="005E726A"/>
    <w:rsid w:val="00637E66"/>
    <w:rsid w:val="00735F17"/>
    <w:rsid w:val="0074775C"/>
    <w:rsid w:val="007909A6"/>
    <w:rsid w:val="008425A7"/>
    <w:rsid w:val="0089335A"/>
    <w:rsid w:val="00935FA9"/>
    <w:rsid w:val="009C49C8"/>
    <w:rsid w:val="00A12B3B"/>
    <w:rsid w:val="00A14D0D"/>
    <w:rsid w:val="00AE34F5"/>
    <w:rsid w:val="00CC14A7"/>
    <w:rsid w:val="00CF092D"/>
    <w:rsid w:val="00D270E5"/>
    <w:rsid w:val="00E06B29"/>
    <w:rsid w:val="00E12C4F"/>
    <w:rsid w:val="00E72167"/>
    <w:rsid w:val="00E95C76"/>
    <w:rsid w:val="00F71AD5"/>
    <w:rsid w:val="00F831C4"/>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CD805"/>
  <w15:docId w15:val="{BB640949-BFD6-40E6-8BC4-8430E954B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Arial"/>
        <w:kern w:val="3"/>
        <w:sz w:val="24"/>
        <w:szCs w:val="24"/>
        <w:lang w:val="fr-FR"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itre1">
    <w:name w:val="heading 1"/>
    <w:basedOn w:val="Standard"/>
    <w:next w:val="Standard"/>
    <w:uiPriority w:val="9"/>
    <w:qFormat/>
    <w:pPr>
      <w:keepNext/>
      <w:spacing w:before="240" w:after="120"/>
      <w:outlineLvl w:val="0"/>
    </w:pPr>
    <w:rPr>
      <w:b/>
      <w:bCs/>
      <w:sz w:val="28"/>
      <w:szCs w:val="32"/>
    </w:rPr>
  </w:style>
  <w:style w:type="paragraph" w:styleId="Titre2">
    <w:name w:val="heading 2"/>
    <w:basedOn w:val="Standard"/>
    <w:next w:val="Standard"/>
    <w:uiPriority w:val="9"/>
    <w:semiHidden/>
    <w:unhideWhenUsed/>
    <w:qFormat/>
    <w:pPr>
      <w:keepNext/>
      <w:spacing w:before="240" w:after="120"/>
      <w:outlineLvl w:val="1"/>
    </w:pPr>
    <w:rPr>
      <w:b/>
      <w:bCs/>
      <w:iCs/>
      <w:sz w:val="24"/>
      <w:szCs w:val="28"/>
    </w:rPr>
  </w:style>
  <w:style w:type="paragraph" w:styleId="Titre3">
    <w:name w:val="heading 3"/>
    <w:basedOn w:val="Standard"/>
    <w:next w:val="Standard"/>
    <w:uiPriority w:val="9"/>
    <w:semiHidden/>
    <w:unhideWhenUsed/>
    <w:qFormat/>
    <w:pPr>
      <w:keepNext/>
      <w:spacing w:before="240" w:after="120"/>
      <w:outlineLvl w:val="2"/>
    </w:pPr>
    <w:rPr>
      <w:bCs/>
      <w:sz w:val="24"/>
      <w:szCs w:val="26"/>
    </w:rPr>
  </w:style>
  <w:style w:type="paragraph" w:styleId="Titre4">
    <w:name w:val="heading 4"/>
    <w:basedOn w:val="Standard"/>
    <w:next w:val="Standard"/>
    <w:uiPriority w:val="9"/>
    <w:semiHidden/>
    <w:unhideWhenUsed/>
    <w:qFormat/>
    <w:pPr>
      <w:keepNext/>
      <w:spacing w:before="240" w:after="120"/>
      <w:outlineLvl w:val="3"/>
    </w:pPr>
    <w:rPr>
      <w:rFonts w:cs="Times New Roman"/>
      <w:bCs/>
      <w:i/>
      <w:sz w:val="24"/>
      <w:szCs w:val="28"/>
    </w:rPr>
  </w:style>
  <w:style w:type="paragraph" w:styleId="Titre5">
    <w:name w:val="heading 5"/>
    <w:basedOn w:val="Standard"/>
    <w:next w:val="Standard"/>
    <w:uiPriority w:val="9"/>
    <w:semiHidden/>
    <w:unhideWhenUsed/>
    <w:qFormat/>
    <w:pPr>
      <w:spacing w:before="240" w:after="60"/>
      <w:outlineLvl w:val="4"/>
    </w:pPr>
    <w:rPr>
      <w:b/>
      <w:bCs/>
      <w:i/>
      <w:iCs/>
      <w:sz w:val="26"/>
      <w:szCs w:val="26"/>
    </w:rPr>
  </w:style>
  <w:style w:type="paragraph" w:styleId="Titre6">
    <w:name w:val="heading 6"/>
    <w:basedOn w:val="Standard"/>
    <w:next w:val="Standard"/>
    <w:uiPriority w:val="9"/>
    <w:semiHidden/>
    <w:unhideWhenUsed/>
    <w:qFormat/>
    <w:pPr>
      <w:spacing w:before="240" w:after="60"/>
      <w:outlineLvl w:val="5"/>
    </w:pPr>
    <w:rPr>
      <w:rFonts w:ascii="Times New Roman" w:hAnsi="Times New Roman" w:cs="Times New Roman"/>
      <w:b/>
      <w:bCs/>
      <w:sz w:val="22"/>
      <w:szCs w:val="22"/>
    </w:rPr>
  </w:style>
  <w:style w:type="paragraph" w:styleId="Titre7">
    <w:name w:val="heading 7"/>
    <w:basedOn w:val="Standard"/>
    <w:next w:val="Standard"/>
    <w:pPr>
      <w:spacing w:before="240" w:after="60"/>
      <w:outlineLvl w:val="6"/>
    </w:pPr>
    <w:rPr>
      <w:rFonts w:ascii="Times New Roman" w:hAnsi="Times New Roman" w:cs="Times New Roman"/>
      <w:sz w:val="24"/>
      <w:szCs w:val="24"/>
    </w:rPr>
  </w:style>
  <w:style w:type="paragraph" w:styleId="Titre8">
    <w:name w:val="heading 8"/>
    <w:basedOn w:val="Standard"/>
    <w:next w:val="Standard"/>
    <w:pPr>
      <w:spacing w:before="240" w:after="60"/>
      <w:outlineLvl w:val="7"/>
    </w:pPr>
    <w:rPr>
      <w:rFonts w:ascii="Times New Roman" w:hAnsi="Times New Roman" w:cs="Times New Roman"/>
      <w:i/>
      <w:iCs/>
      <w:sz w:val="24"/>
      <w:szCs w:val="24"/>
    </w:rPr>
  </w:style>
  <w:style w:type="paragraph" w:styleId="Titre9">
    <w:name w:val="heading 9"/>
    <w:basedOn w:val="Standard"/>
    <w:next w:val="Standard"/>
    <w:pPr>
      <w:spacing w:before="240" w:after="60"/>
      <w:outlineLvl w:val="8"/>
    </w:pPr>
    <w:rPr>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qFormat/>
    <w:pPr>
      <w:widowControl/>
      <w:suppressAutoHyphens/>
      <w:jc w:val="both"/>
    </w:pPr>
    <w:rPr>
      <w:rFonts w:ascii="Arial" w:eastAsia="Times New Roman" w:hAnsi="Arial"/>
      <w:sz w:val="20"/>
      <w:szCs w:val="20"/>
      <w:lang w:bidi="ar-SA"/>
    </w:rPr>
  </w:style>
  <w:style w:type="paragraph" w:customStyle="1" w:styleId="Heading">
    <w:name w:val="Heading"/>
    <w:basedOn w:val="Standard"/>
    <w:next w:val="Textbody"/>
    <w:pPr>
      <w:keepNext/>
      <w:spacing w:before="240" w:after="120"/>
    </w:pPr>
    <w:rPr>
      <w:rFonts w:ascii="Liberation Sans" w:eastAsia="Microsoft YaHei" w:hAnsi="Liberation Sans" w:cs="Liberation Sans"/>
      <w:sz w:val="28"/>
      <w:szCs w:val="28"/>
    </w:rPr>
  </w:style>
  <w:style w:type="paragraph" w:customStyle="1" w:styleId="Textbody">
    <w:name w:val="Text body"/>
    <w:basedOn w:val="Standard"/>
    <w:pPr>
      <w:spacing w:after="140" w:line="276" w:lineRule="auto"/>
    </w:pPr>
  </w:style>
  <w:style w:type="paragraph" w:styleId="Liste">
    <w:name w:val="List"/>
    <w:basedOn w:val="Textbody"/>
    <w:rPr>
      <w:sz w:val="24"/>
    </w:rPr>
  </w:style>
  <w:style w:type="paragraph" w:styleId="Lgende">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customStyle="1" w:styleId="Titredelarticle">
    <w:name w:val="Titre de l'article"/>
    <w:basedOn w:val="Standard"/>
    <w:next w:val="Standard"/>
    <w:pPr>
      <w:spacing w:after="480"/>
      <w:jc w:val="center"/>
    </w:pPr>
    <w:rPr>
      <w:b/>
      <w:caps/>
      <w:sz w:val="32"/>
    </w:rPr>
  </w:style>
  <w:style w:type="paragraph" w:customStyle="1" w:styleId="Auteurs">
    <w:name w:val="Auteur(s)"/>
    <w:basedOn w:val="Standard"/>
    <w:next w:val="Standard"/>
    <w:pPr>
      <w:spacing w:before="240"/>
      <w:jc w:val="right"/>
    </w:pPr>
    <w:rPr>
      <w:i/>
      <w:sz w:val="24"/>
    </w:rPr>
  </w:style>
  <w:style w:type="paragraph" w:styleId="Bibliographie">
    <w:name w:val="Bibliography"/>
    <w:basedOn w:val="Standard"/>
    <w:next w:val="Standard"/>
    <w:rPr>
      <w:b/>
      <w:sz w:val="28"/>
    </w:rPr>
  </w:style>
  <w:style w:type="paragraph" w:customStyle="1" w:styleId="Footnote">
    <w:name w:val="Footnote"/>
    <w:basedOn w:val="Normal"/>
    <w:rPr>
      <w:rFonts w:cs="Mangal"/>
      <w:sz w:val="20"/>
      <w:szCs w:val="18"/>
    </w:rPr>
  </w:style>
  <w:style w:type="paragraph" w:customStyle="1" w:styleId="Titredegraphique">
    <w:name w:val="Titre de graphique"/>
    <w:basedOn w:val="Standard"/>
    <w:pPr>
      <w:spacing w:before="240" w:after="120"/>
    </w:pPr>
    <w:rPr>
      <w:b/>
    </w:rPr>
  </w:style>
  <w:style w:type="paragraph" w:customStyle="1" w:styleId="Notesousillustrations">
    <w:name w:val="Note sous illustrations"/>
    <w:basedOn w:val="Standard"/>
    <w:rPr>
      <w:sz w:val="18"/>
    </w:rPr>
  </w:style>
  <w:style w:type="paragraph" w:customStyle="1" w:styleId="Sourcesousillustration">
    <w:name w:val="Source sous illustration"/>
    <w:basedOn w:val="Standard"/>
    <w:rPr>
      <w:i/>
      <w:sz w:val="18"/>
    </w:rPr>
  </w:style>
  <w:style w:type="paragraph" w:customStyle="1" w:styleId="Organismedu1erauteur">
    <w:name w:val="Organisme du 1er auteur"/>
    <w:basedOn w:val="Auteurs"/>
    <w:next w:val="Standard"/>
  </w:style>
  <w:style w:type="paragraph" w:customStyle="1" w:styleId="Organismedesautresauteurs">
    <w:name w:val="Organisme des autres auteurs"/>
    <w:basedOn w:val="Organismedu1erauteur"/>
    <w:next w:val="Standard"/>
    <w:pPr>
      <w:spacing w:before="0"/>
    </w:pPr>
  </w:style>
  <w:style w:type="paragraph" w:customStyle="1" w:styleId="HeaderandFooter">
    <w:name w:val="Header and Footer"/>
    <w:basedOn w:val="Standard"/>
    <w:pPr>
      <w:suppressLineNumbers/>
      <w:tabs>
        <w:tab w:val="center" w:pos="4819"/>
        <w:tab w:val="right" w:pos="9638"/>
      </w:tabs>
    </w:pPr>
  </w:style>
  <w:style w:type="paragraph" w:styleId="En-tte">
    <w:name w:val="header"/>
    <w:basedOn w:val="Standard"/>
    <w:pPr>
      <w:tabs>
        <w:tab w:val="center" w:pos="4536"/>
        <w:tab w:val="right" w:pos="9072"/>
      </w:tabs>
    </w:pPr>
  </w:style>
  <w:style w:type="paragraph" w:customStyle="1" w:styleId="Titreniveau2NUMEROTE">
    <w:name w:val="Titre niveau 2 NUMEROTE"/>
    <w:basedOn w:val="Standard"/>
    <w:next w:val="Standard"/>
    <w:pPr>
      <w:jc w:val="left"/>
    </w:pPr>
    <w:rPr>
      <w:b/>
      <w:sz w:val="24"/>
    </w:rPr>
  </w:style>
  <w:style w:type="paragraph" w:customStyle="1" w:styleId="Titreniveau1NUMEROTE">
    <w:name w:val="Titre niveau 1 NUMEROTE"/>
    <w:basedOn w:val="Standard"/>
    <w:next w:val="Standard"/>
    <w:pPr>
      <w:jc w:val="left"/>
    </w:pPr>
    <w:rPr>
      <w:rFonts w:cs="Times New Roman"/>
      <w:b/>
      <w:bCs/>
      <w:sz w:val="28"/>
      <w:szCs w:val="28"/>
    </w:rPr>
  </w:style>
  <w:style w:type="paragraph" w:customStyle="1" w:styleId="Titreniveau4NUMEROTE">
    <w:name w:val="Titre niveau 4 NUMEROTE"/>
    <w:basedOn w:val="Standard"/>
    <w:next w:val="Standard"/>
    <w:rPr>
      <w:bCs/>
      <w:i/>
      <w:iCs/>
      <w:sz w:val="24"/>
      <w:szCs w:val="28"/>
    </w:rPr>
  </w:style>
  <w:style w:type="paragraph" w:styleId="Pieddepage">
    <w:name w:val="footer"/>
    <w:basedOn w:val="Standard"/>
    <w:pPr>
      <w:tabs>
        <w:tab w:val="center" w:pos="4536"/>
        <w:tab w:val="right" w:pos="9072"/>
      </w:tabs>
    </w:pPr>
  </w:style>
  <w:style w:type="paragraph" w:customStyle="1" w:styleId="Titreniveau3NUMEROTE">
    <w:name w:val="Titre niveau 3 NUMEROTE"/>
    <w:basedOn w:val="Standard"/>
    <w:next w:val="Standard"/>
    <w:pPr>
      <w:numPr>
        <w:numId w:val="3"/>
      </w:numPr>
      <w:jc w:val="left"/>
    </w:pPr>
    <w:rPr>
      <w:sz w:val="24"/>
    </w:rPr>
  </w:style>
  <w:style w:type="paragraph" w:customStyle="1" w:styleId="NormallYves">
    <w:name w:val="NormallYves"/>
    <w:pPr>
      <w:widowControl/>
      <w:suppressAutoHyphens/>
      <w:spacing w:after="57"/>
      <w:jc w:val="both"/>
    </w:pPr>
    <w:rPr>
      <w:rFonts w:ascii="Arial" w:eastAsia="Times New Roman" w:hAnsi="Arial"/>
      <w:color w:val="00000A"/>
      <w:sz w:val="20"/>
      <w:szCs w:val="20"/>
      <w:lang w:bidi="ar-SA"/>
    </w:rPr>
  </w:style>
  <w:style w:type="paragraph" w:customStyle="1" w:styleId="Text">
    <w:name w:val="Text"/>
    <w:basedOn w:val="Standard"/>
    <w:pPr>
      <w:tabs>
        <w:tab w:val="left" w:pos="851"/>
      </w:tabs>
      <w:overflowPunct w:val="0"/>
      <w:autoSpaceDE w:val="0"/>
      <w:spacing w:before="240"/>
    </w:pPr>
    <w:rPr>
      <w:rFonts w:cs="Times New Roman"/>
    </w:rPr>
  </w:style>
  <w:style w:type="paragraph" w:customStyle="1" w:styleId="TableContents">
    <w:name w:val="Table Contents"/>
    <w:basedOn w:val="Standard"/>
    <w:pPr>
      <w:suppressLineNumbers/>
    </w:pPr>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style>
  <w:style w:type="character" w:customStyle="1" w:styleId="WW8Num4z0">
    <w:name w:val="WW8Num4z0"/>
  </w:style>
  <w:style w:type="character" w:customStyle="1" w:styleId="WW8Num5z0">
    <w:name w:val="WW8Num5z0"/>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style>
  <w:style w:type="character" w:customStyle="1" w:styleId="WW8Num10z0">
    <w:name w:val="WW8Num10z0"/>
  </w:style>
  <w:style w:type="character" w:customStyle="1" w:styleId="FootnoteSymbol">
    <w:name w:val="Footnote Symbol"/>
    <w:basedOn w:val="Policepardfaut"/>
    <w:rPr>
      <w:position w:val="0"/>
      <w:vertAlign w:val="superscript"/>
    </w:rPr>
  </w:style>
  <w:style w:type="character" w:customStyle="1" w:styleId="Footnoteanchor">
    <w:name w:val="Footnote anchor"/>
    <w:rPr>
      <w:position w:val="0"/>
      <w:vertAlign w:val="superscript"/>
    </w:rPr>
  </w:style>
  <w:style w:type="character" w:styleId="Appelnotedebasdep">
    <w:name w:val="footnote reference"/>
    <w:basedOn w:val="Policepardfaut"/>
    <w:uiPriority w:val="99"/>
    <w:rPr>
      <w:position w:val="0"/>
      <w:vertAlign w:val="superscript"/>
    </w:rPr>
  </w:style>
  <w:style w:type="character" w:customStyle="1" w:styleId="NotedebasdepageCar">
    <w:name w:val="Note de bas de page Car"/>
    <w:basedOn w:val="Policepardfaut"/>
    <w:rPr>
      <w:rFonts w:cs="Mangal"/>
      <w:sz w:val="20"/>
      <w:szCs w:val="18"/>
    </w:rPr>
  </w:style>
  <w:style w:type="character" w:customStyle="1" w:styleId="Internetlink">
    <w:name w:val="Internet link"/>
    <w:rPr>
      <w:color w:val="000080"/>
      <w:u w:val="single"/>
    </w:rPr>
  </w:style>
  <w:style w:type="character" w:customStyle="1" w:styleId="WW-Policepardfaut">
    <w:name w:val="WW-Police par défaut"/>
  </w:style>
  <w:style w:type="character" w:styleId="Accentuation">
    <w:name w:val="Emphasis"/>
    <w:basedOn w:val="WW-Policepardfaut"/>
    <w:rPr>
      <w:i/>
      <w:iCs/>
    </w:rPr>
  </w:style>
  <w:style w:type="numbering" w:customStyle="1" w:styleId="WW8Num1">
    <w:name w:val="WW8Num1"/>
    <w:basedOn w:val="Aucuneliste"/>
    <w:pPr>
      <w:numPr>
        <w:numId w:val="1"/>
      </w:numPr>
    </w:pPr>
  </w:style>
  <w:style w:type="numbering" w:customStyle="1" w:styleId="WW8Num2">
    <w:name w:val="WW8Num2"/>
    <w:basedOn w:val="Aucuneliste"/>
    <w:pPr>
      <w:numPr>
        <w:numId w:val="2"/>
      </w:numPr>
    </w:pPr>
  </w:style>
  <w:style w:type="numbering" w:customStyle="1" w:styleId="WW8Num3">
    <w:name w:val="WW8Num3"/>
    <w:basedOn w:val="Aucuneliste"/>
    <w:pPr>
      <w:numPr>
        <w:numId w:val="3"/>
      </w:numPr>
    </w:pPr>
  </w:style>
  <w:style w:type="numbering" w:customStyle="1" w:styleId="WW8Num4">
    <w:name w:val="WW8Num4"/>
    <w:basedOn w:val="Aucuneliste"/>
    <w:pPr>
      <w:numPr>
        <w:numId w:val="4"/>
      </w:numPr>
    </w:pPr>
  </w:style>
  <w:style w:type="numbering" w:customStyle="1" w:styleId="WW8Num5">
    <w:name w:val="WW8Num5"/>
    <w:basedOn w:val="Aucuneliste"/>
    <w:pPr>
      <w:numPr>
        <w:numId w:val="5"/>
      </w:numPr>
    </w:pPr>
  </w:style>
  <w:style w:type="numbering" w:customStyle="1" w:styleId="WW8Num6">
    <w:name w:val="WW8Num6"/>
    <w:basedOn w:val="Aucuneliste"/>
    <w:pPr>
      <w:numPr>
        <w:numId w:val="6"/>
      </w:numPr>
    </w:pPr>
  </w:style>
  <w:style w:type="numbering" w:customStyle="1" w:styleId="WW8Num7">
    <w:name w:val="WW8Num7"/>
    <w:basedOn w:val="Aucuneliste"/>
    <w:pPr>
      <w:numPr>
        <w:numId w:val="7"/>
      </w:numPr>
    </w:pPr>
  </w:style>
  <w:style w:type="numbering" w:customStyle="1" w:styleId="WW8Num8">
    <w:name w:val="WW8Num8"/>
    <w:basedOn w:val="Aucuneliste"/>
    <w:pPr>
      <w:numPr>
        <w:numId w:val="8"/>
      </w:numPr>
    </w:pPr>
  </w:style>
  <w:style w:type="numbering" w:customStyle="1" w:styleId="WW8Num9">
    <w:name w:val="WW8Num9"/>
    <w:basedOn w:val="Aucuneliste"/>
    <w:pPr>
      <w:numPr>
        <w:numId w:val="9"/>
      </w:numPr>
    </w:pPr>
  </w:style>
  <w:style w:type="numbering" w:customStyle="1" w:styleId="WW8Num10">
    <w:name w:val="WW8Num10"/>
    <w:basedOn w:val="Aucuneliste"/>
    <w:pPr>
      <w:numPr>
        <w:numId w:val="10"/>
      </w:numPr>
    </w:pPr>
  </w:style>
  <w:style w:type="character" w:styleId="Textedelespacerserv">
    <w:name w:val="Placeholder Text"/>
    <w:basedOn w:val="Policepardfaut"/>
    <w:uiPriority w:val="99"/>
    <w:semiHidden/>
    <w:rsid w:val="00355204"/>
    <w:rPr>
      <w:color w:val="808080"/>
    </w:rPr>
  </w:style>
  <w:style w:type="character" w:styleId="Lienhypertexte">
    <w:name w:val="Hyperlink"/>
    <w:basedOn w:val="Policepardfaut"/>
    <w:uiPriority w:val="99"/>
    <w:unhideWhenUsed/>
    <w:rsid w:val="004A4E66"/>
    <w:rPr>
      <w:color w:val="0563C1" w:themeColor="hyperlink"/>
      <w:u w:val="single"/>
    </w:rPr>
  </w:style>
  <w:style w:type="character" w:styleId="Mentionnonrsolue">
    <w:name w:val="Unresolved Mention"/>
    <w:basedOn w:val="Policepardfaut"/>
    <w:uiPriority w:val="99"/>
    <w:semiHidden/>
    <w:unhideWhenUsed/>
    <w:rsid w:val="004A4E66"/>
    <w:rPr>
      <w:color w:val="605E5C"/>
      <w:shd w:val="clear" w:color="auto" w:fill="E1DFDD"/>
    </w:rPr>
  </w:style>
  <w:style w:type="paragraph" w:styleId="Paragraphedeliste">
    <w:name w:val="List Paragraph"/>
    <w:basedOn w:val="Normal"/>
    <w:uiPriority w:val="34"/>
    <w:qFormat/>
    <w:rsid w:val="00292DC7"/>
    <w:pPr>
      <w:ind w:left="720"/>
      <w:contextualSpacing/>
    </w:pPr>
    <w:rPr>
      <w:rFonts w:cs="Mangal"/>
      <w:szCs w:val="21"/>
    </w:rPr>
  </w:style>
  <w:style w:type="paragraph" w:styleId="Corpsdetexte">
    <w:name w:val="Body Text"/>
    <w:basedOn w:val="Normal"/>
    <w:link w:val="CorpsdetexteCar"/>
    <w:qFormat/>
    <w:rsid w:val="00A14D0D"/>
    <w:pPr>
      <w:widowControl/>
      <w:suppressAutoHyphens w:val="0"/>
      <w:autoSpaceDN/>
      <w:spacing w:before="180" w:after="180"/>
      <w:textAlignment w:val="auto"/>
    </w:pPr>
    <w:rPr>
      <w:rFonts w:asciiTheme="minorHAnsi" w:eastAsiaTheme="minorHAnsi" w:hAnsiTheme="minorHAnsi" w:cstheme="minorBidi"/>
      <w:kern w:val="0"/>
      <w:lang w:val="fr" w:eastAsia="en-US" w:bidi="ar-SA"/>
    </w:rPr>
  </w:style>
  <w:style w:type="character" w:customStyle="1" w:styleId="CorpsdetexteCar">
    <w:name w:val="Corps de texte Car"/>
    <w:basedOn w:val="Policepardfaut"/>
    <w:link w:val="Corpsdetexte"/>
    <w:qFormat/>
    <w:rsid w:val="00A14D0D"/>
    <w:rPr>
      <w:rFonts w:asciiTheme="minorHAnsi" w:eastAsiaTheme="minorHAnsi" w:hAnsiTheme="minorHAnsi" w:cstheme="minorBidi"/>
      <w:kern w:val="0"/>
      <w:lang w:val="fr" w:eastAsia="en-US" w:bidi="ar-SA"/>
    </w:rPr>
  </w:style>
  <w:style w:type="paragraph" w:customStyle="1" w:styleId="FirstParagraph">
    <w:name w:val="First Paragraph"/>
    <w:basedOn w:val="Corpsdetexte"/>
    <w:next w:val="Corpsdetexte"/>
    <w:qFormat/>
    <w:rsid w:val="00A14D0D"/>
  </w:style>
  <w:style w:type="character" w:customStyle="1" w:styleId="VerbatimChar">
    <w:name w:val="Verbatim Char"/>
    <w:basedOn w:val="Policepardfaut"/>
    <w:link w:val="SourceCode"/>
    <w:rsid w:val="00A14D0D"/>
    <w:rPr>
      <w:rFonts w:ascii="Consolas" w:hAnsi="Consolas"/>
      <w:sz w:val="22"/>
      <w:shd w:val="clear" w:color="auto" w:fill="F1F3F5"/>
    </w:rPr>
  </w:style>
  <w:style w:type="paragraph" w:customStyle="1" w:styleId="SourceCode">
    <w:name w:val="Source Code"/>
    <w:basedOn w:val="Normal"/>
    <w:link w:val="VerbatimChar"/>
    <w:rsid w:val="00A14D0D"/>
    <w:pPr>
      <w:widowControl/>
      <w:shd w:val="clear" w:color="auto" w:fill="F1F3F5"/>
      <w:suppressAutoHyphens w:val="0"/>
      <w:wordWrap w:val="0"/>
      <w:autoSpaceDN/>
      <w:spacing w:after="200"/>
      <w:textAlignment w:val="auto"/>
    </w:pPr>
    <w:rPr>
      <w:rFonts w:ascii="Consolas" w:hAnsi="Consolas"/>
      <w:sz w:val="22"/>
    </w:rPr>
  </w:style>
  <w:style w:type="paragraph" w:styleId="Notedebasdepage">
    <w:name w:val="footnote text"/>
    <w:basedOn w:val="Normal"/>
    <w:link w:val="NotedebasdepageCar1"/>
    <w:uiPriority w:val="99"/>
    <w:semiHidden/>
    <w:unhideWhenUsed/>
    <w:rsid w:val="000155E9"/>
    <w:pPr>
      <w:autoSpaceDN/>
    </w:pPr>
    <w:rPr>
      <w:rFonts w:cs="Mangal"/>
      <w:kern w:val="2"/>
      <w:sz w:val="20"/>
      <w:szCs w:val="18"/>
    </w:rPr>
  </w:style>
  <w:style w:type="character" w:customStyle="1" w:styleId="NotedebasdepageCar1">
    <w:name w:val="Note de bas de page Car1"/>
    <w:basedOn w:val="Policepardfaut"/>
    <w:link w:val="Notedebasdepage"/>
    <w:uiPriority w:val="99"/>
    <w:semiHidden/>
    <w:rsid w:val="000155E9"/>
    <w:rPr>
      <w:rFonts w:cs="Mangal"/>
      <w:kern w:val="2"/>
      <w:sz w:val="20"/>
      <w:szCs w:val="18"/>
    </w:rPr>
  </w:style>
  <w:style w:type="character" w:styleId="Lienhypertextesuivivisit">
    <w:name w:val="FollowedHyperlink"/>
    <w:basedOn w:val="Policepardfaut"/>
    <w:uiPriority w:val="99"/>
    <w:semiHidden/>
    <w:unhideWhenUsed/>
    <w:rsid w:val="00533C5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839367">
      <w:bodyDiv w:val="1"/>
      <w:marLeft w:val="0"/>
      <w:marRight w:val="0"/>
      <w:marTop w:val="0"/>
      <w:marBottom w:val="0"/>
      <w:divBdr>
        <w:top w:val="none" w:sz="0" w:space="0" w:color="auto"/>
        <w:left w:val="none" w:sz="0" w:space="0" w:color="auto"/>
        <w:bottom w:val="none" w:sz="0" w:space="0" w:color="auto"/>
        <w:right w:val="none" w:sz="0" w:space="0" w:color="auto"/>
      </w:divBdr>
    </w:div>
    <w:div w:id="569074530">
      <w:bodyDiv w:val="1"/>
      <w:marLeft w:val="0"/>
      <w:marRight w:val="0"/>
      <w:marTop w:val="0"/>
      <w:marBottom w:val="0"/>
      <w:divBdr>
        <w:top w:val="none" w:sz="0" w:space="0" w:color="auto"/>
        <w:left w:val="none" w:sz="0" w:space="0" w:color="auto"/>
        <w:bottom w:val="none" w:sz="0" w:space="0" w:color="auto"/>
        <w:right w:val="none" w:sz="0" w:space="0" w:color="auto"/>
      </w:divBdr>
    </w:div>
    <w:div w:id="610166180">
      <w:bodyDiv w:val="1"/>
      <w:marLeft w:val="0"/>
      <w:marRight w:val="0"/>
      <w:marTop w:val="0"/>
      <w:marBottom w:val="0"/>
      <w:divBdr>
        <w:top w:val="none" w:sz="0" w:space="0" w:color="auto"/>
        <w:left w:val="none" w:sz="0" w:space="0" w:color="auto"/>
        <w:bottom w:val="none" w:sz="0" w:space="0" w:color="auto"/>
        <w:right w:val="none" w:sz="0" w:space="0" w:color="auto"/>
      </w:divBdr>
    </w:div>
    <w:div w:id="655114050">
      <w:bodyDiv w:val="1"/>
      <w:marLeft w:val="0"/>
      <w:marRight w:val="0"/>
      <w:marTop w:val="0"/>
      <w:marBottom w:val="0"/>
      <w:divBdr>
        <w:top w:val="none" w:sz="0" w:space="0" w:color="auto"/>
        <w:left w:val="none" w:sz="0" w:space="0" w:color="auto"/>
        <w:bottom w:val="none" w:sz="0" w:space="0" w:color="auto"/>
        <w:right w:val="none" w:sz="0" w:space="0" w:color="auto"/>
      </w:divBdr>
      <w:divsChild>
        <w:div w:id="380252339">
          <w:marLeft w:val="0"/>
          <w:marRight w:val="0"/>
          <w:marTop w:val="0"/>
          <w:marBottom w:val="0"/>
          <w:divBdr>
            <w:top w:val="none" w:sz="0" w:space="0" w:color="auto"/>
            <w:left w:val="none" w:sz="0" w:space="0" w:color="auto"/>
            <w:bottom w:val="none" w:sz="0" w:space="0" w:color="auto"/>
            <w:right w:val="none" w:sz="0" w:space="0" w:color="auto"/>
          </w:divBdr>
        </w:div>
        <w:div w:id="1352604832">
          <w:marLeft w:val="0"/>
          <w:marRight w:val="0"/>
          <w:marTop w:val="0"/>
          <w:marBottom w:val="0"/>
          <w:divBdr>
            <w:top w:val="none" w:sz="0" w:space="0" w:color="auto"/>
            <w:left w:val="none" w:sz="0" w:space="0" w:color="auto"/>
            <w:bottom w:val="none" w:sz="0" w:space="0" w:color="auto"/>
            <w:right w:val="none" w:sz="0" w:space="0" w:color="auto"/>
          </w:divBdr>
        </w:div>
        <w:div w:id="659384130">
          <w:marLeft w:val="0"/>
          <w:marRight w:val="0"/>
          <w:marTop w:val="0"/>
          <w:marBottom w:val="0"/>
          <w:divBdr>
            <w:top w:val="none" w:sz="0" w:space="0" w:color="auto"/>
            <w:left w:val="none" w:sz="0" w:space="0" w:color="auto"/>
            <w:bottom w:val="none" w:sz="0" w:space="0" w:color="auto"/>
            <w:right w:val="none" w:sz="0" w:space="0" w:color="auto"/>
          </w:divBdr>
        </w:div>
        <w:div w:id="1978604578">
          <w:marLeft w:val="0"/>
          <w:marRight w:val="0"/>
          <w:marTop w:val="0"/>
          <w:marBottom w:val="0"/>
          <w:divBdr>
            <w:top w:val="none" w:sz="0" w:space="0" w:color="auto"/>
            <w:left w:val="none" w:sz="0" w:space="0" w:color="auto"/>
            <w:bottom w:val="none" w:sz="0" w:space="0" w:color="auto"/>
            <w:right w:val="none" w:sz="0" w:space="0" w:color="auto"/>
          </w:divBdr>
        </w:div>
        <w:div w:id="1698968017">
          <w:marLeft w:val="0"/>
          <w:marRight w:val="0"/>
          <w:marTop w:val="0"/>
          <w:marBottom w:val="0"/>
          <w:divBdr>
            <w:top w:val="none" w:sz="0" w:space="0" w:color="auto"/>
            <w:left w:val="none" w:sz="0" w:space="0" w:color="auto"/>
            <w:bottom w:val="none" w:sz="0" w:space="0" w:color="auto"/>
            <w:right w:val="none" w:sz="0" w:space="0" w:color="auto"/>
          </w:divBdr>
        </w:div>
      </w:divsChild>
    </w:div>
    <w:div w:id="741605638">
      <w:bodyDiv w:val="1"/>
      <w:marLeft w:val="0"/>
      <w:marRight w:val="0"/>
      <w:marTop w:val="0"/>
      <w:marBottom w:val="0"/>
      <w:divBdr>
        <w:top w:val="none" w:sz="0" w:space="0" w:color="auto"/>
        <w:left w:val="none" w:sz="0" w:space="0" w:color="auto"/>
        <w:bottom w:val="none" w:sz="0" w:space="0" w:color="auto"/>
        <w:right w:val="none" w:sz="0" w:space="0" w:color="auto"/>
      </w:divBdr>
    </w:div>
    <w:div w:id="1132404862">
      <w:bodyDiv w:val="1"/>
      <w:marLeft w:val="0"/>
      <w:marRight w:val="0"/>
      <w:marTop w:val="0"/>
      <w:marBottom w:val="0"/>
      <w:divBdr>
        <w:top w:val="none" w:sz="0" w:space="0" w:color="auto"/>
        <w:left w:val="none" w:sz="0" w:space="0" w:color="auto"/>
        <w:bottom w:val="none" w:sz="0" w:space="0" w:color="auto"/>
        <w:right w:val="none" w:sz="0" w:space="0" w:color="auto"/>
      </w:divBdr>
    </w:div>
    <w:div w:id="1334576239">
      <w:bodyDiv w:val="1"/>
      <w:marLeft w:val="0"/>
      <w:marRight w:val="0"/>
      <w:marTop w:val="0"/>
      <w:marBottom w:val="0"/>
      <w:divBdr>
        <w:top w:val="none" w:sz="0" w:space="0" w:color="auto"/>
        <w:left w:val="none" w:sz="0" w:space="0" w:color="auto"/>
        <w:bottom w:val="none" w:sz="0" w:space="0" w:color="auto"/>
        <w:right w:val="none" w:sz="0" w:space="0" w:color="auto"/>
      </w:divBdr>
    </w:div>
    <w:div w:id="1422020937">
      <w:bodyDiv w:val="1"/>
      <w:marLeft w:val="0"/>
      <w:marRight w:val="0"/>
      <w:marTop w:val="0"/>
      <w:marBottom w:val="0"/>
      <w:divBdr>
        <w:top w:val="none" w:sz="0" w:space="0" w:color="auto"/>
        <w:left w:val="none" w:sz="0" w:space="0" w:color="auto"/>
        <w:bottom w:val="none" w:sz="0" w:space="0" w:color="auto"/>
        <w:right w:val="none" w:sz="0" w:space="0" w:color="auto"/>
      </w:divBdr>
    </w:div>
    <w:div w:id="1545756053">
      <w:bodyDiv w:val="1"/>
      <w:marLeft w:val="0"/>
      <w:marRight w:val="0"/>
      <w:marTop w:val="0"/>
      <w:marBottom w:val="0"/>
      <w:divBdr>
        <w:top w:val="none" w:sz="0" w:space="0" w:color="auto"/>
        <w:left w:val="none" w:sz="0" w:space="0" w:color="auto"/>
        <w:bottom w:val="none" w:sz="0" w:space="0" w:color="auto"/>
        <w:right w:val="none" w:sz="0" w:space="0" w:color="auto"/>
      </w:divBdr>
    </w:div>
    <w:div w:id="1554803836">
      <w:bodyDiv w:val="1"/>
      <w:marLeft w:val="0"/>
      <w:marRight w:val="0"/>
      <w:marTop w:val="0"/>
      <w:marBottom w:val="0"/>
      <w:divBdr>
        <w:top w:val="none" w:sz="0" w:space="0" w:color="auto"/>
        <w:left w:val="none" w:sz="0" w:space="0" w:color="auto"/>
        <w:bottom w:val="none" w:sz="0" w:space="0" w:color="auto"/>
        <w:right w:val="none" w:sz="0" w:space="0" w:color="auto"/>
      </w:divBdr>
    </w:div>
    <w:div w:id="1875724409">
      <w:bodyDiv w:val="1"/>
      <w:marLeft w:val="0"/>
      <w:marRight w:val="0"/>
      <w:marTop w:val="0"/>
      <w:marBottom w:val="0"/>
      <w:divBdr>
        <w:top w:val="none" w:sz="0" w:space="0" w:color="auto"/>
        <w:left w:val="none" w:sz="0" w:space="0" w:color="auto"/>
        <w:bottom w:val="none" w:sz="0" w:space="0" w:color="auto"/>
        <w:right w:val="none" w:sz="0" w:space="0" w:color="auto"/>
      </w:divBdr>
    </w:div>
    <w:div w:id="1970937397">
      <w:bodyDiv w:val="1"/>
      <w:marLeft w:val="0"/>
      <w:marRight w:val="0"/>
      <w:marTop w:val="0"/>
      <w:marBottom w:val="0"/>
      <w:divBdr>
        <w:top w:val="none" w:sz="0" w:space="0" w:color="auto"/>
        <w:left w:val="none" w:sz="0" w:space="0" w:color="auto"/>
        <w:bottom w:val="none" w:sz="0" w:space="0" w:color="auto"/>
        <w:right w:val="none" w:sz="0" w:space="0" w:color="auto"/>
      </w:divBdr>
    </w:div>
    <w:div w:id="2054186437">
      <w:bodyDiv w:val="1"/>
      <w:marLeft w:val="0"/>
      <w:marRight w:val="0"/>
      <w:marTop w:val="0"/>
      <w:marBottom w:val="0"/>
      <w:divBdr>
        <w:top w:val="none" w:sz="0" w:space="0" w:color="auto"/>
        <w:left w:val="none" w:sz="0" w:space="0" w:color="auto"/>
        <w:bottom w:val="none" w:sz="0" w:space="0" w:color="auto"/>
        <w:right w:val="none" w:sz="0" w:space="0" w:color="auto"/>
      </w:divBdr>
    </w:div>
    <w:div w:id="20913423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AQLT/publishTC" TargetMode="External"/><Relationship Id="rId13" Type="http://schemas.openxmlformats.org/officeDocument/2006/relationships/hyperlink" Target="https://www.abs.gov.au/Ausstats/abs@.nsf/0/cfa19371d1bfab40ca256f2a000feb10/$FILE/ATTQPLS5/Time%20Series_Final.pdf"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alain.quartier-la-tente@dgfip.finances.gouv.fr" TargetMode="External"/><Relationship Id="rId12" Type="http://schemas.openxmlformats.org/officeDocument/2006/relationships/hyperlink" Target="https://publications.gc.ca/pub?id=9.838212&amp;sl=0" TargetMode="External"/><Relationship Id="rId17" Type="http://schemas.openxmlformats.org/officeDocument/2006/relationships/hyperlink" Target="https://aqlt.github.io/robustMA/" TargetMode="External"/><Relationship Id="rId2" Type="http://schemas.openxmlformats.org/officeDocument/2006/relationships/styles" Target="styles.xml"/><Relationship Id="rId16" Type="http://schemas.openxmlformats.org/officeDocument/2006/relationships/hyperlink" Target="https://doi.org/10.1177/0282423X241283207"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c.europa.eu/eurostat/documents/3888793/5842329/KS-DT-06-021-EN.PDF/d5eb2df1-71b8-4086-88f8-94ad2e7d2c6e" TargetMode="External"/><Relationship Id="rId5" Type="http://schemas.openxmlformats.org/officeDocument/2006/relationships/footnotes" Target="footnotes.xml"/><Relationship Id="rId15" Type="http://schemas.openxmlformats.org/officeDocument/2006/relationships/hyperlink" Target="https://www.abs.gov.au/ausstats/abs@.nsf/mf/1349.0" TargetMode="External"/><Relationship Id="rId10" Type="http://schemas.openxmlformats.org/officeDocument/2006/relationships/hyperlink" Target="https://www.imf.org/external/pubs/ft/qna/pdf/2017/QNAManual2017FRE.pdf"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aqlt.github.io/publishTC.wp/" TargetMode="External"/><Relationship Id="rId14" Type="http://schemas.openxmlformats.org/officeDocument/2006/relationships/hyperlink" Target="https://ssc.ca/sites/default/files/imce/pdf/picard_ssc2016.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809</Words>
  <Characters>4452</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Feuille de style pour résumé JMS</vt:lpstr>
    </vt:vector>
  </TitlesOfParts>
  <Company>INSEE-SNPT</Company>
  <LinksUpToDate>false</LinksUpToDate>
  <CharactersWithSpaces>5251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Feuille de style pour résumé JMS</dc:title>
  <dc:creator>TerraNova</dc:creator>
  <cp:lastModifiedBy>Alain Quartier-la-Tente</cp:lastModifiedBy>
  <cp:revision>5</cp:revision>
  <dcterms:created xsi:type="dcterms:W3CDTF">2025-05-07T19:56:00Z</dcterms:created>
  <dcterms:modified xsi:type="dcterms:W3CDTF">2025-05-08T12:48:00Z</dcterms:modified>
</cp:coreProperties>
</file>