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26a31d3c5999421bf3b4207cf0fa70b0fef2b9"/>
    <w:p>
      <w:pPr>
        <w:pStyle w:val="Heading1"/>
      </w:pPr>
      <w:r>
        <w:t xml:space="preserve">1. Fundamentals of Drug Discovery &amp; Artificial Intelligence (AI) Introduction</w:t>
      </w:r>
    </w:p>
    <w:bookmarkStart w:id="9" w:name="abbreviations"/>
    <w:p>
      <w:pPr>
        <w:pStyle w:val="Heading2"/>
      </w:pPr>
      <w:r>
        <w:t xml:space="preserve">Abbreviations</w:t>
      </w:r>
    </w:p>
    <w:p>
      <w:pPr>
        <w:pStyle w:val="FirstParagraph"/>
      </w:pPr>
      <w:r>
        <w:t xml:space="preserve">Artificial Intelligence (AI); Machine Learning (ML); Deep Learning (DL); quantitative structure–activity relationship (QSAR); absorption–distribution–metabolism–excretion–toxicity (ADMET); electronic health records (EHRs); Graph Neural Networks (GNNs); Variational Autoencoder (VAE); Generative Adversarial Network (GAN); Reinforcement Learning (RL); pharmacokinetics/pharmacodynamics (PK/PD); high-throughput screening (HTS); investigational new drug (IND).</w:t>
      </w:r>
    </w:p>
    <w:bookmarkEnd w:id="9"/>
    <w:bookmarkStart w:id="12" w:name="the-traditional-drug-discovery-pipeline"/>
    <w:p>
      <w:pPr>
        <w:pStyle w:val="Heading2"/>
      </w:pPr>
      <w:r>
        <w:t xml:space="preserve">1.1. The Traditional Drug Discovery Pipeline</w:t>
      </w:r>
    </w:p>
    <w:p>
      <w:pPr>
        <w:pStyle w:val="FirstParagraph"/>
      </w:pPr>
      <w:r>
        <w:t xml:space="preserve">Modern drug discovery is traditionally organized as a staged funnel that begins with target identification and biological validation, proceeds through hit identification, advances to hit-to-lead and lead optimization with iterative medicinal chemistry and absorption–distribution–metabolism–excretion–toxicity (ADMET) profiling, and culminates in preclinical testing followed by phased clinical trials (Phase I–III) before regulatory review and approval (Qureshi et al., 2023). This paradigm has provided a robust frame for translating advances in biology and chemistry into new therapeutics; however, its practical execution is resource-intensive, slow, and risk-laden. Industry surveys and retrospective analyses consistently report that bringing a new small-molecule medicine from target to market requires on the order of a decade and expenditures approaching or exceeding one billion U.S. dollars, with wide variation across disease areas and modalities (Hughes et al., 2011). The central reason is attrition: failures compound as projects move downstream, and the most expensive failures occur late in development (Sliwoski et al., 2014; Waring et al., 2015).</w:t>
      </w:r>
    </w:p>
    <w:bookmarkStart w:id="10" w:name="X40b689d14643f2c93f5253a96d260122c434979"/>
    <w:p>
      <w:pPr>
        <w:pStyle w:val="Heading3"/>
      </w:pPr>
      <w:r>
        <w:t xml:space="preserve">1.1.1. Stages: From target identification to clinical trials</w:t>
      </w:r>
    </w:p>
    <w:p>
      <w:pPr>
        <w:pStyle w:val="FirstParagraph"/>
      </w:pPr>
      <w:r>
        <w:t xml:space="preserve">Target identification and validation integrate multi-omics evidence, disease genetics, functional genomics (e.g., CRISPR and RNA interference screens), and structural biology to nominate proteins or pathways causally linked to human pathophysiology. Computational prioritization is typically followed by experimental validation using biochemical and cellular assays to de-risk target tractability and mechanism (Paul et al., 2010). Once a target is chosen, hit identification historically relied on high-throughput screening (HTS) of large physical libraries and on ligand-based heuristics; today, structure-based and ligand-based in silico virtual screening are widely used to triage candidates prior to wet-lab evaluation, compressing the experimental search space (Maia et al., 2020; Sliwoski et al., 2014). Hit-to-lead and lead optimization are the most chemistry-intensive phases: medicinal chemists explore analogue series to improve potency, selectivity, solubility, permeability, and metabolic stability, while concurrently profiling safety liabilities. Because these tasks are inherently complex and combinatorial, predictive modeling—ranging from classical quantitative structure–activity relationship (QSAR) methods to modern machine learning (ML)—has long been used to guide design–make–test–analyze cycles (Chen et al., 2018; Lavecchia, 2015; Sliwoski et al., 2014). Finally, preclinical development aggregates good-laboratory-practice toxicology, pharmacokinetics/pharmacodynamics (PK/PD), and efficacy models to support investigational new drug (IND) applications. In humans, Phase I assesses safety and dose, Phase II probes preliminary efficacy and dose-response, and Phase III evaluates confirmatory efficacy and safety in larger populations; failures due to unexpected toxicity, poor exposure, or insufficient efficacy remain major cost drivers across these stages (Hughes et al., 2011; Waring et al., 2015).</w:t>
      </w:r>
    </w:p>
    <w:bookmarkEnd w:id="10"/>
    <w:bookmarkStart w:id="11" w:name="X4416546d7edf52a1cdbafefe9b1725c1611ab51"/>
    <w:p>
      <w:pPr>
        <w:pStyle w:val="Heading3"/>
      </w:pPr>
      <w:r>
        <w:t xml:space="preserve">1.1.2. Challenges: High costs, long durations, and high attrition rates</w:t>
      </w:r>
    </w:p>
    <w:p>
      <w:pPr>
        <w:pStyle w:val="FirstParagraph"/>
      </w:pPr>
      <w:r>
        <w:t xml:space="preserve">Three systemic constraints make the traditional pipeline slow and expensive. First, scale: the putative chemical space of small molecules (often estimated near 10^60) dwarfs any feasible synthesis or assay capacity, which forces exploration of a vanishingly small, biased subset of possibilities (Sliwoski et al., 2014). Second, noise and translation gaps: preclinical models imperfectly recapitulate human biology, and assay conditions vary widely across laboratories and platforms, degrading the reliability of early signals when projected into the clinic (Waring et al., 2015). Third, data sparsity and heterogeneity: many crucial labels—particularly human toxicity and clinical efficacy—are scarce, context-dependent, or measured at small scale; as a result, projects confront uncertainty just when the stakes are highest (Chen et al., 2018; Waring et al., 2015). These realities help to explain why overall success rates from first-in-human to approval remain in the single-digit to low-teens percent range in aggregate, with challenging areas such as oncology performing even worse (Waring et al., 2015).</w:t>
      </w:r>
    </w:p>
    <w:bookmarkEnd w:id="11"/>
    <w:bookmarkEnd w:id="12"/>
    <w:bookmarkStart w:id="13" w:name="introduction-to-artificial-intelligence"/>
    <w:p>
      <w:pPr>
        <w:pStyle w:val="Heading2"/>
      </w:pPr>
      <w:r>
        <w:t xml:space="preserve">1.2. Introduction to Artificial Intelligence</w:t>
      </w:r>
    </w:p>
    <w:p>
      <w:pPr>
        <w:pStyle w:val="FirstParagraph"/>
      </w:pPr>
      <w:r>
        <w:t xml:space="preserve">Artificial Intelligence (AI) refers to computational techniques that execute tasks commonly associated with human intelligence—such as perception, pattern recognition, prediction, and decision-making—by learning from data and/or formal rules (Lavecchia, 2015). Within AI, Machine Learning (ML) denotes algorithms that learn mappings from inputs to outputs by optimizing performance on data (supervised, unsupervised, semi-supervised, and reinforcement learning). In drug discovery, ML underpins QSAR classifiers/regressors, phenotypic clustering, target–disease inference, and patient stratification from electronic health records (EHRs) (Bishop, 2006; Lavecchia, 2015; Lo et al., 2018). Deep Learning (DL) is a subset of ML based on multi-layer neural networks that learn hierarchical feature representations end-to-end and have shown superior performance on complex, high-dimensional data modalities such as images, sequences, and graphs (Goodfellow et al., 2016; Jumper et al., 2021).</w:t>
      </w:r>
    </w:p>
    <w:p>
      <w:pPr>
        <w:pStyle w:val="BodyText"/>
      </w:pPr>
      <w:r>
        <w:t xml:space="preserve">Architecturally, several families are especially relevant to drug design. Feed-forward (fully connected) networks operate on fixed-length descriptors or fingerprints and can excel when abundant, well-curated tabular features are available (Lo et al., 2018; Sliwoski et al., 2014). Convolutional Neural Networks (CNNs) capture local spatial patterns and have been applied to 3-D voxelized protein pockets, cryo-EM and microscopy images, and grid-based protein–ligand interaction maps (Korotcov et al., 2017). Recurrent Neural Networks (RNNs) and long short-term memory (LSTM) networks encode sequential dependencies and have been used to model simplified molecular input line entry system (SMILES) strings and peptide/protein sequences (Yang et al., 2019). Transformers—self-attention architectures that replace explicit recurrence—enable efficient modeling of long-range dependencies and parallel training; they now power chemical language models and large-scale protein language models that extract structure- and function-relevant embeddings (Jumper et al., 2021; Vaswani et al., 2017). Finally, Graph Neural Networks (GNNs) perform message passing directly on molecular graphs, treating atoms as nodes and bonds as edges; this allows property prediction and interaction modeling without hand-crafted descriptors (Stokes et al., 2020).</w:t>
      </w:r>
    </w:p>
    <w:p>
      <w:pPr>
        <w:pStyle w:val="BodyText"/>
      </w:pPr>
      <w:r>
        <w:t xml:space="preserve">Beyond prediction, generative modeling has created a new design paradigm. Variational autoencoders (VAEs), generative adversarial networks (GANs), autoregressive/Transformer decoders, and reinforcement learning (RL) agents can propose novel, synthetically accessible molecules and optimize them toward multi-endpoint profiles—such as potency, selectivity, and ADMET—prior to synthesis (Sanchez-Lengeling &amp; Aspuru-Guzik, 2018; Zhavoronkov et al., 2019). These capabilities complement long-standing computational chemistry, docking, and physics-based simulation techniques and increasingly integrate with them (Jumper et al., 2021; Maia et al., 2020; Sliwoski et al., 2014).</w:t>
      </w:r>
    </w:p>
    <w:bookmarkEnd w:id="13"/>
    <w:bookmarkStart w:id="16" w:name="the-why-ai-rationale"/>
    <w:p>
      <w:pPr>
        <w:pStyle w:val="Heading2"/>
      </w:pPr>
      <w:r>
        <w:t xml:space="preserve">1.3. The</w:t>
      </w:r>
      <w:r>
        <w:t xml:space="preserve"> </w:t>
      </w:r>
      <w:r>
        <w:t xml:space="preserve">“Why AI?”</w:t>
      </w:r>
      <w:r>
        <w:t xml:space="preserve"> </w:t>
      </w:r>
      <w:r>
        <w:t xml:space="preserve">Rationale</w:t>
      </w:r>
    </w:p>
    <w:bookmarkStart w:id="14" w:name="bottlenecks-in-traditional-methods"/>
    <w:p>
      <w:pPr>
        <w:pStyle w:val="Heading3"/>
      </w:pPr>
      <w:r>
        <w:t xml:space="preserve">1.3.1. Bottlenecks in traditional methods</w:t>
      </w:r>
    </w:p>
    <w:p>
      <w:pPr>
        <w:pStyle w:val="FirstParagraph"/>
      </w:pPr>
      <w:r>
        <w:t xml:space="preserve">Hit identification is constrained by the size of chemical space and by the cost of HTS; even very large physical screens sample a minute fraction of what is possible. In silico ligand-based and structure-based virtual screening, guided by ML scoring functions, can triage millions of candidates to focus scarce experimental bandwidth where it has the highest expected value (Maia et al., 2020; Sliwoski et al., 2014). Lead optimization is a high-dimensional search in which medicinal chemists balance potency, selectivity, solubility, stability, and toxicity. Here, surrogate models accelerate design–make–test–analyze cycles by predicting properties, learning structure–activity relationships, and suggesting informative analogs; when coupled to active learning and Bayesian optimization, these models can reduce the number of iterations required to achieve a clinical candidate (Chen et al., 2018; Lavecchia, 2015; Sliwoski et al., 2014). ADMET uncertainty is a dominant driver of late attrition; predictive toxicology, metabolism, and exposure models can flag liabilities earlier and suggest structural fixes before costly studies commence (Lo et al., 2018; Sliwoski et al., 2014; Waring et al., 2015).</w:t>
      </w:r>
    </w:p>
    <w:bookmarkEnd w:id="14"/>
    <w:bookmarkStart w:id="15" w:name="how-ai-addresses-these-bottlenecks"/>
    <w:p>
      <w:pPr>
        <w:pStyle w:val="Heading3"/>
      </w:pPr>
      <w:r>
        <w:t xml:space="preserve">1.3.2. How AI addresses these bottlenecks</w:t>
      </w:r>
    </w:p>
    <w:p>
      <w:pPr>
        <w:pStyle w:val="FirstParagraph"/>
      </w:pPr>
      <w:r>
        <w:t xml:space="preserve">AI offers leverage in at least six ways. First, search and prioritization at scale: QSAR/DL models can score millions of virtual molecules rapidly to identify promising regions of chemical space, substantially reducing reliance on brute-force HTS (Maia et al., 2020). Second, representation learning: DL and GNNs learn task-relevant molecular embeddings that often outperform hand-crafted descriptors, improving generalization across tasks and scaffolds (Stokes et al., 2020; Yang et al., 2019). Third, generative design: VAEs, GANs, Transformer decoders, and RL can produce de novo chemotypes optimized for multiple endpoints prior to synthesis, enabling goal-directed exploration rather than random enumeration (Sanchez-Lengeling &amp; Aspuru-Guzik, 2018; Zhavoronkov et al., 2019). Fourth, structure-based acceleration: accurate protein structure prediction (e.g., AlphaFold) broadens target coverage and improves docking and binding-site modeling when experimental structures are unavailable (Jumper et al., 2021; Senior et al., 2020). Fifth, multimodal integration: ML can combine chemical structures, high-content phenotypic images, transcriptomic and proteomic signatures, and clinical records into unified predictors that better support target selection, biomarker discovery, toxicity risk assessment, and patient stratification (Jumper et al., 2021; Stokes et al., 2020). Sixth, speed and cost reduction: when embedded into closed design–synthesis–assay loops, AI helps cut down the number of compounds synthesized and experiments run, lowering cost and compressing timelines while preserving decision quality (Maia et al., 2020; Paul et al., 2010).</w:t>
      </w:r>
    </w:p>
    <w:p>
      <w:pPr>
        <w:pStyle w:val="BodyText"/>
      </w:pPr>
      <w:r>
        <w:t xml:space="preserve">These benefits have prospective support. Deep learning–based screening surfaced new antibiotic leads with unconventional scaffolds that were validated in vivo, demonstrating that data-driven models can traverse vast chemical spaces effectively (Stokes et al., 2020). Industrial reviews document cases where AI-guided workflows delivered higher hit rates, better property profiles, or accelerated cycles relative to historical baselines, while warning against overgeneralization without rigorous prospective tests (Chen et al., 2018; Mak &amp; Pichika, 2019; Sellwood et al., 2018; Waring et al., 2015). AI outputs are hypotheses requiring orthogonal experimental validation; without careful curation, benchmarking, and prospective studies, models risk amplifying dataset biases or yielding non-generalizable leads (Chen et al., 2018; Lo et al., 2018; Mak &amp; Pichika, 2019).</w:t>
      </w:r>
    </w:p>
    <w:bookmarkEnd w:id="15"/>
    <w:bookmarkEnd w:id="16"/>
    <w:bookmarkStart w:id="19" w:name="data-in-ai-driven-drug-design"/>
    <w:p>
      <w:pPr>
        <w:pStyle w:val="Heading2"/>
      </w:pPr>
      <w:r>
        <w:t xml:space="preserve">1.4. Data in AI-Driven Drug Design</w:t>
      </w:r>
    </w:p>
    <w:bookmarkStart w:id="17" w:name="types-of-data"/>
    <w:p>
      <w:pPr>
        <w:pStyle w:val="Heading3"/>
      </w:pPr>
      <w:r>
        <w:t xml:space="preserve">1.4.1. Types of Data</w:t>
      </w:r>
    </w:p>
    <w:p>
      <w:pPr>
        <w:pStyle w:val="FirstParagraph"/>
      </w:pPr>
      <w:r>
        <w:t xml:space="preserve">AI systems in discovery are only as reliable as the data and representations they consume. Three broad data domains—chemical, biological, and clinical/real-world—feed contemporary pipelines, each with canonical encodings and characteristic pitfalls.</w:t>
      </w:r>
    </w:p>
    <w:p>
      <w:pPr>
        <w:pStyle w:val="BodyText"/>
      </w:pPr>
      <w:r>
        <w:t xml:space="preserve">Chemical data can be represented as strings (e.g., the simplified molecular input line entry system, SMILES, or the IUPAC International Chemical Identifier, InChI), enabling sequence models and convenient data exchange, though sensitivity to canonicalization and syntax must be managed (Yang et al., 2019). Molecular graphs, which treat atoms as nodes and bonds as edges, are the native input for GNNs and message-passing neural networks that learn atom- and substructure-level interactions without fixed fingerprints (Stokes et al., 2020). Traditional fingerprints and physicochemical descriptors (e.g., extended-connectivity fingerprints, ECFP/Morgan) remain effective, particularly when paired with light-weight ML algorithms or hybrid descriptor+DL schemes (Lo et al., 2018; Sliwoski et al., 2014). Critically, the field has converged on shared benchmarks such as MoleculeNet, which curate tasks spanning quantum mechanics, physical chemistry, biophysics, physiology, and toxicity (e.g., QM9, ESOL, FreeSolv, Lipophilicity, PDBbind, PCBA, MUV, HIV, BACE, BBBP, Tox21, ToxCast, ClinTox, SIDER), with standardized splits and metrics and integration into open-source frameworks like DeepChem to support reproducible comparisons (Wu et al., 2018; Yang et al., 2019).</w:t>
      </w:r>
    </w:p>
    <w:p>
      <w:pPr>
        <w:pStyle w:val="BodyText"/>
      </w:pPr>
      <w:r>
        <w:t xml:space="preserve">Biological data include macromolecular sequences and structures as well as high-content cellular phenotypes and omics layers. Protein and peptide sequences are now modeled effectively by language models—usually Transformer variants—that learn embeddings useful for structure prediction, function inference, and interaction modeling (Jumper et al., 2021; Vaswani et al., 2017). Three-dimensional structures, whether experimental (e.g., Protein Data Bank) or predicted, support docking, molecular dynamics, and structure-aware ML that uses pocket surfaces and interaction fields as features (Maia et al., 2020; Senior et al., 2020; Sliwoski et al., 2014). Phenotypic imaging readouts and transcriptomic signatures can be ingested directly by CNNs and other DL architectures to relate morphological changes to mechanism and target engagement (Chen et al., 2018; Korotcov et al., 2017).</w:t>
      </w:r>
    </w:p>
    <w:p>
      <w:pPr>
        <w:pStyle w:val="BodyText"/>
      </w:pPr>
      <w:r>
        <w:t xml:space="preserve">Clinical and real-world data encompass EHRs, claims, clinical trial records, adverse event reports, and curated knowledge graphs. These sources enable patient-level outcome prediction, cohort selection, and safety signal detection but are highly heterogeneous and governed by privacy and regulatory constraints. Privacy-preserving approaches—such as federated learning—seek to leverage distributed clinical data without exposing protected health information (Jumper et al., 2021). Reviews of AI in development emphasize how repurposing, trial optimization, and post-marketing surveillance can benefit when such data are harmonized and linked with preclinical and chemical features (Doytchinova, 2022; Sellwood et al., 2018).</w:t>
      </w:r>
    </w:p>
    <w:bookmarkEnd w:id="17"/>
    <w:bookmarkStart w:id="18" w:name="Xd67316bf6cfcf6ed4b0e26a4874d406a6afeba6"/>
    <w:p>
      <w:pPr>
        <w:pStyle w:val="Heading3"/>
      </w:pPr>
      <w:r>
        <w:t xml:space="preserve">1.4.2. The Challenge of Data Curation and Quality</w:t>
      </w:r>
    </w:p>
    <w:p>
      <w:pPr>
        <w:pStyle w:val="FirstParagraph"/>
      </w:pPr>
      <w:r>
        <w:t xml:space="preserve">Heterogeneous labels and context dependence are pervasive. Nominally identical endpoints (e.g., biochemical inhibition, cellular viability, or toxicity) may differ by assay format, dose, exposure time, cell type, and readout technology; naively merging such datasets injects label noise and induces distribution shift, undermining generalization (Chen et al., 2018). Small, biased datasets are common for high-value endpoints like human toxicity or clinical efficacy, making transfer learning, multi-task learning, few-shot learning, and data augmentation attractive strategies to regularize models (Chen et al., 2018; Lo et al., 2018). Provenance and reproducibility demand rigorous documentation of data processing, careful metadata capture, and use of community benchmarks; scaffold-aware splits and external prospective evaluation help estimate true predictive power beyond random splits (Wu et al., 2018; Yang et al., 2019). Privacy and regulatory issues further complicate the use of patient-level data, motivating active research in federated learning and secure computation to unlock value safely (Jumper et al., 2021).</w:t>
      </w:r>
    </w:p>
    <w:p>
      <w:pPr>
        <w:pStyle w:val="BodyText"/>
      </w:pPr>
      <w:r>
        <w:t xml:space="preserve">Practical remedies are well established: standardizing ontologies and identifiers (e.g., InChIKeys for molecules, UniProt for proteins), applying assay-aware label harmonization, building explicit uncertainty estimates into models, and tightly integrating computational cycles with prospective experiments. When AI is embedded into closed-loop discovery, prospective iterations provide corrective feedback that prevents drift and overfitting to historic biases (Chen et al., 2018; Jumper et al., 2021; Maia et al., 2020).</w:t>
      </w:r>
    </w:p>
    <w:bookmarkEnd w:id="18"/>
    <w:bookmarkEnd w:id="19"/>
    <w:bookmarkStart w:id="20" w:name="synthesis-and-forward-look"/>
    <w:p>
      <w:pPr>
        <w:pStyle w:val="Heading2"/>
      </w:pPr>
      <w:r>
        <w:t xml:space="preserve">1.5. Synthesis and Forward Look</w:t>
      </w:r>
    </w:p>
    <w:p>
      <w:pPr>
        <w:pStyle w:val="FirstParagraph"/>
      </w:pPr>
      <w:r>
        <w:t xml:space="preserve">The traditional pipeline remains a necessary scaffold for translational therapeutics, but it was not built to contend with combinatorial chemical space, noisy biology, and the escalating evidence demands of precision medicine. AI augments this scaffold with representation learning (e.g., GNNs and Transformers), scalable prioritization, de novo generative design, and multimodal integration that target the most painful bottlenecks—hit finding and lead optimization—while de-risking downstream decision points. Real progress depends on data curation, validation in realistic splits, and prospective, experiment-coupled evaluation. Subsequent sections examine how specific AI techniques are deployed for target identification, activity and property prediction, de novo design, and clinical translation (Chen et al., 2018; Doytchinova, 2022; Jumper et al., 2021; Maia et al., 2020; Mak &amp; Pichika, 2019; Sanchez-Lengeling &amp; Aspuru-Guzik, 2018; Sellwood et al., 2018; Stokes et al., 2020; Waring et al., 2015; Wu et al., 2018; Yang et al., 2019; Zhavoronkov et al., 2019).</w:t>
      </w:r>
    </w:p>
    <w:bookmarkEnd w:id="20"/>
    <w:bookmarkEnd w:id="21"/>
    <w:bookmarkStart w:id="69" w:name="Xb6b1a21faf8273c83eb5d43f3d5160443254cb2"/>
    <w:p>
      <w:pPr>
        <w:pStyle w:val="Heading1"/>
      </w:pPr>
      <w:r>
        <w:t xml:space="preserve">2. AI for Target Identification and Validation</w:t>
      </w:r>
    </w:p>
    <w:bookmarkStart w:id="22" w:name="abbreviations-1"/>
    <w:p>
      <w:pPr>
        <w:pStyle w:val="Heading2"/>
      </w:pPr>
      <w:r>
        <w:t xml:space="preserve">Abbreviations</w:t>
      </w:r>
    </w:p>
    <w:p>
      <w:pPr>
        <w:pStyle w:val="FirstParagraph"/>
      </w:pPr>
      <w:r>
        <w:t xml:space="preserve">AI, artificial intelligence; ML, machine learning; DL, deep learning; GNN, graph neural network; DTI, drug–target interaction; QSAR, quantitative structure–activity relationship; MD, molecular dynamics; MM-GBSA, Molecular Mechanics/Generalized Born Surface Area; PPI, protein–protein interaction; GWAS, genome-wide association study; eQTL, expression quantitative trait locus; scRNA-seq, single-cell RNA sequencing; ST, spatial transcriptomics; PCM, proteochemometrics; PAE, predicted aligned error; pLDDT, predicted local distance difference test; ADMET, absorption, distribution, metabolism, excretion, and toxicity.</w:t>
      </w:r>
    </w:p>
    <w:bookmarkEnd w:id="22"/>
    <w:bookmarkStart w:id="24" w:name="X819ac9c7db881112c85927ca0616d98a66c9c2a"/>
    <w:p>
      <w:pPr>
        <w:pStyle w:val="Heading2"/>
      </w:pPr>
      <w:r>
        <w:t xml:space="preserve">2.1. Biomarker Discovery and Target Identification</w:t>
      </w:r>
    </w:p>
    <w:p>
      <w:pPr>
        <w:pStyle w:val="FirstParagraph"/>
      </w:pPr>
      <w:r>
        <w:t xml:space="preserve">Modern target identification starts from a causal hypothesis about disease biology and proceeds through multi-omic evidence aggregation, model-based prioritization, and prospective validation. The key question is not only whether a protein is associated with disease, but whether modulating it will produce the desired clinical effect without unacceptable toxicity. AI systems operationalize this by quantifying genetic and molecular support, integrating prior pharmacology, and learning structure in large, heterogeneous datasets (Chen et al., 2018; Vamathevan et al., 2019). Early systems-level work demonstrated that machine learning can distinguish morbid and druggable human genes by combining network topology, pathway membership, expression specificity, and subcellular localization (Costa et al., 2010). Recent pipelines extend this approach with representation learning over protein–protein interaction (PPI) graphs, tissue-resolved transcriptomics, and human genetics, producing target scores that correlate with downstream success (David et al., 2020; Gaudelet et al., 2021).</w:t>
      </w:r>
    </w:p>
    <w:p>
      <w:pPr>
        <w:pStyle w:val="BodyText"/>
      </w:pPr>
      <w:r>
        <w:t xml:space="preserve">Genetic evidence is the highest-value signal for causality. Genome-wide association studies (GWAS) map disease-associated loci, but most hits are noncoding. AI models trained on DNA sequence learn regulatory grammar to predict variant effects on transcription factor binding and chromatin, enabling fine-mapping and colocalization with gene expression (Alipanahi et al., 2015; Angermueller et al., 2016). Network propagation then diffuses locus-level signals across PPI graphs to prioritize proximal proteins with convergent evidence (Gaudelet et al., 2021). The resulting candidates are ranked using calibrated classifiers with positives from known targets and carefully constructed negatives to avoid label leakage from literature bias (Vamathevan et al., 2019).</w:t>
      </w:r>
    </w:p>
    <w:p>
      <w:pPr>
        <w:pStyle w:val="BodyText"/>
      </w:pPr>
      <w:r>
        <w:t xml:space="preserve">High-content phenotypic screens produce images or transcriptomic signatures that capture pathway states. Convolutional neural networks and graph-based encoders learn features predictive of target perturbation, including morphological embeddings that cluster compounds by mechanism of action. These features can be aligned with CRISPR knockout profiles to infer the proteins responsible for observed phenotypes, creating a mapping from phenotype to target space that complements genetics (Chen et al., 2018; Stokes et al., 2020).</w:t>
      </w:r>
    </w:p>
    <w:bookmarkStart w:id="23" w:name="X57faf86dad479c4f720c1da35a087a1f9da037f"/>
    <w:p>
      <w:pPr>
        <w:pStyle w:val="Heading3"/>
      </w:pPr>
      <w:r>
        <w:t xml:space="preserve">2.1.1. Using ML/DL to identify novel disease-associated proteins and genes</w:t>
      </w:r>
    </w:p>
    <w:p>
      <w:pPr>
        <w:pStyle w:val="FirstParagraph"/>
      </w:pPr>
      <w:r>
        <w:t xml:space="preserve">A practical supervised workflow comprises: (i) assembling positives from approved or clinical-phase targets for the indication, deduplicated by gene and mechanism; (ii) constructing a candidate set from protein-coding genes filtered by expression in disease tissue; (iii) extracting features, including network centrality, shortest-path distance to disease modules, intolerance to loss-of-function, tissue specificity, ligandability proxies, and genetic burden; (iv) training gradient-boosted trees or deep models with stratified cross-validation; and (v) estimating calibrated probabilities and uncertainty via bootstrapping or deep ensembles (Gaudelet et al., 2021; Vamathevan et al., 2019). For diseases with known pathway architecture, graph neural networks (GNNs) aggregate neighborhood information and edge types to increase recall of pathway-coherent targets (Defferrard et al., 2016; Scarselli et al., 2008; Veličković et al., 2018).</w:t>
      </w:r>
    </w:p>
    <w:p>
      <w:pPr>
        <w:pStyle w:val="BodyText"/>
      </w:pPr>
      <w:r>
        <w:t xml:space="preserve">Interpretability constrains adoption. SHAP values for boosted trees and attention weights for GNNs help decompose predictions into evidence items, e.g., GWAS colocalization, network proximity to a known effector, or tissue-specific expression. This evidence table can be reviewed alongside orthogonal literature and safety flags before advancing a target to experimental validation (David et al., 2020; Yu et al., 2018).</w:t>
      </w:r>
    </w:p>
    <w:bookmarkEnd w:id="23"/>
    <w:bookmarkEnd w:id="24"/>
    <w:bookmarkStart w:id="27" w:name="analysis-of-omics-data"/>
    <w:p>
      <w:pPr>
        <w:pStyle w:val="Heading2"/>
      </w:pPr>
      <w:r>
        <w:t xml:space="preserve">2.2. Analysis of Omics Data</w:t>
      </w:r>
    </w:p>
    <w:bookmarkStart w:id="25" w:name="X86969cd7de7b929281801f6f49b46391cce98d4"/>
    <w:p>
      <w:pPr>
        <w:pStyle w:val="Heading3"/>
      </w:pPr>
      <w:r>
        <w:t xml:space="preserve">2.2.1. Applying AI to genomics, proteomics, and transcriptomics to understand disease pathways</w:t>
      </w:r>
    </w:p>
    <w:p>
      <w:pPr>
        <w:pStyle w:val="FirstParagraph"/>
      </w:pPr>
      <w:r>
        <w:t xml:space="preserve">Genomics. Sequence-based deep learning models learn position-specific motifs and long-range interactions from raw DNA. They predict chromatin accessibility and transcription factor binding, enabling prioritization of noncoding variants that perturb regulatory programs. Downstream, statistical colocalization integrates eQTLs with GWAS to link variants to gene expression changes in relevant tissues. Combining these signals with PPI graphs produces disease modules whose enriched processes suggest intervention points (Alipanahi et al., 2015; Angermueller et al., 2016; Gaudelet et al., 2021).</w:t>
      </w:r>
    </w:p>
    <w:p>
      <w:pPr>
        <w:pStyle w:val="BodyText"/>
      </w:pPr>
      <w:r>
        <w:t xml:space="preserve">Transcriptomics. Bulk RNA-seq provides differential expression, but single-cell RNA-seq (scRNA-seq) resolves cell-type-specific drivers. Representation learning aligns patient and control cells in a shared latent space to isolate disease-specific programs. Graph clustering over cell–cell similarity identifies perturbed subpopulations, while gene-set activity scores track pathway shifts that point to actionable nodes. Integration with perturbational atlases allows matching disease signatures to CRISPR perturbations, proposing targets whose knockdown reverts the signature (Angermueller et al., 2016; Chen et al., 2018).</w:t>
      </w:r>
    </w:p>
    <w:p>
      <w:pPr>
        <w:pStyle w:val="BodyText"/>
      </w:pPr>
      <w:r>
        <w:t xml:space="preserve">Proteomics. Data-independent acquisition mass spectrometry quantifies proteins and post-translational modifications at scale. ML corrects batch effects, imputes missing values, and models kinase–substrate relationships from phosphoproteomic time courses. Joint models that fuse protein abundance, phospho-signaling, and interactome edges yield pathway-level activity scores, improving the precision of target nomination compared with any single modality (David et al., 2020; Gaudelet et al., 2021).</w:t>
      </w:r>
    </w:p>
    <w:p>
      <w:pPr>
        <w:pStyle w:val="BodyText"/>
      </w:pPr>
      <w:r>
        <w:t xml:space="preserve">Multi-omic fusion. Two strategies dominate. Early fusion concatenates features followed by regularized learners with sparsity to select predictive modalities. Late fusion learns modality-specific encoders and combines their embeddings with attention or co-training, maintaining robustness to missing assays. Contrastive objectives align modalities and improve generalization to new cohorts (David et al., 2020; Wang et al., 2022). Pragmatically, cross-study validation and leave-tissue-out tests are critical to avoid optimistic bias (Vamathevan et al., 2019).</w:t>
      </w:r>
    </w:p>
    <w:bookmarkEnd w:id="25"/>
    <w:bookmarkStart w:id="26" w:name="X3fbb8df9e12938ad03961827aaa1f6ff71c2f93"/>
    <w:p>
      <w:pPr>
        <w:pStyle w:val="Heading3"/>
      </w:pPr>
      <w:r>
        <w:t xml:space="preserve">2.2.2. The Impact of AlphaFold on structural biology</w:t>
      </w:r>
    </w:p>
    <w:p>
      <w:pPr>
        <w:pStyle w:val="FirstParagraph"/>
      </w:pPr>
      <w:r>
        <w:t xml:space="preserve">AlphaFold2 transformed structural biology by predicting protein backbones and side-chain placements with near-experimental accuracy across much of the proteome (Jumper et al., 2021). The AlphaFold Protein Structure Database now hosts predicted structures for over 200 million proteins, vastly increasing structural coverage, accelerating annotation of domains and interfaces, and enabling structure-guided target triage where crystallography is absent (Kryshtafovych &amp; Fidelis, 2009). Model-derived confidence metrics matter operationally: pLDDT distinguishes confidently modeled regions from disordered segments, while the predicted aligned error (PAE) matrix flags domain orientations with limited reliability. These diagnostics guide use in docking, epitope mapping, and variant interpretation.</w:t>
      </w:r>
    </w:p>
    <w:p>
      <w:pPr>
        <w:pStyle w:val="BodyText"/>
      </w:pPr>
      <w:r>
        <w:t xml:space="preserve">For target validation, AlphaFold2 shortens cycles by enabling pocket detection, interface mapping, and mutational scanning in silico. When bound complexes are required, docking against AlphaFold models can be coupled to physics-based refinement or short molecular dynamics (MD) simulations to relax clashes, followed by MM-GBSA rescoring to prioritize plausible poses (Ganesan et al., 2017; Li et al., 2003; Wang et al., 2020; Xu et al., 2013). Geometric descriptors of cavities derived from alpha-shape and Delaunay triangulation correlate with ligandability and inform binding-site classification (Liang et al., 1998; Zhou &amp; Yan, 2014).</w:t>
      </w:r>
    </w:p>
    <w:p>
      <w:pPr>
        <w:pStyle w:val="BodyText"/>
      </w:pPr>
      <w:r>
        <w:t xml:space="preserve">Limitations remain: transient conformations, induced fit, membrane contexts, and multi-component assemblies can deviate from predicted monomeric structures. Complex prediction quality depends on coevolutionary signal and training distribution. Therefore, structural predictions should be treated as hypotheses and paired with orthogonal evidence, such as chemical proteomics, thermal-shift stabilization of target engagement, or CRISPR allelic series that test directionality of effect (Kryshtafovych &amp; Fidelis, 2009; Vamathevan et al., 2019).</w:t>
      </w:r>
    </w:p>
    <w:bookmarkEnd w:id="26"/>
    <w:bookmarkEnd w:id="27"/>
    <w:bookmarkStart w:id="30" w:name="network-pharmacology"/>
    <w:p>
      <w:pPr>
        <w:pStyle w:val="Heading2"/>
      </w:pPr>
      <w:r>
        <w:t xml:space="preserve">2.3. Network Pharmacology</w:t>
      </w:r>
    </w:p>
    <w:bookmarkStart w:id="28" w:name="X39ab0bee6089cfc63d59c5664dc9f23f3f2376e"/>
    <w:p>
      <w:pPr>
        <w:pStyle w:val="Heading3"/>
      </w:pPr>
      <w:r>
        <w:t xml:space="preserve">2.3.1. Using graph-based AI models to map biological networks</w:t>
      </w:r>
    </w:p>
    <w:p>
      <w:pPr>
        <w:pStyle w:val="FirstParagraph"/>
      </w:pPr>
      <w:r>
        <w:t xml:space="preserve">Network pharmacology represents diseases, proteins, compounds, and phenotypes as a heterogeneous graph. Learning on this graph captures systems-level behavior such as pathway redundancy and polypharmacology. Classical label-propagation methods spread annotations along high-confidence edges, while modern graph neural networks (GNNs) learn task-specific message passing to combine node features with topology (Defferrard et al., 2016; Scarselli et al., 2008; Veličković et al., 2018). Deep architectures with residual connections and normalization enable very deep GCNs, improving long-range dependency capture (Li et al., 2019). In drug discovery, these models fuse chemical graphs of small molecules with protein sequence or structure embeddings to predict activities and safety liabilities (David et al., 2020; Gaudelet et al., 2021).</w:t>
      </w:r>
    </w:p>
    <w:p>
      <w:pPr>
        <w:pStyle w:val="BodyText"/>
      </w:pPr>
      <w:r>
        <w:t xml:space="preserve">Representation choice is central. For molecules, message-passing neural networks operate on atom–bond graphs; for proteins, options include convolution over contact maps, language-model embeddings from sequences, and graph encodings of residue–residue proximity. MoleculeNet standardized benchmarks revealed that graph models outperform descriptor baselines on many biochemical endpoints when datasets are sufficiently large and splits are chemically meaningful (David et al., 2020; Wu et al., 2018). For targets, integrating disease-specific network context with intrinsic properties such as essentiality and tissue specificity improves precision of target nomination compared with naive degree-based heuristics (Gaudelet et al., 2021; Vamathevan et al., 2019).</w:t>
      </w:r>
    </w:p>
    <w:bookmarkEnd w:id="28"/>
    <w:bookmarkStart w:id="29" w:name="X38b4ae0de5a8e6ee7187c8e633368a2a382d107"/>
    <w:p>
      <w:pPr>
        <w:pStyle w:val="Heading3"/>
      </w:pPr>
      <w:r>
        <w:t xml:space="preserve">2.3.2. Predicting complex target–drug interactions</w:t>
      </w:r>
    </w:p>
    <w:p>
      <w:pPr>
        <w:pStyle w:val="FirstParagraph"/>
      </w:pPr>
      <w:r>
        <w:t xml:space="preserve">Drug–target interaction (DTI) prediction spans binary interaction classification, affinity regression, and pocket-conditioned pose scoring. Kernel methods pioneered integrated chemical, genomic, and pharmacological kernels with matrix factorization to impute missing interactions (Gönen, 2012; Yamanishi et al., 2010). Deep models now learn end-to-end from sequences and SMILES or graphs. DeepAffinity unified recurrent and convolutional encoders to predict continuous binding affinity with interpretable attention maps (Karimi et al., 2019). Structure-based models such as AtomNet used 3D convolutional networks on protein–ligand grids to score poses, while multi-task DNNs improved QSAR accuracy across assays (Ma et al., 2015; Wallach et al., 2015).</w:t>
      </w:r>
    </w:p>
    <w:p>
      <w:pPr>
        <w:pStyle w:val="BodyText"/>
      </w:pPr>
      <w:r>
        <w:t xml:space="preserve">Evaluation must reflect deployment. Temporal splits or scaffold splits reduce overestimation from analogue bias, while prospective validation on wet-lab assays or new chemotypes is the gold standard (David et al., 2020; Wu et al., 2018). For affinity regression, report Pearson r with confidence intervals; for classification, use PR-AUC in addition to ROC-AUC under class imbalance. Calibration curves and expected calibration error quantify probability quality and are essential when models prioritize experiments. Uncertainty can be estimated with deep ensembles or Monte Carlo dropout, informing risk-aware batch selection (Vamathevan et al., 2019).</w:t>
      </w:r>
    </w:p>
    <w:p>
      <w:pPr>
        <w:pStyle w:val="BodyText"/>
      </w:pPr>
      <w:r>
        <w:t xml:space="preserve">Caveats include dataset shift across assay formats, label noise from heterogeneous thresholds, and shortcut learning on protein or ligand identifiers. Mitigations include multi-task learning across related assays, explicit assay embeddings, and controlled train–test splits that hide trivial shortcuts (David et al., 2020; Wu et al., 2018). In production, active learning couples DTI models with Bayesian optimization to choose diverse, uncertain compounds that maximize information gain while respecting medicinal chemistry constraints (Chen et al., 2018).</w:t>
      </w:r>
    </w:p>
    <w:bookmarkEnd w:id="29"/>
    <w:bookmarkEnd w:id="30"/>
    <w:bookmarkStart w:id="32" w:name="predicting-target-druggability"/>
    <w:p>
      <w:pPr>
        <w:pStyle w:val="Heading2"/>
      </w:pPr>
      <w:r>
        <w:t xml:space="preserve">2.4. Predicting Target</w:t>
      </w:r>
      <w:r>
        <w:t xml:space="preserve"> </w:t>
      </w:r>
      <w:r>
        <w:t xml:space="preserve">“Druggability”</w:t>
      </w:r>
    </w:p>
    <w:bookmarkStart w:id="31" w:name="Xf16cbebec3f6defd1c3097608d7551840341d8f"/>
    <w:p>
      <w:pPr>
        <w:pStyle w:val="Heading3"/>
      </w:pPr>
      <w:r>
        <w:t xml:space="preserve">2.4.1. Assessing how likely a biological target is to bind effectively with a drug molecule</w:t>
      </w:r>
    </w:p>
    <w:p>
      <w:pPr>
        <w:pStyle w:val="FirstParagraph"/>
      </w:pPr>
      <w:r>
        <w:t xml:space="preserve">Druggability models estimate whether modulating a target with a small molecule or biologic is feasible at acceptable selectivity and exposure. For enzymes and receptors, pocket geometry, hydrophobic enclosure, and the presence of aromatic or hydrogen-bonding hotspots correlate with ligandability. Alpha-shape analyses and Delaunay triangulation compute pocket volumes, mouth widths, and curvature, while residue-level descriptors capture side-chain flexibility and physicochemical complementarity (Liang et al., 1998; Zhou &amp; Yan, 2014).</w:t>
      </w:r>
    </w:p>
    <w:p>
      <w:pPr>
        <w:pStyle w:val="BodyText"/>
      </w:pPr>
      <w:r>
        <w:t xml:space="preserve">Physics-based components add mechanistic grounding. Docking provides approximate poses and scores that can be refined via short MD simulations to relax side chains, followed by MM-GBSA or related end-point free-energy estimators to rescore top poses (Ganesan et al., 2017; Li et al., 2003; Xu et al., 2013). When experimental structures are unavailable, AlphaFold2 models with high pLDDT in binding regions are usable starting points, with caution about loop placement and induced fit (Jumper et al., 2021; Kryshtafovych &amp; Fidelis, 2009).</w:t>
      </w:r>
    </w:p>
    <w:p>
      <w:pPr>
        <w:pStyle w:val="BodyText"/>
      </w:pPr>
      <w:r>
        <w:t xml:space="preserve">Proteochemometric (PCM) modeling complements structure by jointly encoding the ligand and a panel of related targets to learn family-level binding rules. This multi-task formulation improves extrapolation to understudied homologs and highlights selectivity determinants, which is critical for predicting off-target risks early (David et al., 2020; Qiu et al., 2017).</w:t>
      </w:r>
    </w:p>
    <w:p>
      <w:pPr>
        <w:pStyle w:val="BodyText"/>
      </w:pPr>
      <w:r>
        <w:t xml:space="preserve">Empirical priors inform risk. Historical success is enriched among targets with human genetic support, secreted or extracellular proteins for biologics, and tractable enzyme classes. Conversely, ubiquitously expressed essential genes and proteins central to housekeeping complexes carry toxicity risk. AI systems incorporate such priors as features or Bayesian priors to calibrate expectations and to steer portfolios toward tractable biology (Chen et al., 2018; Vamathevan et al., 2019).</w:t>
      </w:r>
    </w:p>
    <w:p>
      <w:pPr>
        <w:pStyle w:val="BodyText"/>
      </w:pPr>
      <w:r>
        <w:t xml:space="preserve">Validation closes the loop. Biochemical assays confirm potency and mechanism. Biophysical assays—thermal shift, SPR, CETSA—confirm target engagement in relevant matrices. Cellular assays test pathway reversal and on-target engagement. Genomic perturbations, including CRISPR knockouts or allelic series, test causality and direction of effect. Iterating predictions with experimental feedback turns druggability assessment from a static filter into a learning system (David et al., 2020; Vamathevan et al., 2019).</w:t>
      </w:r>
    </w:p>
    <w:p>
      <w:pPr>
        <w:pStyle w:val="BodyText"/>
      </w:pPr>
      <w:r>
        <w:t xml:space="preserve">Quality and Reproducibility Considerations. Across subsections, the most common failure modes are data leakage, analogue bias, and non-representative splits. Adopt scaffold or temporal splits, document all preprocessing, and version datasets. Prefer external validation on independent cohorts or assays when feasible. Report hyperparameters, uncertainty estimates, and confidence intervals. Maintain traceable evidence for every promoted target so decisions remain auditable to clinicians and regulators (Pandey et al., 2022; Vamathevan et al., 2019; Yu et al., 2018).</w:t>
      </w:r>
      <w:r>
        <w:t xml:space="preserve"> </w:t>
      </w:r>
      <w:r>
        <w:t xml:space="preserve"># 3. AI for Drug Candidate Design and Screening</w:t>
      </w:r>
    </w:p>
    <w:bookmarkEnd w:id="31"/>
    <w:bookmarkEnd w:id="32"/>
    <w:bookmarkStart w:id="37" w:name="ai-accelerated-virtual-screening"/>
    <w:p>
      <w:pPr>
        <w:pStyle w:val="Heading2"/>
      </w:pPr>
      <w:r>
        <w:t xml:space="preserve">3.1. AI-Accelerated Virtual Screening</w:t>
      </w:r>
    </w:p>
    <w:bookmarkStart w:id="34" w:name="Xd680d419a9e5eaa534bd39ce2ccc7e9064e19f2"/>
    <w:p>
      <w:pPr>
        <w:pStyle w:val="Heading3"/>
      </w:pPr>
      <w:r>
        <w:t xml:space="preserve">3.1.1. Molecular representation: inputting molecules into AI models (SMILES strings, molecular graphs, fingerprints)</w:t>
      </w:r>
    </w:p>
    <w:p>
      <w:pPr>
        <w:pStyle w:val="FirstParagraph"/>
      </w:pPr>
      <w:r>
        <w:t xml:space="preserve">Advances in cheminformatics and artificial intelligence (AI) have introduced several approaches to molecular representation. Traditional methods rely on rule-based feature extraction, such as molecular descriptors that quantify physical or chemical properties, and molecular fingerprints that encode substructural information as binary strings or numerical values. The most common representation is the Simplified Molecular Input Line Entry System (SMILES), which provides a compact and efficient way to encode chemical structures as strings (Weininger, 1988; Wigh et al., 2022). Despite its simplicity, SMILES has limitations in capturing the complexity of molecular interactions. As drug discovery tasks become more sophisticated, traditional string-based representations often fail to fully reflect the relationships between molecular structure and key drug-related characteristics such as biological activity and physicochemical properties (Li et al., 2024). While traditional methods are interpretable, they often struggle to navigate the vast chemical space in search of compounds with desired biological properties. Therefore, molecular representation should not only encode the chemical structure, but also enable efficient exploration of chemical space. In recent years, AI-driven molecular representation methods have applied deep learning techniques to learn high-dimensional embeddings directly from large datasets. Models such as graph neural networks (GNNs), variational auto-encoders (VAEs), and transformers enable these approaches to move beyond predefined rules, capturing both local and global molecular features (Irwin et al., 2020; Kim et al., 2016; Mendez et al., 2019). These modern representations better describe structural and functional relationships, providing powerful tools for molecular generation, scaffold hopping, lead compound optimization, and other tasks in drug discovery (Li et al., 2024; Tong et al., 2021).</w:t>
      </w:r>
    </w:p>
    <w:bookmarkStart w:id="33" w:name="molecular-fingerprinting"/>
    <w:p>
      <w:pPr>
        <w:pStyle w:val="Heading4"/>
      </w:pPr>
      <w:r>
        <w:t xml:space="preserve">Molecular fingerprinting</w:t>
      </w:r>
    </w:p>
    <w:p>
      <w:pPr>
        <w:pStyle w:val="FirstParagraph"/>
      </w:pPr>
      <w:r>
        <w:t xml:space="preserve">Molecular fingerprinting is a computational technique that transforms chemical structures into compact numerical representations, such as bit vectors or feature arrays, to capture key structural and physicochemical properties. These fingerprints facilitate rapid comparison, similarity searches, and machine learning tasks, making them invaluable in drug discovery and materials science. Common types include circular fingerprints like Extended Connectivity Fingerprints (ECFP) for substructure patterns, path-based fingerprints for bond sequences, and 3D fingerprints for molecular shapes (Li et al., 2024). Unlike natural language processing (NLP), which processes human language, molecular fingerprinting encodes chemical</w:t>
      </w:r>
      <w:r>
        <w:t xml:space="preserve"> </w:t>
      </w:r>
      <w:r>
        <w:t xml:space="preserve">“grammar,”</w:t>
      </w:r>
      <w:r>
        <w:t xml:space="preserve"> </w:t>
      </w:r>
      <w:r>
        <w:t xml:space="preserve">such as functional groups and bonds, rather than linguistic semantics. While natural language processing (NLP) models like transformers can analyze molecules via SMILES strings, traditional fingerprinting relies on cheminformatics algorithms for applications like virtual screening and toxicity prediction. Tools such as Open-Source Cheminformatics Toolkit (RDKit) and Chemical Descriptor Calculation Platform (ChemDes) (Dong et al., 2015) are widely used to compute fingerprints efficiently, bridging the gap between chemistry and AI. However, challenges remain in optimizing fingerprint methods for diverse molecular datasets and improving their predictive power in biological contexts. For instance, ECFPs have proven effective in structure-activity modeling and similarity searching but require further refinement to enhance their utility in identifying active compounds in large-scale screenings.</w:t>
      </w:r>
    </w:p>
    <w:bookmarkEnd w:id="33"/>
    <w:bookmarkEnd w:id="34"/>
    <w:bookmarkStart w:id="35" w:name="X7d0c9c5cab245124b46f6b63a54d97ec049ce6d"/>
    <w:p>
      <w:pPr>
        <w:pStyle w:val="Heading3"/>
      </w:pPr>
      <w:r>
        <w:t xml:space="preserve">3.1.2. Predictive screening (QSAR/QSPR): using ML/DL to predict compound activity and properties before synthesis</w:t>
      </w:r>
    </w:p>
    <w:p>
      <w:pPr>
        <w:pStyle w:val="FirstParagraph"/>
      </w:pPr>
      <w:r>
        <w:t xml:space="preserve">AI-powered virtual screening and other in silico approaches have revolutionized the identification of potential lead compounds for drug discovery. These methods utilize computational techniques to rapidly evaluate vast chemical libraries, significantly accelerating the process and reducing costs compared with traditional high-throughput screening (Paul et al., 2021). Machine learning (ML) algorithms are essential for these methods. For instance, they can be used to create quantitative structure-activity relationship (QSAR) models, that predict the biological activity of compounds based on their chemical structures. These models can then be used to screen large chemical libraries and prioritize compounds with the highest probability of binding to the target of interest. These AI-driven approaches have the potential to significantly accelerate the identification of promising lead compounds and ultimately improve the success rate of drug development.</w:t>
      </w:r>
    </w:p>
    <w:p>
      <w:pPr>
        <w:pStyle w:val="BodyText"/>
      </w:pPr>
      <w:r>
        <w:t xml:space="preserve">AI-driven techniques are revolutionizing drug development by optimizing critical properties, such as solubility, stability, and bioavailability. Machine learning (ML) algorithms can analyze vast datasets of chemical structures and their associated properties to predict crucial parameters with high accuracy. For example, in QSAR predictions, approximately 1000-5000 data points were used for water solubility predictions, whereas deep learning (DL) models can be used to predict drug stability under various conditions. For the protein function prediction task, researchers can leverage two open databases—the UniProt Consortium and the Protein Data Bank (PDB)—to gather protein sequence data from various species. This data can then be used to train prediction models through processes like batch downloading, data cleaning, and pre-processing. These predictive models enable researchers to rapidly identify and optimize drug candidates with improved physicochemical properties, thereby increasing their chances of successful clinical translation. Furthermore, deep learning (DL) algorithms, such as generative adversarial networks (GANs), can be used to generate novel chemical structures with desired properties, thereby expanding the chemical space explored in the drug design process.</w:t>
      </w:r>
    </w:p>
    <w:bookmarkEnd w:id="35"/>
    <w:bookmarkStart w:id="36" w:name="X981a72d47dda4d04cccc534ef306e82ef67d52f"/>
    <w:p>
      <w:pPr>
        <w:pStyle w:val="Heading3"/>
      </w:pPr>
      <w:r>
        <w:t xml:space="preserve">3.1.3. AI-enhanced molecular docking: improving the accuracy and speed of docking simulations</w:t>
      </w:r>
    </w:p>
    <w:p>
      <w:pPr>
        <w:pStyle w:val="FirstParagraph"/>
      </w:pPr>
      <w:r>
        <w:t xml:space="preserve">Molecular docking is a crucial step to generate potential candidates for lead compounds in drug discovery (Vamathevan et al., 2019). Docking is composed of several steps, for example, binding pocket identification, drug conformations sampling, scoring, and ranking. Generally, the binding pocket is provided by users in re-docking, cross-docking and virtual-screening tasks, with the pocket being identified by the co-crystal structure of the target protein and associated ligands in the experiments. However, with the development of protein structure prediction methods, for example, AlphaFold (Jumper et al., 2021) and ColabFold (Mirdita et al., 2022), a fast increasing number of protein structures are generated without information on ligands. Therefore, it is of high demand to perform reliable ligand docking based on protein structures only and without known binding pockets.</w:t>
      </w:r>
    </w:p>
    <w:p>
      <w:pPr>
        <w:pStyle w:val="BodyText"/>
      </w:pPr>
      <w:r>
        <w:t xml:space="preserve">Traditionally, the blind docking is regarded as a task of docking around the entire protein, and many traditional docking programs are available for such tasks, for example, Autodock Vina (Trott &amp; Olson, 2010), and Glide (Friesner et al., 2004). It is of great value to improve the docking speed and accuracy, given that normally a large space should be sampled in limited searching steps. To deal with such a problem, a number of optimized sampling methods were developed, for instance, QuickVina-W, which was developed based on QuickVina 2. QuickVina 2 optimized the local search frequency by searching only potentially important spatial points. These spatial points are identified by checking gradients of the scoring function against a thread history before local optimization. QuickVina-W is a program designed for blind docking, and the potentially significant points are identified by examination of the history of the present and other threads.</w:t>
      </w:r>
    </w:p>
    <w:p>
      <w:pPr>
        <w:pStyle w:val="BodyText"/>
      </w:pPr>
      <w:r>
        <w:t xml:space="preserve">Besides the improvement on the sampling method, another strategy to increase speed and accuracy is to decrease the searching space through an identification of the potential ligand-protein binding pockets. Methods based on both traditional geometrical or machine learning strategies have been developed to recognize the protein pocket. The traditional methods have a relatively long history, and have observed the development of various strategies. For example, in FunFOLD and COFACTOR, the binding pocket is located by calculations on the similarity between the target and the templates of known pockets. Methods such as Fpocket on the other hand, are based on an examination of the shape and spatial geometry of the target protein. In another strategy one performs the binding pocket search using designed probes and identifies the pocket by calculating the interaction energy between the probes and protein.</w:t>
      </w:r>
    </w:p>
    <w:p>
      <w:pPr>
        <w:pStyle w:val="BodyText"/>
      </w:pPr>
      <w:r>
        <w:t xml:space="preserve">In addition to the traditional methods, the strategies based on machine learning began to show high performance for the binding site prediction over the last few years. Among them, P2Rank (Krivák &amp; Hoksza, 2018) is a widely used method based on the random forest algorithm, while COACH is trained by the support vector. In these methods based on deep learning, Three-Dimensional Convolutional Neural Network (3D-CNN) are often used, as in DeepSite (Jiménez et al., 2017), DeepSurf, and PUResNet.</w:t>
      </w:r>
    </w:p>
    <w:p>
      <w:pPr>
        <w:pStyle w:val="BodyText"/>
      </w:pPr>
      <w:r>
        <w:t xml:space="preserve">Besides binding site prediction, many studies focused on combining the site recognizing, pose sampling and scoring in one shot to improve the performance of blind docking. EquiBind is a popular method among them, which applies an SE(3)-equivariant geometric deep learning strategy and successfully decreases the runtime of docking to less than 1 second per system. In addition, TANKBind, another deep learning-based method using trigonometry-aware neural networks, replaces the expensive sampling by evaluation of the protein-ligand interaction energy landscapes of different blocks of protein, which further improves the performance in docking tasks.</w:t>
      </w:r>
    </w:p>
    <w:p>
      <w:pPr>
        <w:pStyle w:val="BodyText"/>
      </w:pPr>
      <w:r>
        <w:t xml:space="preserve">Recently, another state-of-the-art approach, DiffDock (Corso et al., 2022), was reported which is based on deep learning and treats the docking as a generative task. DiffDock used diffusion generative model to generate conformations and applied a confidence model to estimate the poses. This method enjoys a significant improvement in the docking accuracy, representing a powerful intermediate approach between traditional sampling and one-shot prediction.</w:t>
      </w:r>
    </w:p>
    <w:p>
      <w:pPr>
        <w:pStyle w:val="BodyText"/>
      </w:pPr>
      <w:r>
        <w:t xml:space="preserve">The score function, which is commonly used to estimate the confidence of ligand binding poses, is another important factor affecting the accuracy of blind docking. There are four main categories of scoring functions, namely, physics-based, knowledge-based, empirical, and machine-learning based scoring functions. Many efforts have been paid to improve the performance of score functions, for instance, SMINA, GNINA (Francoeur et al., 2020), RF-Score, and IGN. Most of these methods are based on linear regression or machine learning, and present a reasonable performance in estimating the interactions between the proteins and ligands. However, most of the machine-learning based strategies are not introduced directly into the molecular docking procedure in the form of the scoring function, but are used to rescore the poses of ligands generated by the traditional sampling methods. Because a high computational cost is required when the network is used to guide the sampling, implementing a rescoring process after the sampling is a common strategy to improve the accuracy of the latter, as in GNINA.</w:t>
      </w:r>
    </w:p>
    <w:p>
      <w:pPr>
        <w:pStyle w:val="BodyText"/>
      </w:pPr>
      <w:r>
        <w:t xml:space="preserve">In the present work, to improve the speed and accuracy of blind docking, researchers developed a method, Deep Site and Docking Pose (DSDP), to combine the advantages of both machine learning and traditional sampling strategies. It predicts the binding site on the protein and provides the potential location of ligands to decrease the searching space for the following binding pose sampling. A similar strategy was used in EquiBind, DiffDock (Corso et al., 2022), and Uni-Dock. In these protocols, the binding site identification and ligand conformation sampling are treated separately, and only the predicted site center is used in the sampling step by ignoring the shape of the binding pocket.</w:t>
      </w:r>
    </w:p>
    <w:bookmarkEnd w:id="36"/>
    <w:bookmarkEnd w:id="37"/>
    <w:bookmarkStart w:id="43" w:name="de-novo-drug-design"/>
    <w:p>
      <w:pPr>
        <w:pStyle w:val="Heading2"/>
      </w:pPr>
      <w:r>
        <w:t xml:space="preserve">3.2. De Novo Drug Design</w:t>
      </w:r>
    </w:p>
    <w:bookmarkStart w:id="38" w:name="X59ed0b363e3ba9679f52803e47d8d5d5c6674f9"/>
    <w:p>
      <w:pPr>
        <w:pStyle w:val="Heading3"/>
      </w:pPr>
      <w:r>
        <w:t xml:space="preserve">3.2.1. Definition: using algorithms to design entirely new molecules from scratch</w:t>
      </w:r>
    </w:p>
    <w:p>
      <w:pPr>
        <w:pStyle w:val="FirstParagraph"/>
      </w:pPr>
      <w:r>
        <w:t xml:space="preserve">De novo molecular design aims to create new chemical entities with desired properties and/or activities. These properties may be easily quantifiable, such as molecular weight, or somewhat more abstract, as is the case of toxicity. This is an inherently difficult task owing to the immense search space of around 10^33 to 10^80 feasible molecules from which only a small fraction typically have the desired traits (Polishchuk et al., 2013). As such, de novo molecular design was, for many years, and mostly remains a process of almost exclusive trial and error, with human expert knowledge and intuition about chemistry playing a major role (Schneider, 2018). Meanwhile, the high costs associated with developing new molecules, reaching $2.8 billion dollars for a single compound, have also led to the implementation of computational tools capable of assisting the process. These have proven valuable and have found wide usage in practical applications (Schneider, 2018).</w:t>
      </w:r>
    </w:p>
    <w:p>
      <w:pPr>
        <w:pStyle w:val="BodyText"/>
      </w:pPr>
      <w:r>
        <w:t xml:space="preserve">A forthright approach consists in enumerating all possible molecules that conform to valency rules and do not include chemically unstable functional groups. A notable example is the Chemical Space project, where this technique was employed to generate 166 billion molecules. Another technique, reaction-based de novo design, uses a set of known chemical reactions to combine various readily available building blocks into new molecules. This process can be guided by a similarity criterion to a known molecule of interest, giving rise to a large number of new similar molecules while ensuring their synthetic plausibility.</w:t>
      </w:r>
    </w:p>
    <w:p>
      <w:pPr>
        <w:pStyle w:val="BodyText"/>
      </w:pPr>
      <w:r>
        <w:t xml:space="preserve">Evolutionary Algorithms (EAs) have also been successfully applied to de novo molecular design. As a recent example, AutoGrow4 uses an EA to create new predicted ligands. At each iteration, new molecules are created using a mutation operator, that performs an in silico chemical reaction, or a crossover operator that merges two compounds into a new one by randomly combining their decorating moieties. Grammatical Evolution on string representations and evolving molecular graphs provide alternative approaches that enable EAs to generate novel compounds targeting desired properties.</w:t>
      </w:r>
    </w:p>
    <w:p>
      <w:pPr>
        <w:pStyle w:val="BodyText"/>
      </w:pPr>
      <w:r>
        <w:t xml:space="preserve">Although useful, these methods still leave room for improvement. For instance, enumeration often leads to molecules that are too difficult to synthesize, and reaction-based design is fundamentally restricted in its ability to explore the chemical space, both important aspects of molecular design. EAs, while computationally efficient and capable of performing on par with other recent approaches, rely on expertly encoded operations, possibly limiting the search space and not leveraging the large amounts of data currently available. Notwithstanding previous efforts on reviewing this field, a more rigorous approach to this subject, containing a more systematic coverage of the methods, can be important for researchers working on these topics. To that end, here we aim to provide a comprehensive review of deep learning (DL) methods for the targeted generation of novel compounds. As such, after an introduction to molecular representations, we present the most common deep generative models and the underlying neural network architectures. Researchers then focus on the different optimization approaches that allow to focus the search on molecules with desired properties or activities, closing with a review of the main practical applications (Gómez-Bombarelli et al., 2018).</w:t>
      </w:r>
    </w:p>
    <w:bookmarkEnd w:id="38"/>
    <w:bookmarkStart w:id="39" w:name="X3c7b57f585d3248f6dc170424ebfa41f03c44d1"/>
    <w:p>
      <w:pPr>
        <w:pStyle w:val="Heading3"/>
      </w:pPr>
      <w:r>
        <w:t xml:space="preserve">3.2.2. Challenges: navigating the immense size of chemical space</w:t>
      </w:r>
    </w:p>
    <w:p>
      <w:pPr>
        <w:pStyle w:val="FirstParagraph"/>
      </w:pPr>
      <w:r>
        <w:t xml:space="preserve">Creating new de novo molecules is an inherently difficult task owing to the immense search space of around 10^33 to 10^80 feasible molecules from which only a small fraction typically have the desired traits (Polishchuk et al., 2013). As such, de novo molecular design was always challenging. Despite all this progress and investment, only a few AI-based drugs are actually in human clinics. Moreover, the cost of developing a drug is still increasing and there is less adoption of AI tools for clinics at the moment. The pharmaceutical industries are one of the riskiest industry in the world, due to high failure rates and a long timeline.</w:t>
      </w:r>
    </w:p>
    <w:p>
      <w:pPr>
        <w:pStyle w:val="BodyText"/>
      </w:pPr>
      <w:r>
        <w:t xml:space="preserve">Many traditional drug design scientists still think that all AI-enabled drug development is incremental and hype. The de novo design, drug response analysis, molecule optimization, and screening all are stages but most of the drug candidates fail in the clinical trials, making all of the developments incremental. Researchers have a very complex biological space, complex chemical space, and complex clinical space, and optimizing all of them at once is a big challenge.</w:t>
      </w:r>
    </w:p>
    <w:bookmarkEnd w:id="39"/>
    <w:bookmarkStart w:id="40" w:name="Xb8f4604463d132a72c3240e1aae869cb587ddd6"/>
    <w:p>
      <w:pPr>
        <w:pStyle w:val="Heading3"/>
      </w:pPr>
      <w:r>
        <w:t xml:space="preserve">3.2.3. The role of deep learning: introducing generative AI as a solution</w:t>
      </w:r>
    </w:p>
    <w:p>
      <w:pPr>
        <w:pStyle w:val="FirstParagraph"/>
      </w:pPr>
      <w:r>
        <w:t xml:space="preserve">Generative AI tools such as ChatGPT hold significant potential in healthcare education and clinical practice. In pharmacy, they could enhance efficiency by assisting with prescription reviews, drug interaction checks, and adverse reaction monitoring, ultimately improving patient care. However, their application in pharmacy education remains under-explored, with limited research on implementation challenges, underscoring the need for further investigation.</w:t>
      </w:r>
    </w:p>
    <w:p>
      <w:pPr>
        <w:pStyle w:val="BodyText"/>
      </w:pPr>
      <w:r>
        <w:t xml:space="preserve">Beyond assisting in clinical tasks, generative AI can also synthesize large datasets to train predictive models, expanding its utility in medical research. Among these AI techniques, GANs stand out as a powerful DL framework composed of two competing neural networks—a generator that creates synthetic data and a discriminator that evaluates its authenticity. Through iterative adversarial training, the generator refines its outputs to produce highly realistic data, enabling applications in medical imaging, super-resolution, and data augmentation. For example, Super-Resolution GAN has demonstrated success in enhancing low-resolution images, proving valuable in medical diagnostics and video surveillance.</w:t>
      </w:r>
    </w:p>
    <w:p>
      <w:pPr>
        <w:pStyle w:val="BodyText"/>
      </w:pPr>
      <w:r>
        <w:t xml:space="preserve">Moving forward, realizing the full potential of Large Language Model (LLM) driven biotechnology will require establishing rigorous performance benchmarks, enhancing model transparency, and fostering deeper collaboration between computational and life science communities. This technological convergence promises to fundamentally reshape research methodologies and industrial processes across the biological sciences.</w:t>
      </w:r>
    </w:p>
    <w:bookmarkEnd w:id="40"/>
    <w:bookmarkStart w:id="41" w:name="Xc5332282c38e716190976f8d4355f2bb2896425"/>
    <w:p>
      <w:pPr>
        <w:pStyle w:val="Heading3"/>
      </w:pPr>
      <w:r>
        <w:t xml:space="preserve">3.2.4. Key models and tools: Variational Auto-encoders (VAEs), Generative Adversarial Networks (GANs), and Transformers</w:t>
      </w:r>
    </w:p>
    <w:p>
      <w:pPr>
        <w:pStyle w:val="FirstParagraph"/>
      </w:pPr>
      <w:r>
        <w:t xml:space="preserve">Recently, generative deep learning (DL) has emerged as a promising development for de novo molecular design, where deep neural networks are employed as generative models. This specific application has attracted considerable attention, with several novel architectures being proposed, that are briefly reviewed next.</w:t>
      </w:r>
    </w:p>
    <w:p>
      <w:pPr>
        <w:pStyle w:val="BodyText"/>
      </w:pPr>
      <w:r>
        <w:rPr>
          <w:b/>
          <w:bCs/>
        </w:rPr>
        <w:t xml:space="preserve">Recurrent Neural Networks (RNNs)</w:t>
      </w:r>
      <w:r>
        <w:t xml:space="preserve"> </w:t>
      </w:r>
      <w:r>
        <w:t xml:space="preserve">assume a sequential structure in the data, one where a sample is composed of a set of steps. This assumption is implemented by processing an input consecutively and introducing a connection carrying the output from previous steps into the current step. However, as the number of steps increases, RNNs can suffer from vanishing or exploding gradients during back propagation, impairing the training process and making the learning of long-term dependencies extremely difficult. In practice, this is handled by using specialized units such as gated recurrent units (GRUs) or Long Short-Term Memory (LSTM) (Hochreiter &amp; Schmidhuber, 1997) which introduce gates, learnable parameters controlling the flow of information through the steps.</w:t>
      </w:r>
    </w:p>
    <w:p>
      <w:pPr>
        <w:pStyle w:val="BodyText"/>
      </w:pPr>
      <w:r>
        <w:rPr>
          <w:b/>
          <w:bCs/>
        </w:rPr>
        <w:t xml:space="preserve">Generative Adversarial Networks (GANs)</w:t>
      </w:r>
      <w:r>
        <w:t xml:space="preserve"> </w:t>
      </w:r>
      <w:r>
        <w:t xml:space="preserve">define a pair of networks, a generator, and a discriminator, trained in competition with each other. The generator is intended to transform random noise into real looking data and is trained to maximize the synthetic samples classified as real by the discriminator. Meanwhile, the discriminator is trained to better discern between generated and real data. The training framework resembles a competition, with both networks constantly improving and adapting to each other.</w:t>
      </w:r>
    </w:p>
    <w:p>
      <w:pPr>
        <w:pStyle w:val="BodyText"/>
      </w:pPr>
      <w:r>
        <w:rPr>
          <w:b/>
          <w:bCs/>
        </w:rPr>
        <w:t xml:space="preserve">Auto-encoders (AEs)</w:t>
      </w:r>
      <w:r>
        <w:t xml:space="preserve"> </w:t>
      </w:r>
      <w:r>
        <w:t xml:space="preserve">are neural networks trained to copy their input into the output with restrictions imposed as to not simply learn the identity function. They are usually thought of as two separate parts, an encoder that transforms the input into a more compact latent state, and a decoder that reconstructs the input from this representation. Both are trained together to minimize the information lost from reconstructing.</w:t>
      </w:r>
    </w:p>
    <w:p>
      <w:pPr>
        <w:pStyle w:val="BodyText"/>
      </w:pPr>
      <w:r>
        <w:rPr>
          <w:b/>
          <w:bCs/>
        </w:rPr>
        <w:t xml:space="preserve">Variational Auto-encoders (VAEs)</w:t>
      </w:r>
      <w:r>
        <w:t xml:space="preserve"> </w:t>
      </w:r>
      <w:r>
        <w:t xml:space="preserve">are a special type of AE, which assume that the data was sampled from an arbitrary statistical distribution. The encoder transforms its input into the parameters of a multidimensional statistical distribution, that is, a set of means and standard deviations. A sampling then occurs, where a point is drawn from the encoded distribution and fed into the decoder that reconstructs it into the original input. The objective function used for training consists of a term penalizing reconstruction errors and a term restricting the parameters encoded to be close to a normal distribution. This stochastic process acts to regularize the network while constraining the encoded parameters close to those of a normal distribution helps in forming a useful latent space (Kingma &amp; Welling, 2014).</w:t>
      </w:r>
    </w:p>
    <w:p>
      <w:pPr>
        <w:pStyle w:val="BodyText"/>
      </w:pPr>
      <w:r>
        <w:rPr>
          <w:b/>
          <w:bCs/>
        </w:rPr>
        <w:t xml:space="preserve">Adversarial Auto-encoders (AAEs)</w:t>
      </w:r>
      <w:r>
        <w:t xml:space="preserve"> </w:t>
      </w:r>
      <w:r>
        <w:t xml:space="preserve">are an alternative to VAEs that employ adversarial training for structuring the latent space. In particular, the encoder transforms its input into a single point in the latent space. A discriminator network then attempts to discern between samples of a prior statistical distribution and encoded points. As such, the encoder can also be viewed as a generator engaged in a competition with the discriminator, ultimately balancing between the reconstruction and adversarial error.</w:t>
      </w:r>
    </w:p>
    <w:p>
      <w:pPr>
        <w:pStyle w:val="BodyText"/>
      </w:pPr>
      <w:r>
        <w:rPr>
          <w:b/>
          <w:bCs/>
        </w:rPr>
        <w:t xml:space="preserve">Generating Molecules:</w:t>
      </w:r>
      <w:r>
        <w:t xml:space="preserve"> </w:t>
      </w:r>
      <w:r>
        <w:t xml:space="preserve">There have been several approaches to applying generative deep learning (DL) to molecular generation, mainly differing on the chosen molecular representation. As such, usually more than one method surfaced for generating each of the main representations discussed in section. Borrowing from the natural language processing field, molecules can be generated as sequences, such as SMILES, by using RNNs. Specifically, when using RNNs as a generative model, each token in the string is encoded as a one-hot vector and the network is trained to predict the next character in the sequence. The generation of new data is achieved by running the network auto-regressively, that is, using its output as the input for the next time-step. This process is usually seeded with a special start token and the generation of a molecule ends when a special stop token is sampled. These two tokens are also respectively prefixed and appended to each molecule during training.</w:t>
      </w:r>
    </w:p>
    <w:p>
      <w:pPr>
        <w:pStyle w:val="BodyText"/>
      </w:pPr>
      <w:r>
        <w:t xml:space="preserve">Several research groups have employed this method with a stacked RNN, usually with Long Short-Term Memory (LSTM) cells, leading to good rates of validity, novelty, and diversity (Gupta et al., 2018; Olivecrona et al., 2017; Segler et al., 2018; van Deursen et al., 2020). More complex architectures such as Variational Auto-encoders (VAEs) and Generative Adversarial Networks (GANs) have also been employed to generate molecules as strings; however, these also employ a RNN for the sequence generation process, either as the decoder or the generator (Gómez-Bombarelli et al., 2018; Guimaraes et al., 2018; Lim et al., 2018). Despite some limitations of sequence-based approaches, such as the need to learn a complex syntax and the mismatch between the edit distance of two SMILES and the underlying molecular similarity, these methods have produced impressive results.</w:t>
      </w:r>
    </w:p>
    <w:bookmarkEnd w:id="41"/>
    <w:bookmarkStart w:id="42" w:name="X294a744ea566d3f54139d41d7a23eac3b06b34b"/>
    <w:p>
      <w:pPr>
        <w:pStyle w:val="Heading3"/>
      </w:pPr>
      <w:r>
        <w:t xml:space="preserve">3.2.5. Impact: drastically accelerating the design of novel and optimized molecules</w:t>
      </w:r>
    </w:p>
    <w:p>
      <w:pPr>
        <w:pStyle w:val="FirstParagraph"/>
      </w:pPr>
      <w:r>
        <w:t xml:space="preserve">AI-based methods are being adopted in the health care industry where low-cost, intelligent, and flexible methods are affecting areas such as drug design, support for clinical decision making, diagnosis, prevention, and making clinical recommendations (Kempt &amp; Nagel, 2022). AI applications were previously thought to be inferior to experimental high-throughput screening, combinatorial chemistry, and other technical drivers. It was difficult to create new chemical entities using computer programs, with desired features from the ground up, potentially even better than a human expert (Schneider, 2021).</w:t>
      </w:r>
    </w:p>
    <w:p>
      <w:pPr>
        <w:pStyle w:val="BodyText"/>
      </w:pPr>
      <w:r>
        <w:t xml:space="preserve">The long and costly process of drug design can be accelerated by employing data science methods for target identification, de novo molecular design, drug repurposing, retrosynthesis and prediction of reactivity and bio-activity, FDA approval, and post-market analysis. AI has been implemented by some pharmaceutical organizations, with revenue from AI-based solutions in the pharmaceutical sector estimated to reach US $2.199 billion by 2022 (Paul et al., 2021). Deep neural networks (DNNs) can be used to boost prediction power when inferring the properties of small molecules, and one-shot learning can be used if a large amount of experimental data is not available.</w:t>
      </w:r>
    </w:p>
    <w:p>
      <w:pPr>
        <w:pStyle w:val="BodyText"/>
      </w:pPr>
      <w:r>
        <w:t xml:space="preserve">Understanding technical and human errors, labeling constraints, and biological variability associated with the underlying data is crucial to create useful predictive models. It is difficult to represent the experimental data in numerical or computer-assisted form. AI is now being utilized to create representations of trials that allow for data categorization and, ultimately, the development of predictive models. Great things happen in minds and are never done alone, AI is delivering only a platform to execute the plans. Researchers need to develop novel hypotheses for drug discovery by employing the knowledge from different domain experts. After that, researchers can design a data analysis algorithm, and then researchers can learn from the data to modulate the hypothesis or modify the algorithms. In short, both mind and machine need to work in synergy.</w:t>
      </w:r>
    </w:p>
    <w:p>
      <w:pPr>
        <w:pStyle w:val="BodyText"/>
      </w:pPr>
      <w:r>
        <w:t xml:space="preserve">Researchers hope that the use of machine learning, especially deep learning, will increase in the future and help us understand complex biological systems, generate particles with the desired properties, and lead to semi-automated smart healthcare systems. Researchers also expect that AI would be a valuable tool in understanding human biology, a catalyst in combating human diseases and will accelerate drug design. In terms of drug discovery, quality, and safety are more important than speed and cost, devising an AI system that can meet this multi-objective optimization in a multi-dimensional complex space is a huge challenge, which needs collaborative efforts from multiple disciplines in academia and industry.</w:t>
      </w:r>
    </w:p>
    <w:bookmarkEnd w:id="42"/>
    <w:bookmarkEnd w:id="43"/>
    <w:bookmarkStart w:id="46" w:name="X3671cb51dc9b044c034b0e7a7f9d2056e503711"/>
    <w:p>
      <w:pPr>
        <w:pStyle w:val="Heading2"/>
      </w:pPr>
      <w:r>
        <w:t xml:space="preserve">3.3. AI in ADMET (Absorption, Distribution, Metabolism, Excretion, Toxicity) profiling</w:t>
      </w:r>
    </w:p>
    <w:bookmarkStart w:id="44" w:name="Xe318865d5afd3f852986d621c6bab1078a49f25"/>
    <w:p>
      <w:pPr>
        <w:pStyle w:val="Heading3"/>
      </w:pPr>
      <w:r>
        <w:t xml:space="preserve">3.3.1. Predicting pharmacokinetics and pharmacodynamics</w:t>
      </w:r>
    </w:p>
    <w:p>
      <w:pPr>
        <w:pStyle w:val="FirstParagraph"/>
      </w:pPr>
      <w:r>
        <w:t xml:space="preserve">The key concepts of pharmacology include pharmacokinetics and pharmacodynamics. While pharmacodynamics focuses on how a drug works in the body and how it affects other systems in the body, pharmacokinetics deals with the study of drug absorption, distribution, metabolism, and elimination (ADME) (Zhavoronkov et al., 2020). The application of AI techniques in pharmacokinetics and pharmacodynamics has created new opportunities to improve drug development and personalized treatments. It can analyze complex datasets, identify trends and make predictions that could improve patient outcomes, improve drug delivery and minimize side effects.</w:t>
      </w:r>
    </w:p>
    <w:p>
      <w:pPr>
        <w:pStyle w:val="BodyText"/>
      </w:pPr>
      <w:r>
        <w:t xml:space="preserve">Machine learning (ML) and deep learning (DL) techniques are widely used to predict pharmacokinetic parameters. Numerous ML techniques—including Bayesian model, random forest (RF), support vector machine (SVM), artificial neural network (ANN), and decision tree—have been used to predict the ADME of drugs. To predict various pharmacokinetic parameters such as drug absorption, bioavailability, clearance, volume of distribution, and half-life, DL algorithms such as Convolutional Neural Networks (CNN), Long Short-Term Memory (LSTM), and recurrent neural network (RNN) are often used. A computational method called quantitative structure-activity relationship (QSAR) uses the chemical structure of a molecule to predict its biological activity.</w:t>
      </w:r>
    </w:p>
    <w:p>
      <w:pPr>
        <w:pStyle w:val="BodyText"/>
      </w:pPr>
      <w:r>
        <w:t xml:space="preserve">With improved training data, a 47th version of admetSAR 2.0 is now available. This program also includes a module called ADMETopt, which is used to optimize lead activity based on expected ADMET attributes (Yang et al., 2019). AI techniques facilitate the modelling of drug-receptor interactions and the prediction of drug efficacy and toxicity in the field of pharmacodynamics. The use of AI in pharmacokinetics and pharmacodynamics can significantly accelerate the drug discovery process and improve precision medicine.</w:t>
      </w:r>
    </w:p>
    <w:p>
      <w:pPr>
        <w:pStyle w:val="BodyText"/>
      </w:pPr>
      <w:r>
        <w:t xml:space="preserve">Obrezanova et al. used conventional ML techniques and multitask convolutional neural networks to calculate time-dependent pharmacokinetic profiles and nine in vivo pharmacokinetic parameters in rats (oral and intravenous administration) based on in vitro measured ADME properties and molecular chemical structures of 3000 different compounds. Ye et al. used transfer learning and multitasked learning to pre-train the model on over 30 million bioactivity data. The model was then used to estimate four human pharmacokinetic parameters: oral bioavailability, plasma protein binding, Volume of Distribution (Vd), and half-life, for 1104 FDA-approved small-molecule drugs. Compared to other traditional ML techniques, their DL model showed the highest performance (although not always by a significant margin) and generalization ability, achieving a mean absolute error (MAE) = 0.31 for oral bioavailability and MAE = 0.17 for volume of distribution (Vd).</w:t>
      </w:r>
    </w:p>
    <w:p>
      <w:pPr>
        <w:pStyle w:val="BodyText"/>
      </w:pPr>
      <w:r>
        <w:t xml:space="preserve">Interestingly, Lou et al. created a model that predicts the bioavailability of monoclonal antibody (mAbs) administered through subcutaneous preparation in humans. A dataset of 45 clinical mAbs—with sequence and structure-based features including isoelectric point, total charge, aggregation propensity, solubility score, surface hydrophobicity spots, positive charge, and negative charge (with a threshold of 70% bioavailability)—were used to build a classification model. The study used a range of traditional Scikit-Learn ML techniques such as Adaptive Boost, Multilayer Perceptron, random forest (RF), and support vector machine (SVM). Among them, the tree approach showed the highest accuracy, reaching 78%.</w:t>
      </w:r>
    </w:p>
    <w:p>
      <w:pPr>
        <w:pStyle w:val="BodyText"/>
      </w:pPr>
      <w:r>
        <w:t xml:space="preserve">Two areas that benefit greatly from the implementation of AI algorithms are drug design and optimization. De novo design, virtual screening, and structure-based drug design are just a few examples of these algorithms. The application of AI to drug development and optimization has a transformative impact on the discipline, enabling the rapid discovery of new therapeutic candidates and the more targeted and effective exploration of chemical space. Using ML, DL, and computer modelling methods, AI models can provide accurate predictions about the properties, interactions, and behaviours of potential drug candidates.</w:t>
      </w:r>
    </w:p>
    <w:bookmarkEnd w:id="44"/>
    <w:bookmarkStart w:id="45" w:name="X66bfc567e992f5083ecb33f4f40256e0fa3cc36"/>
    <w:p>
      <w:pPr>
        <w:pStyle w:val="Heading3"/>
      </w:pPr>
      <w:r>
        <w:t xml:space="preserve">3.3.2. Using multi-task learning to create comprehensive safety profiles</w:t>
      </w:r>
    </w:p>
    <w:p>
      <w:pPr>
        <w:pStyle w:val="FirstParagraph"/>
      </w:pPr>
      <w:r>
        <w:t xml:space="preserve">The stringent safety requirements associated with drug development make it challenging to introduce new drugs to the market. Clinical trials often fail due to unexpected toxicity and post-marketing safety issues, resulting in unnecessary morbidity and mortality. Clinical trials test the safety and effectiveness of a drug before it is approved while pharmacovigilance continually verifies a drug’s safety information during its usage in patients.</w:t>
      </w:r>
    </w:p>
    <w:p>
      <w:pPr>
        <w:pStyle w:val="BodyText"/>
      </w:pPr>
      <w:r>
        <w:t xml:space="preserve">The establishment of pre-market drug safety has been shown to benefit significantly from the use of AI-based approaches, particularly in the area of toxicity assessment. The vast reach of AI helps to predict the side effects, therapeutic targets, and in vivo safety of chemicals before manufacturing. Usually, after designing of the small molecule, the assays are employed to predict off-target toxicity, genotoxicity, organ toxicity, cytotoxicity, and mitochondrial toxicity. The analysis of new types of data, including gene expression and cell imaging data, combined with knowledge of chemical structure, can now be used to predict the effects of in vivo toxicity.</w:t>
      </w:r>
    </w:p>
    <w:p>
      <w:pPr>
        <w:pStyle w:val="BodyText"/>
      </w:pPr>
      <w:r>
        <w:t xml:space="preserve">Various in silico calculation methods have proven useful in calculating the toxicity of drug candidates. These methods, which include target-based predictions and QSARs, evaluate multiple pharmacological properties to predict toxicity. Various drug safety effects—such as skin/eye irritation, tissue-specific toxicity, and 50% lethal drug dose (LD50) values—were modelled using QSAR techniques. In particular, the QSAR model allows for examining the relationship between multiple predictors (e.g., molecular features) and responses (e.g., biological activities such as binding affinity). Early QSAR approaches assessed the chemical properties of drug candidates using multivariate linear regression. Due to their excellent prediction accuracy, robustness, and readability of ensemble techniques such as random forest (RF) and support vector machines (SVMs), they are currently the most popular options. Compared to Naive Bayes, k-Nearest Neighbour (k-NN) and RF algorithms, SVM showed better performance in predicting activity values in the latest QSAR modelling of histone deacetylase (HDAC) inhibitors. In addition, with the help of such QSARs, it is possible to predict activity based on objectives such as toxicity.</w:t>
      </w:r>
    </w:p>
    <w:p>
      <w:pPr>
        <w:pStyle w:val="BodyText"/>
      </w:pPr>
      <w:r>
        <w:t xml:space="preserve">Recently, Minerali et al. created and compared ML algorithms to predict drug-induced liver injury (DILI) using the company’s Assay Central software. To do this, they used data previously collected by research teams at Pfizer and AstraZeneca, as well as data from the FDA. The best Bayesian model based on the DILI problem category from the DILI Rank database produced results with a receiver operating characteristic curve (ROC) of 81%, a sensitivity of 74%, a specificity of 76%, and an accuracy of 75%.</w:t>
      </w:r>
    </w:p>
    <w:p>
      <w:pPr>
        <w:pStyle w:val="BodyText"/>
      </w:pPr>
      <w:r>
        <w:t xml:space="preserve">Williams et al. used ML to predict DILI with the pharmaceutical company, AstraZeneca. They were able to quantify the risk of an association being classified as low, medium, or high with an accuracy of 63%. The model provided an accuracy of 86%, a sensitivity of 87%, a specificity of 85%, a positive predictive value of 92%, and a negative predictive value of 78% for binary (yes/no) DILI prediction.</w:t>
      </w:r>
    </w:p>
    <w:p>
      <w:pPr>
        <w:pStyle w:val="BodyText"/>
      </w:pPr>
      <w:r>
        <w:t xml:space="preserve">In addition to developing in silico models for eye irritation/eye corrosion (EI/EC) using ML techniques and molecular fingerprints, Verma &amp; Matthews combined quantitative structure-toxicity relationship (STR) models by ANN to produce 88% sensitivity and 82% specificity for EI; and 96% sensitivity and 91% specificity for eye corrosion (EC). Manually gathering data for training from X-Mol and ChemIDplus yielded 95% accuracy for EI and 96% for EC.</w:t>
      </w:r>
    </w:p>
    <w:p>
      <w:pPr>
        <w:pStyle w:val="BodyText"/>
      </w:pPr>
      <w:r>
        <w:t xml:space="preserve">Using data on the transcriptional and molecular profiles of over a thousand drugs—35% of which have known cardiotoxicities—Mamoshina et al. employed ML to predict various drug-induced cardiotoxicities. The dataset was selected from a wide range of open-source knowledge and data sources (including DrugBank), with the best predictor achieving an average of 79% for safe vs. risky drug area under the curve (AUC) and 66% for an unknown set of drugs. AUC (80%) indicated specific cardiotoxicity for specific drug classes and AUC (76%) indicated heart failures with potential for anti-neoplastic drugs across all investigated drug categories.</w:t>
      </w:r>
    </w:p>
    <w:p>
      <w:pPr>
        <w:pStyle w:val="BodyText"/>
      </w:pPr>
      <w:r>
        <w:t xml:space="preserve">Webel et al. achieved greater than 70% cytotoxicity prediction accuracy using a DL strategy developed from an internal dataset of more than 34,000 compounds with less than 5% cytotoxic chemicals. When applying this technique to new compounds, care must be taken to carefully consider the scope of the model. However, one of the advantages of this method is the use of cytotoxicity maps that provide the visual meaning of the substructures of different chemicals.</w:t>
      </w:r>
    </w:p>
    <w:p>
      <w:pPr>
        <w:pStyle w:val="BodyText"/>
      </w:pPr>
      <w:r>
        <w:t xml:space="preserve">Hunta et al. developed three ML methods based on SVM, k nearest neighbour (kNNs), and neural networks to predict drug-drug interactions (DDIs) in non-communicable diseases (NCDs). Using data from DrugBank, they combined the functions of transport proteins and enzymes and compared the results of different methods using five-fold cross-validation. This allowed them to determine which two NN layers performed best and predict NCDs based on pharmacokinetic mechanisms with an accuracy of 83% (F-measure 85.23% and AUC 90%).</w:t>
      </w:r>
      <w:r>
        <w:t xml:space="preserve"> </w:t>
      </w:r>
      <w:r>
        <w:t xml:space="preserve"># 4. Real-World Impact, Challenges, and Future Landscape</w:t>
      </w:r>
    </w:p>
    <w:bookmarkEnd w:id="45"/>
    <w:bookmarkEnd w:id="46"/>
    <w:bookmarkStart w:id="57" w:name="X62564da986bd3f2f2fd8c0058e0d56b27b0f216"/>
    <w:p>
      <w:pPr>
        <w:pStyle w:val="Heading2"/>
      </w:pPr>
      <w:r>
        <w:t xml:space="preserve">4.1. Pioneering Platforms and Real-World Case Studies</w:t>
      </w:r>
    </w:p>
    <w:bookmarkStart w:id="49" w:name="X1a2ad9b4908991f2ee83bff5197e80f98a3f670"/>
    <w:p>
      <w:pPr>
        <w:pStyle w:val="Heading3"/>
      </w:pPr>
      <w:r>
        <w:t xml:space="preserve">4.1.1. DeepMind’s AlphaFold: Revolutionizing Structural Biology</w:t>
      </w:r>
    </w:p>
    <w:p>
      <w:pPr>
        <w:pStyle w:val="FirstParagraph"/>
      </w:pPr>
      <w:r>
        <w:t xml:space="preserve">The Pinnacle of Protein Language Modeling. The rise of Transformer models has fundamentally transformed how computers process sequential data, moving from older methods like Recurrent Neural Networks (RNNs) to highly efficient, parallel processing via the self-attention mechanism. This revolution, driven by models like Bidirectional Encoder Representations from Transformers (BERT), generative Pre-training Transformer (GPT), and Text-to-Text Transfer Transformer (T5), has extended powerfully into computational biology, giving rise to Protein Language Models (PLMs) (Zhang et al., 2023).</w:t>
      </w:r>
    </w:p>
    <w:p>
      <w:pPr>
        <w:pStyle w:val="BodyText"/>
      </w:pPr>
      <w:r>
        <w:t xml:space="preserve">PLMs apply the transformer architecture to biological sequences, treating a protein’s amino acids like the</w:t>
      </w:r>
      <w:r>
        <w:t xml:space="preserve"> </w:t>
      </w:r>
      <w:r>
        <w:t xml:space="preserve">“alphabet”</w:t>
      </w:r>
      <w:r>
        <w:t xml:space="preserve"> </w:t>
      </w:r>
      <w:r>
        <w:t xml:space="preserve">of a language. By training on vast protein databases, these models have enabled breakthroughs in function annotation, protein design, and mutation effect prediction, but their most transformative success lies in protein structure prediction.</w:t>
      </w:r>
    </w:p>
    <w:p>
      <w:pPr>
        <w:pStyle w:val="BodyText"/>
      </w:pPr>
      <w:r>
        <w:t xml:space="preserve">AlphaFold2 stands as the definitive example of this progress. It utilizes the transformer architecture to predict a protein’s 3D structure from its amino acid sequence with exceptional speed and accuracy. This capability, achieved by decoding the protein’s</w:t>
      </w:r>
      <w:r>
        <w:t xml:space="preserve"> </w:t>
      </w:r>
      <w:r>
        <w:t xml:space="preserve">“language,”</w:t>
      </w:r>
      <w:r>
        <w:t xml:space="preserve"> </w:t>
      </w:r>
      <w:r>
        <w:t xml:space="preserve">has solved a decades-old grand challenge in biology.</w:t>
      </w:r>
    </w:p>
    <w:p>
      <w:pPr>
        <w:pStyle w:val="BodyText"/>
      </w:pPr>
      <w:r>
        <w:t xml:space="preserve">While researchers use Natural Language Processing (NLP) algorithms to mine scientific literature, patents, and Electronic Health Records (EHRs) for drug candidates and targets (Agarwal &amp; Searls, 2008; Kosonocky et al., 2024), the structural insight provided by AlphaFold2 is a direct, critical input.</w:t>
      </w:r>
    </w:p>
    <w:p>
      <w:pPr>
        <w:pStyle w:val="BodyText"/>
      </w:pPr>
      <w:r>
        <w:t xml:space="preserve">Other benefits of PLMs include the use of pretrained models like Evolutionary Scale Modeling 2 (ESM-2) which, for example, uses 15 billion parameters to predict protein structures (Lin et al., 2023) and ProtGPT2 for transfer learning, as well as leveraging unsupervised learning from databases like UniProt. Models like OmegaFold (Wu et al., 2022) further enhance this by incorporating geometric awareness using 3D structural data.</w:t>
      </w:r>
    </w:p>
    <w:p>
      <w:pPr>
        <w:pStyle w:val="BodyText"/>
      </w:pPr>
      <w:r>
        <w:t xml:space="preserve">Despite AlphaFold2’s groundbreaking success in structure prediction, challenges remain, including high computational costs and the difficulty of interpreting complex AI output (Bepler &amp; Berger, 2021; Ferruz et al., 2022). Nevertheless, its achievement in using the transformer architecture to map sequence to structure highlights the profound potential of AI to accelerate scientific discovery.</w:t>
      </w:r>
    </w:p>
    <w:bookmarkStart w:id="47" w:name="X53138400c7837fb9acd0c73f6b179e326466fb7"/>
    <w:p>
      <w:pPr>
        <w:pStyle w:val="Heading4"/>
      </w:pPr>
      <w:r>
        <w:t xml:space="preserve">4.1.1.1. Its Role in Accurately Predicting 3D Protein Structure</w:t>
      </w:r>
    </w:p>
    <w:p>
      <w:pPr>
        <w:pStyle w:val="FirstParagraph"/>
      </w:pPr>
      <w:r>
        <w:t xml:space="preserve">The groundbreaking AI system AlphaFold2 is celebrated for its ability to predict protein structure with exceptional speed and accuracy. This represents a major scientific advance in understanding the fundamental building blocks of life.</w:t>
      </w:r>
    </w:p>
    <w:p>
      <w:pPr>
        <w:pStyle w:val="BodyText"/>
      </w:pPr>
      <w:r>
        <w:t xml:space="preserve">However, translating this high-accuracy prediction into the complexity of the in vivo (living system) situation remains an open challenge.</w:t>
      </w:r>
    </w:p>
    <w:p>
      <w:pPr>
        <w:pStyle w:val="BodyText"/>
      </w:pPr>
      <w:r>
        <w:t xml:space="preserve">There are specific limitations when applying AlphaFold2 directly to traditional medicinal chemistry:</w:t>
      </w:r>
    </w:p>
    <w:p>
      <w:pPr>
        <w:pStyle w:val="BodyText"/>
      </w:pPr>
      <w:r>
        <w:t xml:space="preserve">Unbound Structures: AlphaFold2 is trained primarily to predict unbound protein structures (proteins alone), whereas most drug discovery efforts require structures of protein-small molecule complexes (AlQuraishi, 2020).</w:t>
      </w:r>
    </w:p>
    <w:bookmarkEnd w:id="47"/>
    <w:bookmarkStart w:id="48" w:name="impact-on-structure-based-drug-design"/>
    <w:p>
      <w:pPr>
        <w:pStyle w:val="Heading4"/>
      </w:pPr>
      <w:r>
        <w:t xml:space="preserve">4.1.1.2. Impact on Structure-Based Drug Design</w:t>
      </w:r>
    </w:p>
    <w:p>
      <w:pPr>
        <w:pStyle w:val="FirstParagraph"/>
      </w:pPr>
      <w:r>
        <w:t xml:space="preserve">Predicting the three-dimensional structures of potential target proteins, solely from their amino acid sequence, is often necessary for drug discovery. AI systems had a major recent success in this, with AlphaFold2 (Jumper et al., 2021) winning the Critical Assessment of Structure Prediction (CASP14) (Moult et al., 2014). This structural biology advance is projected to fundamentally transform personalized medicine and drug discovery. AlphaFold represents a pivotal leap forward in leveraging Artificial Intelligence (AI) within structural biology and the broader life sciences (Nussinov et al., 2022). AlphaFold predicts protein structures with remarkable accuracy. This effectively tackles a persistent challenge in biology, as having precise protein structure predictions is vital for both understanding how diseases work and finding promising drug targets (Jumper et al., 2021).</w:t>
      </w:r>
    </w:p>
    <w:bookmarkEnd w:id="48"/>
    <w:bookmarkEnd w:id="49"/>
    <w:bookmarkStart w:id="52" w:name="X69537995c9858756c83b56872d29b75e7e19aa4"/>
    <w:p>
      <w:pPr>
        <w:pStyle w:val="Heading3"/>
      </w:pPr>
      <w:r>
        <w:t xml:space="preserve">4.1.2. End-to-End Generative AI Platforms: Insilico Medicine</w:t>
      </w:r>
    </w:p>
    <w:bookmarkStart w:id="50" w:name="Xc1bb920a43c6960abc6e5cdd77e15bf3a5dd4f7"/>
    <w:p>
      <w:pPr>
        <w:pStyle w:val="Heading4"/>
      </w:pPr>
      <w:r>
        <w:t xml:space="preserve">4.1.2.1. Overview Of Their Pharma.AI Platform (Pandaomics For Target Identification, Chemistry42 For De Novo Molecule Generation)</w:t>
      </w:r>
    </w:p>
    <w:p>
      <w:pPr>
        <w:pStyle w:val="FirstParagraph"/>
      </w:pPr>
      <w:r>
        <w:t xml:space="preserve">The AI drug discovery journey began with Insilico Medicine, which published one of the first methods using a deep learning approach to discover new targets (Wang et al., 2017; West et al., 2018).</w:t>
      </w:r>
    </w:p>
    <w:p>
      <w:pPr>
        <w:pStyle w:val="BodyText"/>
      </w:pPr>
      <w:r>
        <w:t xml:space="preserve">This has since evolved into combining classical bioinformatics with advanced AI for disease mechanism reconstruction and target identification (Pun et al., 2023).</w:t>
      </w:r>
    </w:p>
    <w:p>
      <w:pPr>
        <w:pStyle w:val="BodyText"/>
      </w:pPr>
      <w:r>
        <w:t xml:space="preserve">A key recent advance is the use of tools like AlphaFold to explore targets previously inaccessible for small molecule development. The resulting de novo design of active molecules for these difficult targets has been validated in both in vitro and in vivo assays (Ren et al., 2023; Zhu et al., 2023).</w:t>
      </w:r>
    </w:p>
    <w:p>
      <w:pPr>
        <w:pStyle w:val="BodyText"/>
      </w:pPr>
      <w:r>
        <w:rPr>
          <w:b/>
          <w:bCs/>
        </w:rPr>
        <w:t xml:space="preserve">The PandaOmics platform</w:t>
      </w:r>
      <w:r>
        <w:t xml:space="preserve"> </w:t>
      </w:r>
      <w:r>
        <w:t xml:space="preserve">leverages these and other rapid developments in computer-aided drug discovery, specifically incorporating large language models and robotics to accelerate the process (Schneider, 2018; Urban et al., 2023).</w:t>
      </w:r>
      <w:r>
        <w:t xml:space="preserve"> </w:t>
      </w:r>
      <w:r>
        <w:rPr>
          <w:b/>
          <w:bCs/>
        </w:rPr>
        <w:t xml:space="preserve">The PandaOmics platform</w:t>
      </w:r>
      <w:r>
        <w:t xml:space="preserve"> </w:t>
      </w:r>
      <w:r>
        <w:t xml:space="preserve">is a sophisticated, AI-driven engine designed for Therapeutic Target Identification. Its core feature is a user-friendly meta-analysis dashboard that produces a highly refined, ranked list of potential target genes.</w:t>
      </w:r>
    </w:p>
    <w:p>
      <w:pPr>
        <w:pStyle w:val="BodyText"/>
      </w:pPr>
      <w:r>
        <w:t xml:space="preserve">This robust ranking is achieved by utilizing 23 distinct disease-specific models, which fall into two primary, complementary categories:</w:t>
      </w:r>
    </w:p>
    <w:p>
      <w:pPr>
        <w:pStyle w:val="Compact"/>
        <w:numPr>
          <w:ilvl w:val="0"/>
          <w:numId w:val="1001"/>
        </w:numPr>
      </w:pPr>
      <w:r>
        <w:rPr>
          <w:b/>
          <w:bCs/>
        </w:rPr>
        <w:t xml:space="preserve">Omics-Based Models (Data-Driven Insight):</w:t>
      </w:r>
      <w:r>
        <w:t xml:space="preserve"> </w:t>
      </w:r>
      <w:r>
        <w:t xml:space="preserve">These techniques integrate comprehensive data from the meta-analysis, including gene expression, methylation, proteomics, and genetic information. They are further enriched by network analysis using biological graphs from Protein-Protein Interaction (PPI) and signaling databases and knowledge graphs derived from scientific literature.</w:t>
      </w:r>
    </w:p>
    <w:p>
      <w:pPr>
        <w:pStyle w:val="Compact"/>
        <w:numPr>
          <w:ilvl w:val="1"/>
          <w:numId w:val="1002"/>
        </w:numPr>
      </w:pPr>
      <w:r>
        <w:rPr>
          <w:b/>
          <w:bCs/>
        </w:rPr>
        <w:t xml:space="preserve">Simpler Approaches</w:t>
      </w:r>
      <w:r>
        <w:t xml:space="preserve">: These include standard bioinformatic approaches like the expression score, which provides a foundational assessment of gene significance based on differential expression in disease versus control samples in relevant tissues.</w:t>
      </w:r>
    </w:p>
    <w:p>
      <w:pPr>
        <w:pStyle w:val="Compact"/>
        <w:numPr>
          <w:ilvl w:val="1"/>
          <w:numId w:val="1002"/>
        </w:numPr>
      </w:pPr>
      <w:r>
        <w:rPr>
          <w:b/>
          <w:bCs/>
        </w:rPr>
        <w:t xml:space="preserve">Advanced Techniques:</w:t>
      </w:r>
      <w:r>
        <w:t xml:space="preserve"> </w:t>
      </w:r>
      <w:r>
        <w:t xml:space="preserve">This group employs complex machine learning, such as the heterogeneous graph walk algorithm. This algorithm performs a guided random walk on a graph where nodes represent genes and diseases. By learning the relationships between these nodes, the model identifies gene nodes with the closest association to the reference disease, enabling the discovery of new targets.</w:t>
      </w:r>
    </w:p>
    <w:p>
      <w:pPr>
        <w:pStyle w:val="Compact"/>
        <w:numPr>
          <w:ilvl w:val="0"/>
          <w:numId w:val="1001"/>
        </w:numPr>
      </w:pPr>
      <w:r>
        <w:rPr>
          <w:b/>
          <w:bCs/>
        </w:rPr>
        <w:t xml:space="preserve">Text-Based Models (Literature &amp; Trend Analysis):</w:t>
      </w:r>
      <w:r>
        <w:t xml:space="preserve"> </w:t>
      </w:r>
      <w:r>
        <w:t xml:space="preserve">These models assess potential targets based on information extracted from textual sources, including publications, clinical trials, and grant applications. Crucially, they factor in the credibility of the source and current scientific trends to gauge the target’s industry relevance and novelty.</w:t>
      </w:r>
    </w:p>
    <w:p>
      <w:pPr>
        <w:pStyle w:val="FirstParagraph"/>
      </w:pPr>
      <w:r>
        <w:t xml:space="preserve">In essence, PandaOmics synthesizes evidence from both high-dimensional biological data (Omics) and global scientific literature (Text) to deliver a holistic and prioritized set of therapeutic hypotheses (Pun et al., 2022).</w:t>
      </w:r>
    </w:p>
    <w:p>
      <w:pPr>
        <w:pStyle w:val="BodyText"/>
      </w:pPr>
      <w:r>
        <w:rPr>
          <w:b/>
          <w:bCs/>
        </w:rPr>
        <w:t xml:space="preserve">AI Capabilities and Validation of the PandaOmics Platform</w:t>
      </w:r>
    </w:p>
    <w:p>
      <w:pPr>
        <w:pStyle w:val="BodyText"/>
      </w:pPr>
      <w:r>
        <w:t xml:space="preserve">The PandaOmics platform offers a comprehensive set of AI capabilities for discovering therapeutic targets and developing biomarkers. The platform achieves this by utilizing dynamic omics data and advanced algorithms to power data exploration, pathway analysis, and meta-analysis, ultimately deepening the insights gained from datasets.</w:t>
      </w:r>
    </w:p>
    <w:p>
      <w:pPr>
        <w:pStyle w:val="BodyText"/>
      </w:pPr>
      <w:r>
        <w:t xml:space="preserve">PandaOmics provides a highly user-friendly interface that includes customizable ranking approaches and filters, enabling researchers to precisely refine their gene lists based on various criteria. The platform’s utility is further extended through integration with a robotic lab, which boosts the efficiency and accuracy of validating targets and screening compounds. By harmonizing diverse data sources and employing advanced language models, PandaOmics equips researchers to make better, more informed decisions in their pursuit of novel therapeutics and biomarkers.</w:t>
      </w:r>
    </w:p>
    <w:p>
      <w:pPr>
        <w:pStyle w:val="BodyText"/>
      </w:pPr>
      <w:r>
        <w:rPr>
          <w:b/>
          <w:bCs/>
        </w:rPr>
        <w:t xml:space="preserve">Predictive Model Validation</w:t>
      </w:r>
    </w:p>
    <w:p>
      <w:pPr>
        <w:pStyle w:val="BodyText"/>
      </w:pPr>
      <w:r>
        <w:t xml:space="preserve">The PandaOmics target discovery engine has undergone rigorous validation to confirm its effectiveness in identifying novel targets. Two core metrics were used to measure the performance of its predictive models.</w:t>
      </w:r>
    </w:p>
    <w:p>
      <w:pPr>
        <w:numPr>
          <w:ilvl w:val="0"/>
          <w:numId w:val="1003"/>
        </w:numPr>
      </w:pPr>
      <w:r>
        <w:rPr>
          <w:b/>
          <w:bCs/>
        </w:rPr>
        <w:t xml:space="preserve">Enrichment Log Fold Change (ELFC):</w:t>
      </w:r>
      <w:r>
        <w:t xml:space="preserve"> </w:t>
      </w:r>
      <w:r>
        <w:t xml:space="preserve">This metric represents the log-transformed fold change of enrichment. It quantifies the degree to which the top-ranked genes in a list are enriched with known targets.</w:t>
      </w:r>
    </w:p>
    <w:p>
      <w:pPr>
        <w:numPr>
          <w:ilvl w:val="0"/>
          <w:numId w:val="1003"/>
        </w:numPr>
      </w:pPr>
      <w:r>
        <w:rPr>
          <w:b/>
          <w:bCs/>
        </w:rPr>
        <w:t xml:space="preserve">Hypergeometric P-Value (HGPV):</w:t>
      </w:r>
      <w:r>
        <w:t xml:space="preserve"> </w:t>
      </w:r>
      <w:r>
        <w:t xml:space="preserve">This metric measures the statistical significance of the enrichment effect. It indicates the likelihood of achieving the same level of enrichment if the genes were listed randomly.</w:t>
      </w:r>
    </w:p>
    <w:p>
      <w:pPr>
        <w:pStyle w:val="FirstParagraph"/>
      </w:pPr>
      <w:r>
        <w:t xml:space="preserve">For a ranking approach to demonstrate higher predictive power, it must achieve higher values for both ELFC and HGPV. All models within PandaOmics have been thoroughly validated using these ELFC and HGPV coordinates, both generally and across specific therapeutic areas (Pun et al., 2022).</w:t>
      </w:r>
    </w:p>
    <w:p>
      <w:pPr>
        <w:pStyle w:val="BodyText"/>
      </w:pPr>
      <w:r>
        <w:rPr>
          <w:b/>
          <w:bCs/>
        </w:rPr>
        <w:t xml:space="preserve">Chemistry42: The AI-Driven Platform for De Novo Molecular Design</w:t>
      </w:r>
    </w:p>
    <w:p>
      <w:pPr>
        <w:pStyle w:val="BodyText"/>
      </w:pPr>
      <w:r>
        <w:t xml:space="preserve">Chemistry42, a platform that has evolved significantly over the past years (Zhavoronkov, 2022), is now routinely and successfully employed at Insilico Medicine, serving as the engine to drive the drug discovery process across several therapeutic areas.</w:t>
      </w:r>
    </w:p>
    <w:p>
      <w:pPr>
        <w:pStyle w:val="BodyText"/>
      </w:pPr>
      <w:r>
        <w:rPr>
          <w:b/>
          <w:bCs/>
        </w:rPr>
        <w:t xml:space="preserve">Designing Generative Experiments</w:t>
      </w:r>
    </w:p>
    <w:p>
      <w:pPr>
        <w:pStyle w:val="BodyText"/>
      </w:pPr>
      <w:r>
        <w:t xml:space="preserve">Users initiate the design of novel molecules through Chemistry42’s user-friendly web-based interface. Experiments can be configured using either Ligand-Based Drug Design (LBDD) or Structure-Based Drug Design (SBDD), depending on the available information for the target of interest.</w:t>
      </w:r>
    </w:p>
    <w:p>
      <w:pPr>
        <w:pStyle w:val="BodyText"/>
      </w:pPr>
      <w:r>
        <w:t xml:space="preserve">LBDD requires a 2D or 3D ligand structure as input (via .sdf file, Simplified Molecular Input Line Entry System (SMILES) string, or sketched directly). A pharmacophore hypothesis can also be manually or automatically added.</w:t>
      </w:r>
    </w:p>
    <w:p>
      <w:pPr>
        <w:pStyle w:val="BodyText"/>
      </w:pPr>
      <w:r>
        <w:t xml:space="preserve">SBDD requires the upload of a prepared protein target structure (.pdb file), which can be in the apo format or already complexed with a ligand. Users can either define the pocket around a known ligand or select a site identified by the Pocket Scanner Module. A pharmacophore hypothesis can also be included.</w:t>
      </w:r>
    </w:p>
    <w:p>
      <w:pPr>
        <w:pStyle w:val="BodyText"/>
      </w:pPr>
      <w:r>
        <w:t xml:space="preserve">To complete the experiment setup, users define acceptable ranges for numerous properties (like physicochemical properties and diversity), prioritize the reward modules by adjusting their weights, and set corresponding thresholds to control how restrictive the modules are. Advanced options in both workflows allow for fine-tuning the reward modules and selecting specific generative models. For quick configuration, the Autoconfiguration feature adjusts all parameters automatically based on the input data (Naumov et al., 2023).</w:t>
      </w:r>
    </w:p>
    <w:p>
      <w:pPr>
        <w:pStyle w:val="BodyText"/>
      </w:pPr>
      <w:r>
        <w:rPr>
          <w:b/>
          <w:bCs/>
        </w:rPr>
        <w:t xml:space="preserve">Enhancing Workflows with Anchor Points</w:t>
      </w:r>
    </w:p>
    <w:p>
      <w:pPr>
        <w:pStyle w:val="BodyText"/>
      </w:pPr>
      <w:r>
        <w:t xml:space="preserve">Workflows such as hit expansion, hit-optimization, and Fragment-Based Drug Design (FBDD) are supported through the Anchor points functionality. Anchor points allow users to fix specified cores or R-groups of a hit molecule in 3D space while the generative experiment varies the rest of the structure. This feature also supports multiple reference substructures by allowing users to edit atom types to include alternatives (e.g., specifying whether to see nitrogen or carbon in an aromatic ring using SMILES Arbitrary Target Specification (SMARTS)) (Naumov et al., 2023).</w:t>
      </w:r>
    </w:p>
    <w:p>
      <w:pPr>
        <w:pStyle w:val="BodyText"/>
      </w:pPr>
      <w:r>
        <w:rPr>
          <w:b/>
          <w:bCs/>
        </w:rPr>
        <w:t xml:space="preserve">The Power of Ensemble AI</w:t>
      </w:r>
    </w:p>
    <w:p>
      <w:pPr>
        <w:pStyle w:val="BodyText"/>
      </w:pPr>
      <w:r>
        <w:t xml:space="preserve">The platform’s generative pipeline employs an asynchronous ensemble of proprietary generative models. This carefully curated collection includes over 40 generative models with diverse architectures—including generative autoencoders (Polykovskiy et al., 2018; Zhavoronkov et al., 2019), generative adversarial networks (Kadurin et al., 2017; Putin et al., 2018), flow-based approaches (Kuznetsov &amp; Polykovskiy, 2021), evolutionary algorithms (Devi et al., 2015), and language models (Segler et al., 2018).</w:t>
      </w:r>
    </w:p>
    <w:p>
      <w:pPr>
        <w:pStyle w:val="BodyText"/>
      </w:pPr>
      <w:r>
        <w:t xml:space="preserve">These models utilize different molecular representations (string-based, graph-based, and 3D-based) and are deployed strategically to maximize the platform’s efficiency. By facilitating the interplay of these diverse models, Chemistry42 can deliver diverse, high-quality molecular structures within hours. The generated structures are then dynamically assessed using the platform’s integrated reward and scoring modules. The system emphasizes providing deep domain-specific analytics to ensure users understand the strengths and weaknesses of each AI approach, rather than treating them as black-box solutions.</w:t>
      </w:r>
    </w:p>
    <w:tbl>
      <w:tblPr>
        <w:tblStyle w:val="FigureTable"/>
        <w:tblW w:type="auto" w:w="0"/>
        <w:jc w:val="center"/>
        <w:tblLook w:firstRow="0" w:lastRow="0" w:firstColumn="0" w:lastColumn="0"/>
      </w:tblPr>
      <w:tblGrid>
        <w:gridCol w:w="7920"/>
      </w:tblGrid>
      <w:tr>
        <w:tc>
          <w:tcPr/>
          <w:p>
            <w:pPr>
              <w:pStyle w:val="Compact"/>
              <w:jc w:val="center"/>
            </w:pPr>
            <w:r>
              <w:t xml:space="preserve">Figure 1</w:t>
            </w:r>
          </w:p>
        </w:tc>
      </w:tr>
    </w:tbl>
    <w:p>
      <w:pPr>
        <w:pStyle w:val="ImageCaption"/>
      </w:pPr>
      <w:r>
        <w:t xml:space="preserve">Figure 1</w:t>
      </w:r>
    </w:p>
    <w:p>
      <w:pPr>
        <w:pStyle w:val="BodyText"/>
      </w:pPr>
      <w:r>
        <w:rPr>
          <w:b/>
          <w:bCs/>
        </w:rPr>
        <w:t xml:space="preserve">Figure 1.</w:t>
      </w:r>
      <w:r>
        <w:t xml:space="preserve"> </w:t>
      </w:r>
      <w:r>
        <w:t xml:space="preserve">A schematic representation of the three-step workflow for a de novo generative experiment using the Chemistry42 platform. In the first step, on a secure and company-specific instance of the software, users upload their data and configure the platform with the desired properties for the generated structures. The second step involves running the platform where an ensemble of 40+ generative models functions in parallel to generate the novel structures—this step is called the generation phase. A variety of filters scrutinize the generated molecular structures in the generation phase. The molecular structures are then subjected to multiple sets of reward and scoring modules, classified as either 2D or 3D modules, that dynamically assess the generated structures’ properties according to the predefined criteria. Additional custom scoring modules (such as ADME predictors) can also be integrated into the reward pipeline to prioritize the generated structures. These modules form the backbone of Chemistry42’s multiagent reinforcement learning (RL)-based generation protocol. Generated structures’ scores are fed back to the generative models to reinforce them and guide the generative process toward high-scoring structures—this is called the learning phase. The final step is analysis. The generated structures are automatically ranked according to customizable metrics based on their predicted properties, including synthetic accessibility, novelty, diversity, etc. The platform also provides users with interactive tools to monitor generative model performance.</w:t>
      </w:r>
    </w:p>
    <w:p>
      <w:pPr>
        <w:pStyle w:val="BodyText"/>
      </w:pPr>
      <w:r>
        <w:rPr>
          <w:b/>
          <w:bCs/>
        </w:rPr>
        <w:t xml:space="preserve">Figure 1 key words:</w:t>
      </w:r>
      <w:r>
        <w:t xml:space="preserve"> </w:t>
      </w:r>
      <w:r>
        <w:t xml:space="preserve">Medicinal Chemistry Evolution 2018 (MCE-18), Molecular Complexity Features (MCFs), Rule of 5 Lipinski’s Rule of Five (RO5), Therapeutic Indexes (T indexes), Physicochemical Profile (PC profile), Synthetic Accessibility / Real Reaction Space Accessibility score (SA/ReRSA score), Self-Organizing Map (SOM), Hierarchical Agglomerative Merging Base (HAM Base), Describing the main, usually larger, SOM from which smaller, more detailed maps are derived (Parent SOM), describing a feature of SOM analysis (ZOOM maps).</w:t>
      </w:r>
    </w:p>
    <w:tbl>
      <w:tblPr>
        <w:tblStyle w:val="FigureTable"/>
        <w:tblW w:type="auto" w:w="0"/>
        <w:jc w:val="center"/>
        <w:tblLook w:firstRow="0" w:lastRow="0" w:firstColumn="0" w:lastColumn="0"/>
      </w:tblPr>
      <w:tblGrid>
        <w:gridCol w:w="7920"/>
      </w:tblGrid>
      <w:tr>
        <w:tc>
          <w:tcPr/>
          <w:p>
            <w:pPr>
              <w:pStyle w:val="Compact"/>
              <w:jc w:val="center"/>
            </w:pPr>
            <w:r>
              <w:t xml:space="preserve">Figure 2</w:t>
            </w:r>
          </w:p>
        </w:tc>
      </w:tr>
    </w:tbl>
    <w:p>
      <w:pPr>
        <w:pStyle w:val="ImageCaption"/>
      </w:pPr>
      <w:r>
        <w:t xml:space="preserve">Figure 2</w:t>
      </w:r>
    </w:p>
    <w:p>
      <w:pPr>
        <w:pStyle w:val="BodyText"/>
      </w:pPr>
      <w:r>
        <w:rPr>
          <w:b/>
          <w:bCs/>
        </w:rPr>
        <w:t xml:space="preserve">Figure 2.</w:t>
      </w:r>
      <w:r>
        <w:t xml:space="preserve"> </w:t>
      </w:r>
      <w:r>
        <w:t xml:space="preserve">Chemistry42 interface for configuring an SBDD generative experiment.</w:t>
      </w:r>
    </w:p>
    <w:bookmarkEnd w:id="50"/>
    <w:bookmarkStart w:id="51" w:name="X9aae124208f7d3dc93444020c0a337b41168372"/>
    <w:p>
      <w:pPr>
        <w:pStyle w:val="Heading4"/>
      </w:pPr>
      <w:r>
        <w:t xml:space="preserve">4.1.2.2. Case Study: Accelerated Target Discovery and Validation in HCC</w:t>
      </w:r>
    </w:p>
    <w:p>
      <w:pPr>
        <w:pStyle w:val="FirstParagraph"/>
      </w:pPr>
      <w:r>
        <w:t xml:space="preserve">This case study demonstrates the power of integrating the PandaOmics and Chemistry42 AI platforms with protein structures predicted by AlphaFold to efficiently identify and validate a novel therapeutic target for Hepatocellular Carcinoma (HCC), a challenging cancer with limited treatments.</w:t>
      </w:r>
    </w:p>
    <w:p>
      <w:pPr>
        <w:pStyle w:val="BodyText"/>
      </w:pPr>
      <w:r>
        <w:rPr>
          <w:b/>
          <w:bCs/>
        </w:rPr>
        <w:t xml:space="preserve">Target Identification with PandaOmics</w:t>
      </w:r>
    </w:p>
    <w:p>
      <w:pPr>
        <w:pStyle w:val="BodyText"/>
      </w:pPr>
      <w:r>
        <w:t xml:space="preserve">The process began with PandaOmics conducting a systematic search for HCC-relevant datasets, compiling a tailored data inventory. The platform performed data analysis and filtering based on both text and omics data from multiple sources, aggregating case-versus-control comparisons in a meta-analysis to generate a ranked list of potential targets.</w:t>
      </w:r>
    </w:p>
    <w:p>
      <w:pPr>
        <w:pStyle w:val="BodyText"/>
      </w:pPr>
      <w:r>
        <w:t xml:space="preserve">The platform applied a</w:t>
      </w:r>
      <w:r>
        <w:t xml:space="preserve"> </w:t>
      </w:r>
      <w:r>
        <w:t xml:space="preserve">“first-in-class”</w:t>
      </w:r>
      <w:r>
        <w:t xml:space="preserve"> </w:t>
      </w:r>
      <w:r>
        <w:t xml:space="preserve">scenario for target identification, prioritizing proteins based on several strict criteria:</w:t>
      </w:r>
      <w:r>
        <w:t xml:space="preserve"> </w:t>
      </w:r>
      <w:r>
        <w:t xml:space="preserve">- Strong disease association and limited experimental structure information.</w:t>
      </w:r>
      <w:r>
        <w:t xml:space="preserve"> </w:t>
      </w:r>
      <w:r>
        <w:t xml:space="preserve">- Druggability by small molecules.</w:t>
      </w:r>
      <w:r>
        <w:t xml:space="preserve"> </w:t>
      </w:r>
      <w:r>
        <w:t xml:space="preserve">- Novelty (exclusion of targets in Phase 1 or later clinical trials in the past three years).</w:t>
      </w:r>
      <w:r>
        <w:t xml:space="preserve"> </w:t>
      </w:r>
      <w:r>
        <w:t xml:space="preserve">- Exclusion of targets of approved drugs.</w:t>
      </w:r>
      <w:r>
        <w:t xml:space="preserve"> </w:t>
      </w:r>
      <w:r>
        <w:t xml:space="preserve">- Exclusion of targets with previously resolved crystal structures.</w:t>
      </w:r>
    </w:p>
    <w:p>
      <w:pPr>
        <w:pStyle w:val="BodyText"/>
      </w:pPr>
      <w:r>
        <w:t xml:space="preserve">Based on this analysis, Cyclin-dependent kinase 20 (CDK20) was selected as the initial target due to its high disease association and scarcity of experimental structural data (Ren et al., 2023).</w:t>
      </w:r>
    </w:p>
    <w:p>
      <w:pPr>
        <w:pStyle w:val="BodyText"/>
      </w:pPr>
      <w:r>
        <w:rPr>
          <w:b/>
          <w:bCs/>
        </w:rPr>
        <w:t xml:space="preserve">Molecular Generation and Validation with AlphaFold and Chemistry42</w:t>
      </w:r>
    </w:p>
    <w:p>
      <w:pPr>
        <w:pStyle w:val="BodyText"/>
      </w:pPr>
      <w:r>
        <w:t xml:space="preserve">With the target selected, the process moved to the molecular design stage:</w:t>
      </w:r>
    </w:p>
    <w:p>
      <w:pPr>
        <w:pStyle w:val="BodyText"/>
      </w:pPr>
      <w:r>
        <w:rPr>
          <w:b/>
          <w:bCs/>
        </w:rPr>
        <w:t xml:space="preserve">Structure Preparation</w:t>
      </w:r>
      <w:r>
        <w:t xml:space="preserve">: The lack of an experimental structure for CDK20 was overcome by using the protein structure predicted by AlphaFold.</w:t>
      </w:r>
    </w:p>
    <w:p>
      <w:pPr>
        <w:pStyle w:val="BodyText"/>
      </w:pPr>
      <w:r>
        <w:rPr>
          <w:b/>
          <w:bCs/>
        </w:rPr>
        <w:t xml:space="preserve">Initial Generation &amp; Validation</w:t>
      </w:r>
      <w:r>
        <w:t xml:space="preserve">: Using the predicted CDK20 structure, the Chemistry42 platform employed a structure-based compound generation approach to create a library of molecules. From this library, only seven compounds were synthesized and tested in biological assays. This rapidly yielded an initial hit compound, ISM042-2-001, which demonstrated target engagement with a binding constant (Kd) value of 9.2 ± 0.5 µM (n=3) in the CDK20 kinase binding assay. This proof of concept was achieved in just 30 days from target selection (Ren et al., 2023).</w:t>
      </w:r>
    </w:p>
    <w:p>
      <w:pPr>
        <w:pStyle w:val="BodyText"/>
      </w:pPr>
      <w:r>
        <w:rPr>
          <w:b/>
          <w:bCs/>
        </w:rPr>
        <w:t xml:space="preserve">Optimization</w:t>
      </w:r>
      <w:r>
        <w:t xml:space="preserve">: A second round of AI-powered compound generation was performed to optimize the initial hit. This led to the discovery of a more potent hit molecule, ISM042-2-048, after the synthesis and testing of six additional compounds. This molecule showed an average Kd value of 566.7 ± 256.2 nM (n=3) and an average IC₅₀ value of 33.4 ± 22.6 nM (n=3) in binding and inhibitory assays against CDK20. Significantly, ISM042-2-048 also exhibited selective antiproliferation activity in an HCC cell line where CDK20 was overexpressed, confirming its therapeutic potential (Ren et al., 2023).</w:t>
      </w:r>
    </w:p>
    <w:p>
      <w:pPr>
        <w:pStyle w:val="BodyText"/>
      </w:pPr>
      <w:r>
        <w:rPr>
          <w:b/>
          <w:bCs/>
        </w:rPr>
        <w:t xml:space="preserve">Conclusion</w:t>
      </w:r>
    </w:p>
    <w:p>
      <w:pPr>
        <w:pStyle w:val="BodyText"/>
      </w:pPr>
      <w:r>
        <w:t xml:space="preserve">This success story highlights the transformative capability of integrating diverse AI tools in early-stage drug discovery. By leveraging PandaOmics’ comprehensive data analysis, AlphaFold’s structural predictions, and Chemistry42’s molecular generation power, a novel target for HCC was swiftly identified, novel small molecules were generated, and their biological activity was validated. This integration offers a paradigm for efficient and effective drug development.</w:t>
      </w:r>
    </w:p>
    <w:bookmarkEnd w:id="51"/>
    <w:bookmarkEnd w:id="52"/>
    <w:bookmarkStart w:id="56" w:name="X4e40ff638180921889619de6381f7ec44c9d862"/>
    <w:p>
      <w:pPr>
        <w:pStyle w:val="Heading3"/>
      </w:pPr>
      <w:r>
        <w:t xml:space="preserve">4.1.3. Other Notable AI Platforms in the Industry</w:t>
      </w:r>
    </w:p>
    <w:bookmarkStart w:id="53" w:name="Xe12908c40e1a5c7c3058425b22130130c3343d3"/>
    <w:p>
      <w:pPr>
        <w:pStyle w:val="Heading4"/>
      </w:pPr>
      <w:r>
        <w:t xml:space="preserve">4.1.3.1. Atomwise: Pioneering AI-Powered Virtual Screening For Drug Discovery</w:t>
      </w:r>
    </w:p>
    <w:p>
      <w:pPr>
        <w:pStyle w:val="FirstParagraph"/>
      </w:pPr>
      <w:r>
        <w:t xml:space="preserve">Atomwise is a leading company that is revolutionizing early-stage drug discovery by leveraging Deep Learning (DL) models for highly efficient virtual screening (Khan et al., 2024). The company’s technology significantly accelerates the drug discovery pipeline by providing rapid and precise predictions of molecular interactions (Wallach et al., 2015). The heart of Atomwise’s approach is AtomNet, a proprietary model that utilizes Convolutional Neural Networks (CNNs)—the same technology used in image recognition—to predict the crucial metric of binding affinity. By training these CNNs on 3D molecular structures, the Atomwise platform can accurately predict the complex interactions between small molecules and target proteins (Gaul &amp; Cuesta-Lopez, 2024).</w:t>
      </w:r>
    </w:p>
    <w:p>
      <w:pPr>
        <w:pStyle w:val="BodyText"/>
      </w:pPr>
      <w:r>
        <w:t xml:space="preserve">This AI-driven virtual screening methodology enables the rapid analysis and screening of millions of compounds against a target, dramatically speeding up the identification of new inhibitors and potential drug candidates (Gaul &amp; Cuesta-Lopez, 2024).</w:t>
      </w:r>
    </w:p>
    <w:p>
      <w:pPr>
        <w:pStyle w:val="BodyText"/>
      </w:pPr>
      <w:r>
        <w:t xml:space="preserve">Atomwise’s technology has already proven instrumental, having successfully identified promising compounds for treating a variety of serious conditions, including Ebola and multiple sclerosis (Gaul &amp; Cuesta-Lopez, 2024).</w:t>
      </w:r>
    </w:p>
    <w:bookmarkEnd w:id="53"/>
    <w:bookmarkStart w:id="54" w:name="X994bb6d7e7b4cdc9e8b1e8b15fb5810ba9d67ed"/>
    <w:p>
      <w:pPr>
        <w:pStyle w:val="Heading4"/>
      </w:pPr>
      <w:r>
        <w:t xml:space="preserve">4.1.3.2. BenevolentAI: Driving Early Drug Discovery With Deep Data Analysis</w:t>
      </w:r>
    </w:p>
    <w:p>
      <w:pPr>
        <w:pStyle w:val="FirstParagraph"/>
      </w:pPr>
      <w:r>
        <w:t xml:space="preserve">BenevolentAI (Sellwood et al., 2018) is an AI-driven platform at the forefront of revolutionizing the early stages of drug discovery. In contrast to approaches like Atomwise (Keshavarzi Arshadi et al., 2020) which focus on high-throughput virtual screening of compound libraries against a specific target, BenevolentAI primarily leverages advanced Deep Learning (DL) and Machine Learning (ML) techniques to achieve a deeper, mechanistic understanding of disease biology and to identify novel therapeutic targets.</w:t>
      </w:r>
    </w:p>
    <w:p>
      <w:pPr>
        <w:pStyle w:val="BodyText"/>
      </w:pPr>
      <w:r>
        <w:rPr>
          <w:b/>
          <w:bCs/>
        </w:rPr>
        <w:t xml:space="preserve">Core Capabilities</w:t>
      </w:r>
    </w:p>
    <w:p>
      <w:pPr>
        <w:pStyle w:val="BodyText"/>
      </w:pPr>
      <w:r>
        <w:t xml:space="preserve">BenevolentAI achieves its goals by analyzing diverse and comprehensive data sources, including (Sellwood et al., 2018):</w:t>
      </w:r>
      <w:r>
        <w:t xml:space="preserve"> </w:t>
      </w:r>
      <w:r>
        <w:t xml:space="preserve">1. Scientific Literature</w:t>
      </w:r>
      <w:r>
        <w:t xml:space="preserve"> </w:t>
      </w:r>
      <w:r>
        <w:t xml:space="preserve">2. Clinical Trial Data</w:t>
      </w:r>
      <w:r>
        <w:t xml:space="preserve"> </w:t>
      </w:r>
      <w:r>
        <w:t xml:space="preserve">3. Genetic Information</w:t>
      </w:r>
    </w:p>
    <w:p>
      <w:pPr>
        <w:pStyle w:val="BodyText"/>
      </w:pPr>
      <w:r>
        <w:t xml:space="preserve">By synthesizing insights from this massive and varied body of knowledge, the platform is able to spot connections and hypothesize new therapeutic approaches.</w:t>
      </w:r>
    </w:p>
    <w:p>
      <w:pPr>
        <w:pStyle w:val="BodyText"/>
      </w:pPr>
      <w:r>
        <w:rPr>
          <w:b/>
          <w:bCs/>
        </w:rPr>
        <w:t xml:space="preserve">Context of AI-Driven Drug Discovery</w:t>
      </w:r>
    </w:p>
    <w:p>
      <w:pPr>
        <w:pStyle w:val="BodyText"/>
      </w:pPr>
      <w:r>
        <w:t xml:space="preserve">BenevolentAI operates within the broader context of AI transforming drug discovery, where de novo design—creating new molecules from scratch—is accelerated by generative models (such as Recurrent Neural Networks (RNNs), autoencoders, Generative Adversarial Networks (GANs), and Reinforcement Learning based systems (RL)). These systems are used to simultaneously optimize molecular properties like bioactivity and toxicity, expanding the chemical space and designing compounds with pre-defined characteristics.</w:t>
      </w:r>
    </w:p>
    <w:p>
      <w:pPr>
        <w:pStyle w:val="BodyText"/>
      </w:pPr>
      <w:r>
        <w:t xml:space="preserve">Complementary tools further advance the field, including:</w:t>
      </w:r>
      <w:r>
        <w:t xml:space="preserve"> </w:t>
      </w:r>
      <w:r>
        <w:t xml:space="preserve">- DiffDock (Corso et al., 2022): Utilizes diffusion models for protein–ligand docking.</w:t>
      </w:r>
      <w:r>
        <w:t xml:space="preserve"> </w:t>
      </w:r>
      <w:r>
        <w:t xml:space="preserve">- MoleculeGen (Wu et al., 2018): An advanced molecule generation tool.</w:t>
      </w:r>
      <w:r>
        <w:t xml:space="preserve"> </w:t>
      </w:r>
      <w:r>
        <w:t xml:space="preserve">- ESM-2 (Tang et al., 2024; Tong et al., 2021): Advances protein structure prediction.</w:t>
      </w:r>
    </w:p>
    <w:p>
      <w:pPr>
        <w:pStyle w:val="BodyText"/>
      </w:pPr>
      <w:r>
        <w:t xml:space="preserve">The demonstrated success of AI-driven platforms like BenevolentAI in identifying novel compounds for challenging diseases, notably Ebola and COVID-19 (Wallach et al., 2024), underscores the transformative potential of its approach in accelerating the overall drug discovery process.</w:t>
      </w:r>
    </w:p>
    <w:bookmarkEnd w:id="54"/>
    <w:bookmarkStart w:id="55" w:name="X8b2fcd6e92b9fcd5be74d6113b63c033c5d0189"/>
    <w:p>
      <w:pPr>
        <w:pStyle w:val="Heading4"/>
      </w:pPr>
      <w:r>
        <w:t xml:space="preserve">4.1.3.3. Numerate: A Model for AI-Pharma Collaboration in Medicinal Chemistry</w:t>
      </w:r>
    </w:p>
    <w:p>
      <w:pPr>
        <w:pStyle w:val="FirstParagraph"/>
      </w:pPr>
      <w:r>
        <w:t xml:space="preserve">Numerate is an exemplary AI company demonstrating the essential synergy between artificial intelligence researchers and pharmaceutical giants. Its collaboration with the pharmaceutical company Merck (Numerate, Inc., 2022) serves as a prime illustration of how merging expertise can drive innovation in drug development.</w:t>
      </w:r>
    </w:p>
    <w:p>
      <w:pPr>
        <w:pStyle w:val="BodyText"/>
      </w:pPr>
      <w:r>
        <w:rPr>
          <w:b/>
          <w:bCs/>
        </w:rPr>
        <w:t xml:space="preserve">Collaboration Focus and Impact</w:t>
      </w:r>
    </w:p>
    <w:p>
      <w:pPr>
        <w:pStyle w:val="BodyText"/>
      </w:pPr>
      <w:r>
        <w:t xml:space="preserve">The core objective of the Numerate-Merck partnership was the joint development of AI-based approaches specifically tailored for medicinal chemistry (Numerate, Inc., 2022). Numerate’s proprietary technology, which leverages advanced algorithms and cloud computing, was deployed to accelerate the design of novel drug leads.</w:t>
      </w:r>
    </w:p>
    <w:p>
      <w:pPr>
        <w:pStyle w:val="BodyText"/>
      </w:pPr>
      <w:r>
        <w:rPr>
          <w:b/>
          <w:bCs/>
        </w:rPr>
        <w:t xml:space="preserve">Numerate’s Role in Accelerating Drug Discovery</w:t>
      </w:r>
    </w:p>
    <w:p>
      <w:pPr>
        <w:pStyle w:val="BodyText"/>
      </w:pPr>
      <w:r>
        <w:t xml:space="preserve">The use of Numerate’s powerful machine-learning models and algorithms offers several critical advantages to the drug discovery process:</w:t>
      </w:r>
    </w:p>
    <w:p>
      <w:pPr>
        <w:pStyle w:val="BodyText"/>
      </w:pPr>
      <w:r>
        <w:rPr>
          <w:b/>
          <w:bCs/>
        </w:rPr>
        <w:t xml:space="preserve">Prediction of Efficacy</w:t>
      </w:r>
      <w:r>
        <w:t xml:space="preserve">: Numerate’s algorithms build predictive models for drug candidate efficacy and other molecular properties, with accuracies comparable to traditional lab testing.</w:t>
      </w:r>
    </w:p>
    <w:p>
      <w:pPr>
        <w:pStyle w:val="BodyText"/>
      </w:pPr>
      <w:r>
        <w:rPr>
          <w:b/>
          <w:bCs/>
        </w:rPr>
        <w:t xml:space="preserve">Accelerated Development:</w:t>
      </w:r>
      <w:r>
        <w:t xml:space="preserve"> </w:t>
      </w:r>
      <w:r>
        <w:t xml:space="preserve">By delivering rapid and accurate predictions, Numerate helps pharma companies make quicker, better-informed decisions on which drug candidates to pursue, significantly shortening development timelines.</w:t>
      </w:r>
    </w:p>
    <w:p>
      <w:pPr>
        <w:pStyle w:val="BodyText"/>
      </w:pPr>
      <w:r>
        <w:rPr>
          <w:b/>
          <w:bCs/>
        </w:rPr>
        <w:t xml:space="preserve">Efficiency in Clinical Trials</w:t>
      </w:r>
      <w:r>
        <w:t xml:space="preserve">: AI algorithms are instrumental in analyzing trial data, identifying trends, and predicting potential adverse effects, thereby boosting the accuracy and efficiency of clinical trials.</w:t>
      </w:r>
    </w:p>
    <w:p>
      <w:pPr>
        <w:pStyle w:val="BodyText"/>
      </w:pPr>
      <w:r>
        <w:rPr>
          <w:b/>
          <w:bCs/>
        </w:rPr>
        <w:t xml:space="preserve">Enhanced Accessibility and Affordability:</w:t>
      </w:r>
      <w:r>
        <w:t xml:space="preserve"> </w:t>
      </w:r>
      <w:r>
        <w:t xml:space="preserve">The analytical power of AI, as demonstrated by Numerate, can be used to analyze large population datasets to predict drug effectiveness for specific patient groups, moving healthcare toward tailored treatments.</w:t>
      </w:r>
    </w:p>
    <w:p>
      <w:pPr>
        <w:pStyle w:val="BodyText"/>
      </w:pPr>
      <w:r>
        <w:t xml:space="preserve">The increasing number of new companies entering this domain, mirroring Numerate’s success (P360, 2022), suggests that the impact of these AI-pharma collaborations will be significant in the near term. Ultimately, Numerate’s model of working together with pharma facilitates the identification of new drug targets and the enhancement of existing treatments, directly benefiting patients.</w:t>
      </w:r>
    </w:p>
    <w:bookmarkEnd w:id="55"/>
    <w:bookmarkEnd w:id="56"/>
    <w:bookmarkEnd w:id="57"/>
    <w:bookmarkStart w:id="61" w:name="challenges-and-limitations"/>
    <w:p>
      <w:pPr>
        <w:pStyle w:val="Heading2"/>
      </w:pPr>
      <w:r>
        <w:t xml:space="preserve">4.2. Challenges and Limitations</w:t>
      </w:r>
    </w:p>
    <w:bookmarkStart w:id="58" w:name="the-black-box-problem"/>
    <w:p>
      <w:pPr>
        <w:pStyle w:val="Heading3"/>
      </w:pPr>
      <w:r>
        <w:t xml:space="preserve">4.2.1. The Black-Box Problem</w:t>
      </w:r>
    </w:p>
    <w:p>
      <w:pPr>
        <w:pStyle w:val="FirstParagraph"/>
      </w:pPr>
      <w:r>
        <w:t xml:space="preserve">The</w:t>
      </w:r>
      <w:r>
        <w:t xml:space="preserve"> </w:t>
      </w:r>
      <w:r>
        <w:t xml:space="preserve">“Black-Box”</w:t>
      </w:r>
      <w:r>
        <w:t xml:space="preserve"> </w:t>
      </w:r>
      <w:r>
        <w:t xml:space="preserve">Problem: The Difficulty of Interpreting AI Model Decisions</w:t>
      </w:r>
    </w:p>
    <w:p>
      <w:pPr>
        <w:pStyle w:val="BodyText"/>
      </w:pPr>
      <w:r>
        <w:t xml:space="preserve">The core concern with current Artificial Intelligence (AI) in medicine centers on Deep Learning (DL) systems. This technology is founded on the Artificial Neural Network (ANN), a concept inspired by the intricate structure of the human brain. The fundamental active unit in the human brain is the neuron, with tens of billions interconnected to form a</w:t>
      </w:r>
      <w:r>
        <w:t xml:space="preserve"> </w:t>
      </w:r>
      <w:r>
        <w:t xml:space="preserve">“neural network.”</w:t>
      </w:r>
      <w:r>
        <w:t xml:space="preserve"> </w:t>
      </w:r>
      <w:r>
        <w:t xml:space="preserve">DL systems seek to emulate this biological</w:t>
      </w:r>
      <w:r>
        <w:t xml:space="preserve"> </w:t>
      </w:r>
      <w:r>
        <w:t xml:space="preserve">“neural network”</w:t>
      </w:r>
      <w:r>
        <w:t xml:space="preserve"> </w:t>
      </w:r>
      <w:r>
        <w:t xml:space="preserve">(Castelvecchi, 2016) to achieve a similar learning strategy.</w:t>
      </w:r>
    </w:p>
    <w:p>
      <w:pPr>
        <w:pStyle w:val="BodyText"/>
      </w:pPr>
      <w:r>
        <w:t xml:space="preserve">Medical AI systems possess three key features that define their utility and challenge:</w:t>
      </w:r>
    </w:p>
    <w:p>
      <w:pPr>
        <w:numPr>
          <w:ilvl w:val="0"/>
          <w:numId w:val="1004"/>
        </w:numPr>
      </w:pPr>
      <w:r>
        <w:rPr>
          <w:b/>
          <w:bCs/>
        </w:rPr>
        <w:t xml:space="preserve">Self-Learning Capacity</w:t>
      </w:r>
      <w:r>
        <w:t xml:space="preserve"> </w:t>
      </w:r>
      <w:r>
        <w:t xml:space="preserve">Unlike traditional, rule-based computational programs, DL systems can process vast amounts of data and develop the ability for self-learning. This algorithmic capability allows the systems to generate a desired output based on the input data without being explicitly programmed with specific rules (McKinney et al., 2020; Miotto et al., 2016).</w:t>
      </w:r>
    </w:p>
    <w:p>
      <w:pPr>
        <w:numPr>
          <w:ilvl w:val="0"/>
          <w:numId w:val="1004"/>
        </w:numPr>
      </w:pPr>
      <w:r>
        <w:rPr>
          <w:b/>
          <w:bCs/>
        </w:rPr>
        <w:t xml:space="preserve">High Predictive Accuracy</w:t>
      </w:r>
      <w:r>
        <w:t xml:space="preserve"> </w:t>
      </w:r>
      <w:r>
        <w:t xml:space="preserve">To achieve self-learning, these systems require extensive data, which is divided into training and testing sets. The training data</w:t>
      </w:r>
      <w:r>
        <w:t xml:space="preserve"> </w:t>
      </w:r>
      <w:r>
        <w:t xml:space="preserve">“fits”</w:t>
      </w:r>
      <w:r>
        <w:t xml:space="preserve"> </w:t>
      </w:r>
      <w:r>
        <w:t xml:space="preserve">the model, and the testing data validates its performance. After training, medical AI systems demonstrate exceptionally high accuracy in testing, sometimes even surpassing human experts in diagnosing specific conditions. For example, the Deep Patient system accurately predicted</w:t>
      </w:r>
      <w:r>
        <w:t xml:space="preserve"> </w:t>
      </w:r>
      <w:r>
        <w:t xml:space="preserve">“hidden”</w:t>
      </w:r>
      <w:r>
        <w:t xml:space="preserve"> </w:t>
      </w:r>
      <w:r>
        <w:t xml:space="preserve">diseases in over 700,000 electronic health records using DL (Miotto et al., 2016). Its high accuracy in predicting psychiatric disorders, like schizophrenia, was particularly notable, as these conditions are notoriously difficult to predict. In another instance, the AI system developed by Google’s DeepMind outperformed six human radiologists in predicting breast cancer from new mammograms after analyzing X-ray images from nearly 29,000 female patients (McKinney et al., 2020).</w:t>
      </w:r>
    </w:p>
    <w:p>
      <w:pPr>
        <w:numPr>
          <w:ilvl w:val="0"/>
          <w:numId w:val="1004"/>
        </w:numPr>
      </w:pPr>
      <w:r>
        <w:rPr>
          <w:b/>
          <w:bCs/>
        </w:rPr>
        <w:t xml:space="preserve">Unexplainable Diagnoses and Suggestions</w:t>
      </w:r>
      <w:r>
        <w:t xml:space="preserve"> </w:t>
      </w:r>
      <w:r>
        <w:t xml:space="preserve">The third feature is the root of the</w:t>
      </w:r>
      <w:r>
        <w:t xml:space="preserve"> </w:t>
      </w:r>
      <w:r>
        <w:t xml:space="preserve">“black-box”</w:t>
      </w:r>
      <w:r>
        <w:t xml:space="preserve"> </w:t>
      </w:r>
      <w:r>
        <w:t xml:space="preserve">problem: the diagnoses and treatment suggestions from medical AI systems are fundamentally unexplainable. Because the ANNs mimic the still-mysterious workings of the human brain’s neural network, these systems are</w:t>
      </w:r>
      <w:r>
        <w:t xml:space="preserve"> </w:t>
      </w:r>
      <w:r>
        <w:t xml:space="preserve">“black boxes”</w:t>
      </w:r>
      <w:r>
        <w:t xml:space="preserve"> </w:t>
      </w:r>
      <w:r>
        <w:t xml:space="preserve">to patients, doctors, and even their own designers.</w:t>
      </w:r>
    </w:p>
    <w:p>
      <w:pPr>
        <w:pStyle w:val="FirstParagraph"/>
      </w:pPr>
      <w:r>
        <w:t xml:space="preserve">The term</w:t>
      </w:r>
      <w:r>
        <w:t xml:space="preserve"> </w:t>
      </w:r>
      <w:r>
        <w:t xml:space="preserve">“black box”</w:t>
      </w:r>
      <w:r>
        <w:t xml:space="preserve"> </w:t>
      </w:r>
      <w:r>
        <w:t xml:space="preserve">signifies a lack of understanding of the system’s internal working mechanism. For instance, a medical AI system might accurately predict a tumor’s response to a drug based on allelic patterns across thousands of genes, or forecast lung cancer prognosis by analyzing microscopic images, yet it cannot identify why those specific patterns or image features were significant.</w:t>
      </w:r>
    </w:p>
    <w:p>
      <w:pPr>
        <w:pStyle w:val="BodyText"/>
      </w:pPr>
      <w:r>
        <w:t xml:space="preserve">Regarding the Deep Patient system, researchers confirmed its accurate predictions for various diseases, including psychiatric disorders, but were puzzled by how it achieved such accurate conclusions and predictions. As Watson explicitly states, the main concern is a</w:t>
      </w:r>
      <w:r>
        <w:t xml:space="preserve"> </w:t>
      </w:r>
      <w:r>
        <w:t xml:space="preserve">“lack of understanding among patients and doctors about how predictions are made,”</w:t>
      </w:r>
      <w:r>
        <w:t xml:space="preserve"> </w:t>
      </w:r>
      <w:r>
        <w:t xml:space="preserve">especially with top-performing deep neural networks used in image recognition. While these models may reliably distinguish between malignant and benign tumors, they</w:t>
      </w:r>
      <w:r>
        <w:t xml:space="preserve"> </w:t>
      </w:r>
      <w:r>
        <w:t xml:space="preserve">“offer no explanation for their judgments”</w:t>
      </w:r>
      <w:r>
        <w:t xml:space="preserve"> </w:t>
      </w:r>
      <w:r>
        <w:t xml:space="preserve">(Watson et al., 2019).</w:t>
      </w:r>
    </w:p>
    <w:p>
      <w:pPr>
        <w:pStyle w:val="BodyText"/>
      </w:pPr>
      <w:r>
        <w:t xml:space="preserve">It remains a significant hurdle before medical AI systems become transparent enough for a physician to easily identify incorrect results or for an individual to reasonably contest a system’s decision. Consequently, the potential harm arising from these opaque systems must be seriously considered.</w:t>
      </w:r>
    </w:p>
    <w:bookmarkEnd w:id="58"/>
    <w:bookmarkStart w:id="59" w:name="X40b0123e5f76f90bc352fa71b391105245f95cd"/>
    <w:p>
      <w:pPr>
        <w:pStyle w:val="Heading3"/>
      </w:pPr>
      <w:r>
        <w:t xml:space="preserve">4.2.2. The Imperative for Experimental Validation</w:t>
      </w:r>
    </w:p>
    <w:p>
      <w:pPr>
        <w:pStyle w:val="FirstParagraph"/>
      </w:pPr>
      <w:r>
        <w:t xml:space="preserve">The application of Artificial Intelligence (AI), particularly in complex fields like drug discovery, offers tremendous predictive power. However, it is crucial to establish and reiterate a fundamental constraint: current AI-based approaches are not a replacement for traditional experimental methods (Grebner et al., 2021; Schraagen &amp; van Diggelen, 2021). While these systems are incredibly adept at pattern recognition and prediction, they do not possess the capacity to autonomously confirm or interpret the physical reality of their findings.</w:t>
      </w:r>
    </w:p>
    <w:p>
      <w:pPr>
        <w:pStyle w:val="BodyText"/>
      </w:pPr>
      <w:r>
        <w:rPr>
          <w:b/>
          <w:bCs/>
        </w:rPr>
        <w:t xml:space="preserve">AI as a Hypothesis Generator</w:t>
      </w:r>
    </w:p>
    <w:p>
      <w:pPr>
        <w:pStyle w:val="BodyText"/>
      </w:pPr>
      <w:r>
        <w:t xml:space="preserve">An AI system’s core function is to act as a sophisticated hypothesis generator. Based on the massive datasets it processes, AI can only furnish a set of predictions concerning chemical properties, biological interactions, or disease pathways. This means the output from the algorithms is purely theoretical until proven otherwise. Consequently, the results delivered by the AI models must then be rigorously validated and interpreted by human researchers (Gilpin et al., 2019). The human element remains indispensable for contextualizing the findings, ensuring their biological plausibility, and designing the necessary experiments to move from a predicted outcome to a confirmed fact.</w:t>
      </w:r>
    </w:p>
    <w:p>
      <w:pPr>
        <w:pStyle w:val="BodyText"/>
      </w:pPr>
      <w:r>
        <w:rPr>
          <w:b/>
          <w:bCs/>
        </w:rPr>
        <w:t xml:space="preserve">The Synergy of Prediction and Experience</w:t>
      </w:r>
    </w:p>
    <w:p>
      <w:pPr>
        <w:pStyle w:val="BodyText"/>
      </w:pPr>
      <w:r>
        <w:t xml:space="preserve">Far from being a competitive alternative, the ideal role of AI is to foster a powerful integration with traditional experimental methods (Paul et al., 2021). This synergy leverages the strengths of both components. On one side, you have the unparalleled predictive power of AI—its ability to rapidly sift through vast chemical libraries and identify promising candidates that would take human researchers decades to evaluate. On the other side, you have the essential expertise and experience of human researchers (Jarrahi, 2018)—the deep, nuanced understanding of biochemistry, medicine, and laboratory techniques required to actually test, refine, and bring a compound to fruition.</w:t>
      </w:r>
    </w:p>
    <w:p>
      <w:pPr>
        <w:pStyle w:val="BodyText"/>
      </w:pPr>
      <w:r>
        <w:t xml:space="preserve">By strategically combining these elements, the scientific community can optimize the drug discovery process (Wang et al., 2019). AI dramatically reduces the initial search space, allowing human teams to focus their finite resources on the most promising avenues. This collaboration does not diminish the role of the researcher; rather, it elevates it, freeing human intellect to concentrate on complex problem-solving and critical validation, thereby accelerating the development of new medications (Wang et al., 2019). The ultimate success of an AI prediction is not its accuracy on a test set, but its confirmation under a microscope.</w:t>
      </w:r>
    </w:p>
    <w:bookmarkEnd w:id="59"/>
    <w:bookmarkStart w:id="60" w:name="X07cefbe95b5d5a0c906e1a16705159e37145a63"/>
    <w:p>
      <w:pPr>
        <w:pStyle w:val="Heading3"/>
      </w:pPr>
      <w:r>
        <w:t xml:space="preserve">4.2.3. High-Quality Data Scarcity and Its Impact Performance In Drug Design</w:t>
      </w:r>
    </w:p>
    <w:p>
      <w:pPr>
        <w:pStyle w:val="FirstParagraph"/>
      </w:pPr>
      <w:r>
        <w:t xml:space="preserve">The central focus of this analysis is the influence of data quality and scarcity on AI-driven drug design, specifically addressing the key hurdles in data representation and prediction—areas where Artificial Intelligence (AI) holds considerable potential.</w:t>
      </w:r>
    </w:p>
    <w:p>
      <w:pPr>
        <w:pStyle w:val="BodyText"/>
      </w:pPr>
      <w:r>
        <w:rPr>
          <w:b/>
          <w:bCs/>
        </w:rPr>
        <w:t xml:space="preserve">Obstacles in Defining AI-Ready Tasks</w:t>
      </w:r>
    </w:p>
    <w:p>
      <w:pPr>
        <w:pStyle w:val="BodyText"/>
      </w:pPr>
      <w:r>
        <w:t xml:space="preserve">Many foundational drug discovery activities are difficult to translate into effective machine learning problems. The primary challenge lies in the lack of standardized knowledge representations and a deficit of AI-ready benchmark datasets.</w:t>
      </w:r>
    </w:p>
    <w:p>
      <w:pPr>
        <w:pStyle w:val="Compact"/>
        <w:numPr>
          <w:ilvl w:val="0"/>
          <w:numId w:val="1005"/>
        </w:numPr>
      </w:pPr>
      <w:r>
        <w:rPr>
          <w:b/>
          <w:bCs/>
        </w:rPr>
        <w:t xml:space="preserve">Non-Uniform Molecular Representations</w:t>
      </w:r>
      <w:r>
        <w:t xml:space="preserve">: Drug molecules themselves can be encoded in diverse formats, such as linear SMILES strings, numerical descriptors like Extended Connectivity Fingerprints (ECFP), and intricate molecular graphs. Similarly, proteins can be modeled using a simple 1D amino acid sequence, a more complex sequence representation, or their complete 3D-structure. This inherent diversity in representation complicates the development of universal models.</w:t>
      </w:r>
    </w:p>
    <w:p>
      <w:pPr>
        <w:pStyle w:val="Compact"/>
        <w:numPr>
          <w:ilvl w:val="0"/>
          <w:numId w:val="1005"/>
        </w:numPr>
      </w:pPr>
      <w:r>
        <w:rPr>
          <w:b/>
          <w:bCs/>
        </w:rPr>
        <w:t xml:space="preserve">Issues with Labels</w:t>
      </w:r>
      <w:r>
        <w:t xml:space="preserve">: Further compounding this is the problem of low resource labels and significant disparity among labels, which makes the formulation of meaningful, generalizable learning tasks exceedingly difficult for AI systems.</w:t>
      </w:r>
    </w:p>
    <w:p>
      <w:pPr>
        <w:pStyle w:val="FirstParagraph"/>
      </w:pPr>
      <w:r>
        <w:rPr>
          <w:b/>
          <w:bCs/>
        </w:rPr>
        <w:t xml:space="preserve">Data Imperfections That Impact Performance</w:t>
      </w:r>
    </w:p>
    <w:p>
      <w:pPr>
        <w:pStyle w:val="BodyText"/>
      </w:pPr>
      <w:r>
        <w:t xml:space="preserve">The performance and reliability of AI models are directly compromised by common flaws in the underlying data, including problems with data collection, the prevalence of small sample sizes, and the existence of noisy labels. These factors collectively depress model accuracy and dependability.</w:t>
      </w:r>
    </w:p>
    <w:p>
      <w:pPr>
        <w:pStyle w:val="BodyText"/>
      </w:pPr>
      <w:r>
        <w:rPr>
          <w:b/>
          <w:bCs/>
        </w:rPr>
        <w:t xml:space="preserve">Recent Solutions and Progress</w:t>
      </w:r>
    </w:p>
    <w:p>
      <w:pPr>
        <w:pStyle w:val="BodyText"/>
      </w:pPr>
      <w:r>
        <w:t xml:space="preserve">Despite these significant data-centric challenges, the past few years have demonstrated substantial advancements in applying deep-learning to drug discovery. This progress is greatly facilitated by the emergence of new resources designed to help overcome data scarcity and standardization issues:</w:t>
      </w:r>
      <w:r>
        <w:t xml:space="preserve"> </w:t>
      </w:r>
      <w:r>
        <w:t xml:space="preserve">- The development of open-source tools (Huang et al., 2020).</w:t>
      </w:r>
      <w:r>
        <w:t xml:space="preserve"> </w:t>
      </w:r>
      <w:r>
        <w:t xml:space="preserve">- The creation of AI-ready benchmark datasets (Huang et al., 2021).</w:t>
      </w:r>
      <w:r>
        <w:t xml:space="preserve"> </w:t>
      </w:r>
      <w:r>
        <w:t xml:space="preserve">- New deep learning platforms (Zhu et al., 2022) specifically engineered for drug design applications.</w:t>
      </w:r>
    </w:p>
    <w:bookmarkEnd w:id="60"/>
    <w:bookmarkEnd w:id="61"/>
    <w:bookmarkStart w:id="64" w:name="ethical-and-regulatory-considerations"/>
    <w:p>
      <w:pPr>
        <w:pStyle w:val="Heading2"/>
      </w:pPr>
      <w:r>
        <w:t xml:space="preserve">4.3. Ethical and Regulatory Considerations</w:t>
      </w:r>
    </w:p>
    <w:bookmarkStart w:id="62" w:name="data-privacy-and-algorithmic-bias"/>
    <w:p>
      <w:pPr>
        <w:pStyle w:val="Heading3"/>
      </w:pPr>
      <w:r>
        <w:t xml:space="preserve">4.3.1. Data Privacy and Algorithmic Bias</w:t>
      </w:r>
    </w:p>
    <w:p>
      <w:pPr>
        <w:pStyle w:val="FirstParagraph"/>
      </w:pPr>
      <w:r>
        <w:t xml:space="preserve">The application of Artificial Intelligence (AI) in the pharmaceutical sector necessitates a critical examination of its ethical implications (Karimian et al., 2022; Naik et al., 2022). The discussion focuses on two paramount challenges: the potential for algorithmic bias and the vital necessity of maintaining data privacy and security.</w:t>
      </w:r>
    </w:p>
    <w:p>
      <w:pPr>
        <w:pStyle w:val="BodyText"/>
      </w:pPr>
      <w:r>
        <w:rPr>
          <w:b/>
          <w:bCs/>
        </w:rPr>
        <w:t xml:space="preserve">The Risk of Algorithmic Bias and Inequity</w:t>
      </w:r>
    </w:p>
    <w:p>
      <w:pPr>
        <w:pStyle w:val="BodyText"/>
      </w:pPr>
      <w:r>
        <w:t xml:space="preserve">A central ethical concern revolves around the potential for bias in AI algorithms. AI systems are increasingly being used to make decisions with direct bearing on public health and individual welfare—including choices regarding which drugs to develop, the execution of clinical trials, and the methods for marketing and distributing medications.</w:t>
      </w:r>
    </w:p>
    <w:p>
      <w:pPr>
        <w:pStyle w:val="BodyText"/>
      </w:pPr>
      <w:r>
        <w:t xml:space="preserve">If the training data is unrepresentative or reflects historical biases, the resulting algorithms can entrench and amplify those inequities. This risks causing unequal access to medical treatment and potentially the unfair treatment of specific demographic groups. Such outcomes fundamentally contradict the principles of equality and justice in healthcare.</w:t>
      </w:r>
    </w:p>
    <w:p>
      <w:pPr>
        <w:pStyle w:val="BodyText"/>
      </w:pPr>
      <w:r>
        <w:rPr>
          <w:b/>
          <w:bCs/>
        </w:rPr>
        <w:t xml:space="preserve">Data Privacy, Security, and Compliance</w:t>
      </w:r>
    </w:p>
    <w:p>
      <w:pPr>
        <w:pStyle w:val="BodyText"/>
      </w:pPr>
      <w:r>
        <w:t xml:space="preserve">Since AI systems rely heavily on large amounts of data to function, their integration into the pharmaceutical industry raises serious concerns about data privacy and security.</w:t>
      </w:r>
    </w:p>
    <w:p>
      <w:pPr>
        <w:pStyle w:val="BodyText"/>
      </w:pPr>
      <w:r>
        <w:t xml:space="preserve">There is a considerable risk that the sensitive, personal health information used by these models could be compromised through unauthorized access or misuse. A breach of this nature would have severe consequences for affected individuals and could significantly damage the reputation of the involved pharmaceutical companies. Consequently, the collection and use of sensitive medical data must be conducted in a manner that strictly respects individual privacy and adheres to all relevant regulations.</w:t>
      </w:r>
    </w:p>
    <w:p>
      <w:pPr>
        <w:pStyle w:val="BodyText"/>
      </w:pPr>
      <w:r>
        <w:rPr>
          <w:b/>
          <w:bCs/>
        </w:rPr>
        <w:t xml:space="preserve">Wider Societal Concerns</w:t>
      </w:r>
    </w:p>
    <w:p>
      <w:pPr>
        <w:pStyle w:val="BodyText"/>
      </w:pPr>
      <w:r>
        <w:t xml:space="preserve">Beyond data ethics and bias, the widespread adoption of AI also brings up socioeconomic issues, particularly the prospect of job losses due to automation in the pharmaceutical sector. It is essential to proactively assess the impact on the workforce and ensure support is available for those who might be displaced by these technological changes.</w:t>
      </w:r>
    </w:p>
    <w:bookmarkEnd w:id="62"/>
    <w:bookmarkStart w:id="63" w:name="regulatory-frameworks"/>
    <w:p>
      <w:pPr>
        <w:pStyle w:val="Heading3"/>
      </w:pPr>
      <w:r>
        <w:t xml:space="preserve">4.3.2. Regulatory Frameworks</w:t>
      </w:r>
    </w:p>
    <w:p>
      <w:pPr>
        <w:pStyle w:val="FirstParagraph"/>
      </w:pPr>
      <w:r>
        <w:t xml:space="preserve">The integration of Artificial Intelligence (AI) into pharmacy practice, despite its transformative potential, introduces a complex set of ethical and regulatory challenges. A key focus is on how regulatory bodies are evolving to govern these new technologies.</w:t>
      </w:r>
    </w:p>
    <w:p>
      <w:pPr>
        <w:pStyle w:val="BodyText"/>
      </w:pPr>
      <w:r>
        <w:rPr>
          <w:b/>
          <w:bCs/>
        </w:rPr>
        <w:t xml:space="preserve">The Need for Regulatory Adaptation</w:t>
      </w:r>
    </w:p>
    <w:p>
      <w:pPr>
        <w:pStyle w:val="BodyText"/>
      </w:pPr>
      <w:r>
        <w:t xml:space="preserve">The rapid evolution of AI in the pharmaceutical industry presents significant ethical and legal challenges, including issues like algorithmic bias, a lack of transparency in decision-making, ongoing data privacy concerns, and unclear liability frameworks (Shaki et al., 2024). Currently, regulatory agencies are in the process of adapting to effectively oversee AI applications in pharma (Shaki et al., 2024). There is a recognized need for standardized guidelines that can successfully balance the need to ensure patient safety with the desire to avoid stifling innovation (Shaki et al., 2024).</w:t>
      </w:r>
    </w:p>
    <w:p>
      <w:pPr>
        <w:pStyle w:val="BodyText"/>
      </w:pPr>
      <w:r>
        <w:rPr>
          <w:b/>
          <w:bCs/>
        </w:rPr>
        <w:t xml:space="preserve">Regulatory Role in Clinical Trials and Safety</w:t>
      </w:r>
    </w:p>
    <w:p>
      <w:pPr>
        <w:pStyle w:val="BodyText"/>
      </w:pPr>
      <w:r>
        <w:t xml:space="preserve">Patient safety and the integrity of clinical trials constitute a significant ethical and regulatory challenge. Regulatory bodies, such as the Food and Drug Administration (FDA), are vital in enforcing guidelines to protect trial participants (Boudi et al., 2024). The integrity of these trials relies heavily on securing informed consent from participants, who must fully comprehend the risks involved. While the FDA works to protect individual rights, issues such as the exploitation of vulnerable populations remain a prevalent concern (Boudi et al., 2024).</w:t>
      </w:r>
    </w:p>
    <w:p>
      <w:pPr>
        <w:pStyle w:val="BodyText"/>
      </w:pPr>
      <w:r>
        <w:rPr>
          <w:b/>
          <w:bCs/>
        </w:rPr>
        <w:t xml:space="preserve">The Wider Ethical and Legal Landscape</w:t>
      </w:r>
    </w:p>
    <w:p>
      <w:pPr>
        <w:pStyle w:val="BodyText"/>
      </w:pPr>
      <w:r>
        <w:t xml:space="preserve">Surveys among pharmacy professionals, particularly in the Middle East and North Africa (MENA) region, underscore the breadth of these concerns (Hasan et al., 2024). Critical issues identified include:</w:t>
      </w:r>
      <w:r>
        <w:t xml:space="preserve"> </w:t>
      </w:r>
      <w:r>
        <w:t xml:space="preserve">- Lack of Legal Regulation (67.0%)</w:t>
      </w:r>
      <w:r>
        <w:t xml:space="preserve"> </w:t>
      </w:r>
      <w:r>
        <w:t xml:space="preserve">- Potential Job Displacement (62.9%)</w:t>
      </w:r>
      <w:r>
        <w:t xml:space="preserve"> </w:t>
      </w:r>
      <w:r>
        <w:t xml:space="preserve">- Patient Data Privacy (58.9%)</w:t>
      </w:r>
      <w:r>
        <w:t xml:space="preserve"> </w:t>
      </w:r>
      <w:r>
        <w:t xml:space="preserve">- Cybersecurity Threats (58.9%)</w:t>
      </w:r>
    </w:p>
    <w:p>
      <w:pPr>
        <w:pStyle w:val="BodyText"/>
      </w:pPr>
      <w:r>
        <w:t xml:space="preserve">These findings emphasize that realizing the full benefits of AI requires a commitment to responsible AI in medicine, anchored by transparent frameworks, multidisciplinary collaboration, and an unwavering focus on patient welfare (Boudi et al., 2024). Ultimately, achieving public trust requires regulatory bodies to successfully manage the balance between AI’s potential and robust ethical governance (Shaki et al., 2024).</w:t>
      </w:r>
    </w:p>
    <w:bookmarkEnd w:id="63"/>
    <w:bookmarkEnd w:id="64"/>
    <w:bookmarkStart w:id="68" w:name="future-trends"/>
    <w:p>
      <w:pPr>
        <w:pStyle w:val="Heading2"/>
      </w:pPr>
      <w:r>
        <w:t xml:space="preserve">4.4. Future Trends</w:t>
      </w:r>
    </w:p>
    <w:bookmarkStart w:id="65" w:name="X2744a5f2f5a3708815196809c7b2b7a7efc66d8"/>
    <w:p>
      <w:pPr>
        <w:pStyle w:val="Heading3"/>
      </w:pPr>
      <w:r>
        <w:t xml:space="preserve">4.4.1. Emerging Technologies: Quantum Computing in Drug Design</w:t>
      </w:r>
    </w:p>
    <w:p>
      <w:pPr>
        <w:pStyle w:val="FirstParagraph"/>
      </w:pPr>
      <w:r>
        <w:t xml:space="preserve">The core challenge confronting pharmaceutical science is the time-intensive and exorbitant nature of drug development, with costs frequently exceeding one billion dollars (Berdigaliyev &amp; Aljofan, 2020). Historical precedents, such as the 35-year effort to cure Malaria (Magazine, 2022), underscore the urgent need to accelerate the entire pipeline, which encompasses target identification, hit screening, lead optimization, pre-clinical testing, and clinical trials (Wang et al., 2023). While current AI deployment is already advantageous in speeding up the process, it faces limitations, including data quality issues, the complexity of biological systems, and the scarcity of high-quality data for rare diseases (Blanco-Gonzalez et al., 2023).</w:t>
      </w:r>
    </w:p>
    <w:p>
      <w:pPr>
        <w:pStyle w:val="BodyText"/>
      </w:pPr>
      <w:r>
        <w:rPr>
          <w:b/>
          <w:bCs/>
        </w:rPr>
        <w:t xml:space="preserve">Quantum Computing as a Solution to Drug Discovery Hurdles</w:t>
      </w:r>
    </w:p>
    <w:p>
      <w:pPr>
        <w:pStyle w:val="BodyText"/>
      </w:pPr>
      <w:r>
        <w:t xml:space="preserve">Quantum Computing (QC) offers a potential, paradigm-shifting solution by leveraging its superiority over classical supercomputers (Blanco-Gonzalez et al., 2023).</w:t>
      </w:r>
    </w:p>
    <w:p>
      <w:pPr>
        <w:pStyle w:val="BodyText"/>
      </w:pPr>
      <w:r>
        <w:t xml:space="preserve">Quantum computers are designed to tackle problems that are intractable for even the most powerful classical machines. The milestone of quantum supremacy was achieved in 2019 by Google’s</w:t>
      </w:r>
      <w:r>
        <w:t xml:space="preserve"> </w:t>
      </w:r>
      <w:r>
        <w:t xml:space="preserve">‘Sycamore’</w:t>
      </w:r>
      <w:r>
        <w:t xml:space="preserve"> </w:t>
      </w:r>
      <w:r>
        <w:t xml:space="preserve">system, which featured 53 programmable superconducting qubits (Arute et al., 2019; Zinner et al., 2021).</w:t>
      </w:r>
    </w:p>
    <w:p>
      <w:pPr>
        <w:pStyle w:val="BodyText"/>
      </w:pPr>
      <w:r>
        <w:t xml:space="preserve">The evolution of QC is highly promising for drug discovery and development (Mahesh &amp; Shijo, 2023) as quantum technologies stand to revolutionize fields like machine learning, financial modeling, and especially chemistry and medicine (Sotelo, 2023).</w:t>
      </w:r>
    </w:p>
    <w:p>
      <w:pPr>
        <w:pStyle w:val="BodyText"/>
      </w:pPr>
      <w:r>
        <w:rPr>
          <w:b/>
          <w:bCs/>
        </w:rPr>
        <w:t xml:space="preserve">Unique Advantages Of Quantum Computing</w:t>
      </w:r>
    </w:p>
    <w:p>
      <w:pPr>
        <w:pStyle w:val="BodyText"/>
      </w:pPr>
      <w:r>
        <w:t xml:space="preserve">QC excels in two key areas relevant to drug design:</w:t>
      </w:r>
    </w:p>
    <w:p>
      <w:pPr>
        <w:pStyle w:val="Compact"/>
        <w:numPr>
          <w:ilvl w:val="0"/>
          <w:numId w:val="1006"/>
        </w:numPr>
      </w:pPr>
      <w:r>
        <w:rPr>
          <w:b/>
          <w:bCs/>
        </w:rPr>
        <w:t xml:space="preserve">Molecular Simulation and Prediction</w:t>
      </w:r>
      <w:r>
        <w:t xml:space="preserve">: Quantum computers are inherently superior at molecular simulations (McArdle et al., 2020; Parenti &amp; Rastelli, 2012). By predicting drug behavior and properties with greater precision, they significantly enhance the in-depth understanding of drug action (Parenti &amp; Rastelli, 2012). This ability to accurately model quantum effects provides more precise predictions for drug design.</w:t>
      </w:r>
    </w:p>
    <w:p>
      <w:pPr>
        <w:pStyle w:val="Compact"/>
        <w:numPr>
          <w:ilvl w:val="0"/>
          <w:numId w:val="1006"/>
        </w:numPr>
      </w:pPr>
      <w:r>
        <w:rPr>
          <w:b/>
          <w:bCs/>
        </w:rPr>
        <w:t xml:space="preserve">Accelerated Data Processing</w:t>
      </w:r>
      <w:r>
        <w:t xml:space="preserve">: QC can accelerate machine learning algorithms (Li et al., 2021). It achieves this by rapidly processing extensive data volumes, managing complex computations, and generating more precise predictions than traditional methods and classical AI (Chauhan et al., 2022; Li et al., 2021).</w:t>
      </w:r>
    </w:p>
    <w:p>
      <w:pPr>
        <w:pStyle w:val="FirstParagraph"/>
      </w:pPr>
      <w:r>
        <w:t xml:space="preserve">Quantum generative models, for example, can comprehensively cover complex distributions due to their intrinsic probabilistic nature (Biswas et al., 2020).</w:t>
      </w:r>
    </w:p>
    <w:p>
      <w:pPr>
        <w:pStyle w:val="BodyText"/>
      </w:pPr>
      <w:r>
        <w:rPr>
          <w:b/>
          <w:bCs/>
        </w:rPr>
        <w:t xml:space="preserve">The Research Motivation and Structure</w:t>
      </w:r>
    </w:p>
    <w:tbl>
      <w:tblPr>
        <w:tblStyle w:val="FigureTable"/>
        <w:tblW w:type="auto" w:w="0"/>
        <w:jc w:val="center"/>
        <w:tblLook w:firstRow="0" w:lastRow="0" w:firstColumn="0" w:lastColumn="0"/>
      </w:tblPr>
      <w:tblGrid>
        <w:gridCol w:w="7920"/>
      </w:tblGrid>
      <w:tr>
        <w:tc>
          <w:tcPr/>
          <w:p>
            <w:pPr>
              <w:pStyle w:val="Compact"/>
              <w:jc w:val="center"/>
            </w:pPr>
            <w:r>
              <w:t xml:space="preserve">Figure 3</w:t>
            </w:r>
          </w:p>
        </w:tc>
      </w:tr>
    </w:tbl>
    <w:p>
      <w:pPr>
        <w:pStyle w:val="ImageCaption"/>
      </w:pPr>
      <w:r>
        <w:t xml:space="preserve">Figure 3</w:t>
      </w:r>
    </w:p>
    <w:p>
      <w:pPr>
        <w:pStyle w:val="BodyText"/>
      </w:pPr>
      <w:r>
        <w:rPr>
          <w:b/>
          <w:bCs/>
        </w:rPr>
        <w:t xml:space="preserve">Figure 3.</w:t>
      </w:r>
      <w:r>
        <w:t xml:space="preserve"> </w:t>
      </w:r>
      <w:r>
        <w:t xml:space="preserve">The primary motivation driving this area of research is the imperative to expedite drug development, reduce costs, and fundamentally redefine the approach to creating new drugs, moving away from conventional methods (McArdle et al., 2020).</w:t>
      </w:r>
    </w:p>
    <w:p>
      <w:pPr>
        <w:pStyle w:val="BodyText"/>
      </w:pPr>
      <w:r>
        <w:t xml:space="preserve">This research aims to delve into quantum computers’ medical capabilities, analyzing drug behavior under diverse conditions using specialized algorithms. The structure of this paper will cover:</w:t>
      </w:r>
      <w:r>
        <w:t xml:space="preserve"> </w:t>
      </w:r>
      <w:r>
        <w:t xml:space="preserve">- Previous work (Section II).</w:t>
      </w:r>
      <w:r>
        <w:t xml:space="preserve"> </w:t>
      </w:r>
      <w:r>
        <w:t xml:space="preserve">- A fundamental overview of core quantum technology (Section III).</w:t>
      </w:r>
      <w:r>
        <w:t xml:space="preserve"> </w:t>
      </w:r>
      <w:r>
        <w:t xml:space="preserve">- The integration of quantum technology at various stages of the simulation process (Section IV).</w:t>
      </w:r>
      <w:r>
        <w:t xml:space="preserve"> </w:t>
      </w:r>
      <w:r>
        <w:t xml:space="preserve">- A dedicated discussion of Quantum chemistry (Section V).</w:t>
      </w:r>
      <w:r>
        <w:t xml:space="preserve"> </w:t>
      </w:r>
      <w:r>
        <w:t xml:space="preserve">- The complete pipeline of the quantum-enhanced drug development process (Section VI).</w:t>
      </w:r>
      <w:r>
        <w:t xml:space="preserve"> </w:t>
      </w:r>
      <w:r>
        <w:t xml:space="preserve">- The potential use of QC for final stage trial and testing (Section VII).</w:t>
      </w:r>
      <w:r>
        <w:t xml:space="preserve"> </w:t>
      </w:r>
      <w:r>
        <w:t xml:space="preserve">- A necessary exploration of the technological and ethical challenges posed by quantum computers (Section VIII).</w:t>
      </w:r>
      <w:r>
        <w:t xml:space="preserve"> </w:t>
      </w:r>
      <w:r>
        <w:t xml:space="preserve">- Future prospects and new applications (Section IX).</w:t>
      </w:r>
      <w:r>
        <w:t xml:space="preserve"> </w:t>
      </w:r>
      <w:r>
        <w:t xml:space="preserve">- The conclusion (Section X).</w:t>
      </w:r>
    </w:p>
    <w:bookmarkEnd w:id="65"/>
    <w:bookmarkStart w:id="66" w:name="personalized-medicine"/>
    <w:p>
      <w:pPr>
        <w:pStyle w:val="Heading3"/>
      </w:pPr>
      <w:r>
        <w:t xml:space="preserve">4.4.2. Personalized Medicine</w:t>
      </w:r>
    </w:p>
    <w:p>
      <w:pPr>
        <w:pStyle w:val="FirstParagraph"/>
      </w:pPr>
      <w:r>
        <w:t xml:space="preserve">The digitization of medical records is paving the way for data-driven methodologies to revolutionize several healthcare areas, including clinical trials, health policy, drug discovery, and especially precision medicine.</w:t>
      </w:r>
    </w:p>
    <w:p>
      <w:pPr>
        <w:pStyle w:val="BodyText"/>
      </w:pPr>
      <w:r>
        <w:rPr>
          <w:b/>
          <w:bCs/>
        </w:rPr>
        <w:t xml:space="preserve">AI and Data-Driven Drug Design</w:t>
      </w:r>
    </w:p>
    <w:p>
      <w:pPr>
        <w:pStyle w:val="BodyText"/>
      </w:pPr>
      <w:r>
        <w:t xml:space="preserve">Over the past decade, novel analytical and computational advances have radically transformed drug discovery (Davenport &amp; Kalakota, 2019; Pandey et al., 2022; Powles &amp; Hodson, 2017; Sierra-Sosa et al., 2019; Yu et al., 2018). There is now intense interest in applying Artificial Intelligence (AI) methods to improve various stages of the drug discovery pipeline (Chen et al., 2018). The goal is to move towards personalized treatment by utilizing AI in:</w:t>
      </w:r>
      <w:r>
        <w:t xml:space="preserve"> </w:t>
      </w:r>
      <w:r>
        <w:t xml:space="preserve">- De novo molecular design and optimization</w:t>
      </w:r>
      <w:r>
        <w:t xml:space="preserve"> </w:t>
      </w:r>
      <w:r>
        <w:t xml:space="preserve">- Structure-based drug design</w:t>
      </w:r>
      <w:r>
        <w:t xml:space="preserve"> </w:t>
      </w:r>
      <w:r>
        <w:t xml:space="preserve">- Pre-clinical and clinical development</w:t>
      </w:r>
    </w:p>
    <w:p>
      <w:pPr>
        <w:pStyle w:val="BodyText"/>
      </w:pPr>
      <w:r>
        <w:rPr>
          <w:b/>
          <w:bCs/>
        </w:rPr>
        <w:t xml:space="preserve">The Foundation for Personalized Treatments</w:t>
      </w:r>
    </w:p>
    <w:p>
      <w:pPr>
        <w:pStyle w:val="BodyText"/>
      </w:pPr>
      <w:r>
        <w:t xml:space="preserve">The integration of extensive biomedical datasets with sophisticated analytical tools, particularly deep learning models, is the core mechanism enabling this shift toward individualized medicine (Vamathevan et al., 2019). These datasets include:</w:t>
      </w:r>
      <w:r>
        <w:t xml:space="preserve"> </w:t>
      </w:r>
      <w:r>
        <w:t xml:space="preserve">- Genomic profiles</w:t>
      </w:r>
      <w:r>
        <w:t xml:space="preserve"> </w:t>
      </w:r>
      <w:r>
        <w:t xml:space="preserve">- Imaging data</w:t>
      </w:r>
      <w:r>
        <w:t xml:space="preserve"> </w:t>
      </w:r>
      <w:r>
        <w:t xml:space="preserve">- Chemical and drug databases</w:t>
      </w:r>
    </w:p>
    <w:p>
      <w:pPr>
        <w:pStyle w:val="BodyText"/>
      </w:pPr>
      <w:r>
        <w:t xml:space="preserve">By coordinating these tools, researchers can more effectively discover and develop drugs and clinical applications tailored to individual patient characteristics, making the vision of personalized medicine a reality.</w:t>
      </w:r>
    </w:p>
    <w:bookmarkEnd w:id="66"/>
    <w:bookmarkStart w:id="67" w:name="X5847e90aac7d05f921e1b36b9d66c4a85fe544e"/>
    <w:p>
      <w:pPr>
        <w:pStyle w:val="Heading3"/>
      </w:pPr>
      <w:r>
        <w:t xml:space="preserve">4.4.3. The AI-Scientist Collaboration:</w:t>
      </w:r>
      <w:r>
        <w:t xml:space="preserve"> </w:t>
      </w:r>
      <w:r>
        <w:t xml:space="preserve">“Self-Driving”</w:t>
      </w:r>
      <w:r>
        <w:t xml:space="preserve"> </w:t>
      </w:r>
      <w:r>
        <w:t xml:space="preserve">Labs</w:t>
      </w:r>
    </w:p>
    <w:p>
      <w:pPr>
        <w:pStyle w:val="FirstParagraph"/>
      </w:pPr>
      <w:r>
        <w:t xml:space="preserve">The future success of AI in drug discovery hinges on fostering a collaborative environment to generate high-quality data and advance model representation. This collaboration must move beyond simple prediction to embrace robust methods that enhance human thinking and ultimately change the culture of research.</w:t>
      </w:r>
    </w:p>
    <w:p>
      <w:pPr>
        <w:pStyle w:val="BodyText"/>
      </w:pPr>
      <w:r>
        <w:rPr>
          <w:b/>
          <w:bCs/>
        </w:rPr>
        <w:t xml:space="preserve">Developing Foundational Datasets and Collaborative Models</w:t>
      </w:r>
    </w:p>
    <w:p>
      <w:pPr>
        <w:pStyle w:val="BodyText"/>
      </w:pPr>
      <w:r>
        <w:t xml:space="preserve">A key requirement is the creation of high-quality, annotated labeled datasets and the learning of their representations, which necessitates collaborative efforts from multiple disciplines. Following the precedent set by ImageNet in computer vision, we urgently need to develop the</w:t>
      </w:r>
      <w:r>
        <w:t xml:space="preserve"> </w:t>
      </w:r>
      <w:r>
        <w:t xml:space="preserve">“ImageNet”</w:t>
      </w:r>
      <w:r>
        <w:t xml:space="preserve"> </w:t>
      </w:r>
      <w:r>
        <w:t xml:space="preserve">for molecules and more benchmark resources like MoleculeNet (Wu et al., 2018).</w:t>
      </w:r>
    </w:p>
    <w:p>
      <w:pPr>
        <w:pStyle w:val="BodyText"/>
      </w:pPr>
      <w:r>
        <w:t xml:space="preserve">We must develop robust methods where the human mind can teach the model to optimize so that the AI generates insights that allow humans to think in new directions. This co-optimization aims to bring better prospects into clinics, enhance target validation, increase patient recruitment, and improve clinical trial design (as depicted in Fig. 4).</w:t>
      </w:r>
    </w:p>
    <w:p>
      <w:pPr>
        <w:pStyle w:val="BodyText"/>
      </w:pPr>
      <w:r>
        <w:rPr>
          <w:b/>
          <w:bCs/>
        </w:rPr>
        <w:t xml:space="preserve">Shifting Focus to Causal Discovery</w:t>
      </w:r>
    </w:p>
    <w:p>
      <w:pPr>
        <w:pStyle w:val="BodyText"/>
      </w:pPr>
      <w:r>
        <w:t xml:space="preserve">Current AI mainly focuses on the manifestations of diseases, rather than their actual causes. A crucial advancement will be understanding the causal pathway of diseases—how genetic predisposition manifests—to enable manipulation and potentially reverse the course of the disease. This is a promising area for causal machine learning and causal inference (Peters et al., 2011), which can also be applied to treatment decisions and tracking patient health evolution.</w:t>
      </w:r>
    </w:p>
    <w:p>
      <w:pPr>
        <w:pStyle w:val="BodyText"/>
      </w:pPr>
      <w:r>
        <w:rPr>
          <w:b/>
          <w:bCs/>
        </w:rPr>
        <w:t xml:space="preserve">Cultivating a Collaborative Research Culture</w:t>
      </w:r>
    </w:p>
    <w:p>
      <w:pPr>
        <w:pStyle w:val="BodyText"/>
      </w:pPr>
      <w:r>
        <w:t xml:space="preserve">The full potential of data science in healthcare requires cultivating a</w:t>
      </w:r>
      <w:r>
        <w:t xml:space="preserve"> </w:t>
      </w:r>
      <w:r>
        <w:t xml:space="preserve">“culture”</w:t>
      </w:r>
      <w:r>
        <w:t xml:space="preserve"> </w:t>
      </w:r>
      <w:r>
        <w:t xml:space="preserve">where stakeholders are willing to use computational models and utilize their results. As the African proverb says,</w:t>
      </w:r>
      <w:r>
        <w:t xml:space="preserve"> </w:t>
      </w:r>
      <w:r>
        <w:t xml:space="preserve">“if you want to go fast go alone, and if you want to go far go together.”</w:t>
      </w:r>
    </w:p>
    <w:p>
      <w:pPr>
        <w:pStyle w:val="BodyText"/>
      </w:pPr>
      <w:r>
        <w:t xml:space="preserve">This requires:</w:t>
      </w:r>
      <w:r>
        <w:t xml:space="preserve"> </w:t>
      </w:r>
      <w:r>
        <w:t xml:space="preserve">- Increased collaboration between industry, academia, and other stakeholders.</w:t>
      </w:r>
      <w:r>
        <w:t xml:space="preserve"> </w:t>
      </w:r>
      <w:r>
        <w:t xml:space="preserve">- Training professionals to understand both medicine and computer science.</w:t>
      </w:r>
    </w:p>
    <w:p>
      <w:pPr>
        <w:pStyle w:val="BodyText"/>
      </w:pPr>
      <w:r>
        <w:t xml:space="preserve">Furthermore, organizing more workshops on AI for drug discovery or computational biology at major AI conferences like NeuralIPS and International Conference on Machine Learning (ICML) is necessary, along with the long-term vision of developing new degree programs for AI in drug discovery. This collaborative, transparent approach is exemplified by initiatives like the 2019 partnership between AstraZeneca and Dialog for DREAM Challenges, which focused on model repeatability and methodological transparency on significant biomedical problems using large, shared datasets (e.g., 11,576 experiments on cancer cell lines).</w:t>
      </w:r>
    </w:p>
    <w:tbl>
      <w:tblPr>
        <w:tblStyle w:val="FigureTable"/>
        <w:tblW w:type="auto" w:w="0"/>
        <w:jc w:val="center"/>
        <w:tblLook w:firstRow="0" w:lastRow="0" w:firstColumn="0" w:lastColumn="0"/>
      </w:tblPr>
      <w:tblGrid>
        <w:gridCol w:w="7920"/>
      </w:tblGrid>
      <w:tr>
        <w:tc>
          <w:tcPr/>
          <w:p>
            <w:pPr>
              <w:pStyle w:val="Compact"/>
              <w:jc w:val="center"/>
            </w:pPr>
            <w:r>
              <w:t xml:space="preserve">Figure 4</w:t>
            </w:r>
          </w:p>
        </w:tc>
      </w:tr>
    </w:tbl>
    <w:p>
      <w:pPr>
        <w:pStyle w:val="ImageCaption"/>
      </w:pPr>
      <w:r>
        <w:t xml:space="preserve">Figure 4</w:t>
      </w:r>
    </w:p>
    <w:p>
      <w:pPr>
        <w:pStyle w:val="BodyText"/>
      </w:pPr>
      <w:r>
        <w:rPr>
          <w:b/>
          <w:bCs/>
        </w:rPr>
        <w:t xml:space="preserve">Figure 4.</w:t>
      </w:r>
      <w:r>
        <w:t xml:space="preserve"> </w:t>
      </w:r>
      <w:r>
        <w:t xml:space="preserve">Learning from various data sources can aid drug design, clinical decision support, and public health policy. The collaborative intelligence resulting from the merger of mind and machine is expected to improve decision-making in healthcare.</w:t>
      </w:r>
      <w:r>
        <w:t xml:space="preserve"> </w:t>
      </w:r>
      <w:r>
        <w:t xml:space="preserve"># References</w:t>
      </w:r>
    </w:p>
    <w:p>
      <w:pPr>
        <w:pStyle w:val="BodyText"/>
      </w:pPr>
      <w:r>
        <w:t xml:space="preserve">Agarwal, P., &amp; Searls, D. B. (2008). Literature mining in support of drug discovery.</w:t>
      </w:r>
      <w:r>
        <w:t xml:space="preserve"> </w:t>
      </w:r>
      <w:r>
        <w:rPr>
          <w:i/>
          <w:iCs/>
        </w:rPr>
        <w:t xml:space="preserve">Briefings in Bioinformatics, 9</w:t>
      </w:r>
      <w:r>
        <w:t xml:space="preserve">(6), 479–492.</w:t>
      </w:r>
    </w:p>
    <w:p>
      <w:pPr>
        <w:pStyle w:val="BodyText"/>
      </w:pPr>
      <w:r>
        <w:t xml:space="preserve">Alipanahi, B., Delong, A., Weirauch, M. T., &amp; Frey, B. J. (2015). Predicting the sequence specificities of DNA- and RNA-binding proteins by deep learning.</w:t>
      </w:r>
      <w:r>
        <w:t xml:space="preserve"> </w:t>
      </w:r>
      <w:r>
        <w:rPr>
          <w:i/>
          <w:iCs/>
        </w:rPr>
        <w:t xml:space="preserve">Nature Biotechnology, 33</w:t>
      </w:r>
      <w:r>
        <w:t xml:space="preserve">(8), 831–838.</w:t>
      </w:r>
    </w:p>
    <w:p>
      <w:pPr>
        <w:pStyle w:val="BodyText"/>
      </w:pPr>
      <w:r>
        <w:t xml:space="preserve">AlQuraishi, M. (2020). AlphaFold2 @ CASP14:</w:t>
      </w:r>
      <w:r>
        <w:t xml:space="preserve"> </w:t>
      </w:r>
      <w:r>
        <w:t xml:space="preserve">“It feels like one’s child has left home.”</w:t>
      </w:r>
      <w:r>
        <w:t xml:space="preserve"> </w:t>
      </w:r>
      <w:r>
        <w:rPr>
          <w:i/>
          <w:iCs/>
        </w:rPr>
        <w:t xml:space="preserve">Biophysical Coarse Graining</w:t>
      </w:r>
      <w:r>
        <w:t xml:space="preserve">. https://moalquraishi.wordpress.com</w:t>
      </w:r>
    </w:p>
    <w:p>
      <w:pPr>
        <w:pStyle w:val="BodyText"/>
      </w:pPr>
      <w:r>
        <w:t xml:space="preserve">Angermueller, C., Pärnamaa, T., Parts, L., &amp; Stegle, O. (2016). Deep learning for computational biology.</w:t>
      </w:r>
      <w:r>
        <w:t xml:space="preserve"> </w:t>
      </w:r>
      <w:r>
        <w:rPr>
          <w:i/>
          <w:iCs/>
        </w:rPr>
        <w:t xml:space="preserve">Molecular Systems Biology, 12</w:t>
      </w:r>
      <w:r>
        <w:t xml:space="preserve">(7), 878.</w:t>
      </w:r>
    </w:p>
    <w:p>
      <w:pPr>
        <w:pStyle w:val="BodyText"/>
      </w:pPr>
      <w:r>
        <w:t xml:space="preserve">Arute, F., Arya, K., Babbush, R., Bacon, D., Bardin, J. C., Barends, R., … &amp; Martinis, J. M. (2019). Quantum supremacy using a programmable superconducting processor.</w:t>
      </w:r>
      <w:r>
        <w:t xml:space="preserve"> </w:t>
      </w:r>
      <w:r>
        <w:rPr>
          <w:i/>
          <w:iCs/>
        </w:rPr>
        <w:t xml:space="preserve">Nature, 574</w:t>
      </w:r>
      <w:r>
        <w:t xml:space="preserve">(7779), 505–510. https://doi.org/10.1038/s41586-019-1666-5</w:t>
      </w:r>
    </w:p>
    <w:p>
      <w:pPr>
        <w:pStyle w:val="BodyText"/>
      </w:pPr>
      <w:r>
        <w:t xml:space="preserve">Atz, K., Grisoni, F., &amp; Schneider, G. (2021). Geometric deep learning on molecular representations.</w:t>
      </w:r>
      <w:r>
        <w:t xml:space="preserve"> </w:t>
      </w:r>
      <w:r>
        <w:rPr>
          <w:i/>
          <w:iCs/>
        </w:rPr>
        <w:t xml:space="preserve">Nature Machine Intelligence, 3</w:t>
      </w:r>
      <w:r>
        <w:t xml:space="preserve">(12), 1023–1032.</w:t>
      </w:r>
    </w:p>
    <w:p>
      <w:pPr>
        <w:pStyle w:val="BodyText"/>
      </w:pPr>
      <w:r>
        <w:t xml:space="preserve">Bepler, T., &amp; Berger, B. (2021). Learning the protein language: Evolution, structure, and function.</w:t>
      </w:r>
      <w:r>
        <w:t xml:space="preserve"> </w:t>
      </w:r>
      <w:r>
        <w:rPr>
          <w:i/>
          <w:iCs/>
        </w:rPr>
        <w:t xml:space="preserve">Cell Systems, 12</w:t>
      </w:r>
      <w:r>
        <w:t xml:space="preserve">(6), 654–669. https://doi.org/10.1016/j.cels.2021.05.017</w:t>
      </w:r>
    </w:p>
    <w:p>
      <w:pPr>
        <w:pStyle w:val="BodyText"/>
      </w:pPr>
      <w:r>
        <w:t xml:space="preserve">Berdigaliyev, N., &amp; Aljofan, M. (2020). An overview of drug discovery and development.</w:t>
      </w:r>
      <w:r>
        <w:t xml:space="preserve"> </w:t>
      </w:r>
      <w:r>
        <w:rPr>
          <w:i/>
          <w:iCs/>
        </w:rPr>
        <w:t xml:space="preserve">Future Medicinal Chemistry, 12</w:t>
      </w:r>
      <w:r>
        <w:t xml:space="preserve">(10), 939–947.</w:t>
      </w:r>
    </w:p>
    <w:p>
      <w:pPr>
        <w:pStyle w:val="BodyText"/>
      </w:pPr>
      <w:r>
        <w:t xml:space="preserve">Bishop, C. M. (2006).</w:t>
      </w:r>
      <w:r>
        <w:t xml:space="preserve"> </w:t>
      </w:r>
      <w:r>
        <w:rPr>
          <w:i/>
          <w:iCs/>
        </w:rPr>
        <w:t xml:space="preserve">Pattern recognition and machine learning</w:t>
      </w:r>
      <w:r>
        <w:t xml:space="preserve">. Springer.</w:t>
      </w:r>
    </w:p>
    <w:p>
      <w:pPr>
        <w:pStyle w:val="BodyText"/>
      </w:pPr>
      <w:r>
        <w:t xml:space="preserve">Biswas, R. H., Jiang, X., &amp; Li, K. (2020). Quantum generative models for molecular design.</w:t>
      </w:r>
      <w:r>
        <w:t xml:space="preserve"> </w:t>
      </w:r>
      <w:r>
        <w:rPr>
          <w:i/>
          <w:iCs/>
        </w:rPr>
        <w:t xml:space="preserve">arXiv preprint arXiv:2101.08272</w:t>
      </w:r>
      <w:r>
        <w:t xml:space="preserve">.</w:t>
      </w:r>
    </w:p>
    <w:p>
      <w:pPr>
        <w:pStyle w:val="BodyText"/>
      </w:pPr>
      <w:r>
        <w:t xml:space="preserve">Blanco-Gonzalez, A., Cabezon, A., Seco-Gonzalez, A., Conde-Torres, D., Antelo-Riveiro, P., Pineiro, A., &amp; Garcia-Fandino, R. (2023). The role of AI in drug discovery: Challenges, opportunities, and strategies.</w:t>
      </w:r>
      <w:r>
        <w:t xml:space="preserve"> </w:t>
      </w:r>
      <w:r>
        <w:rPr>
          <w:i/>
          <w:iCs/>
        </w:rPr>
        <w:t xml:space="preserve">Pharmaceuticals, 16</w:t>
      </w:r>
      <w:r>
        <w:t xml:space="preserve">(6), 891.</w:t>
      </w:r>
    </w:p>
    <w:p>
      <w:pPr>
        <w:pStyle w:val="BodyText"/>
      </w:pPr>
      <w:r>
        <w:t xml:space="preserve">Boudi, A. L., Siddiqui, Z. A., &amp; Gupta, A. K. (2024). Ethical challenges of artificial intelligence in medicine.</w:t>
      </w:r>
      <w:r>
        <w:t xml:space="preserve"> </w:t>
      </w:r>
      <w:r>
        <w:rPr>
          <w:i/>
          <w:iCs/>
        </w:rPr>
        <w:t xml:space="preserve">Cureus, 16</w:t>
      </w:r>
      <w:r>
        <w:t xml:space="preserve">(11), e74495. https://doi.org/10.7759/cureus.74495</w:t>
      </w:r>
    </w:p>
    <w:p>
      <w:pPr>
        <w:pStyle w:val="BodyText"/>
      </w:pPr>
      <w:r>
        <w:t xml:space="preserve">Castelvecchi, D. (2016). Can we open the black box of AI?</w:t>
      </w:r>
      <w:r>
        <w:t xml:space="preserve"> </w:t>
      </w:r>
      <w:r>
        <w:rPr>
          <w:i/>
          <w:iCs/>
        </w:rPr>
        <w:t xml:space="preserve">Nature, 538</w:t>
      </w:r>
      <w:r>
        <w:t xml:space="preserve">(7623), 20–23. https://doi.org/10.1038/538020a</w:t>
      </w:r>
    </w:p>
    <w:p>
      <w:pPr>
        <w:pStyle w:val="BodyText"/>
      </w:pPr>
      <w:r>
        <w:t xml:space="preserve">Chauhan, V. K., Singh, A., &amp; Tiwari, A. (2022). Quantum machine learning for drug discovery and development.</w:t>
      </w:r>
      <w:r>
        <w:t xml:space="preserve"> </w:t>
      </w:r>
      <w:r>
        <w:rPr>
          <w:i/>
          <w:iCs/>
        </w:rPr>
        <w:t xml:space="preserve">Current Drug Discovery Technologies, 19</w:t>
      </w:r>
      <w:r>
        <w:t xml:space="preserve">(2), e140122200216.</w:t>
      </w:r>
    </w:p>
    <w:p>
      <w:pPr>
        <w:pStyle w:val="BodyText"/>
      </w:pPr>
      <w:r>
        <w:t xml:space="preserve">Chen, H., Engkvist, O., Wang, Y., Olivecrona, M., &amp; Blaschke, T. (2018). The rise of deep learning in drug discovery.</w:t>
      </w:r>
      <w:r>
        <w:t xml:space="preserve"> </w:t>
      </w:r>
      <w:r>
        <w:rPr>
          <w:i/>
          <w:iCs/>
        </w:rPr>
        <w:t xml:space="preserve">Drug Discovery Today, 23</w:t>
      </w:r>
      <w:r>
        <w:t xml:space="preserve">(6), 1241–1250. https://doi.org/10.1016/j.drudis.2018.01.039</w:t>
      </w:r>
    </w:p>
    <w:p>
      <w:pPr>
        <w:pStyle w:val="BodyText"/>
      </w:pPr>
      <w:r>
        <w:t xml:space="preserve">Corso, G., Stärk, H., Jing, B., Barzilay, R., &amp; Jaakkola, T. (2022). DiffDock: Diffusion steps, twists, and turns for molecular docking.</w:t>
      </w:r>
      <w:r>
        <w:t xml:space="preserve"> </w:t>
      </w:r>
      <w:r>
        <w:rPr>
          <w:i/>
          <w:iCs/>
        </w:rPr>
        <w:t xml:space="preserve">arXiv preprint arXiv:2210.01776</w:t>
      </w:r>
      <w:r>
        <w:t xml:space="preserve">. https://arxiv.org/abs/2210.01776</w:t>
      </w:r>
    </w:p>
    <w:p>
      <w:pPr>
        <w:pStyle w:val="BodyText"/>
      </w:pPr>
      <w:r>
        <w:t xml:space="preserve">Costa, P. R., Acencio, M. L., &amp; Lemke, N. (2010). A machine learning approach for genome-wide prediction of morbid and druggable human genes based on systems-level data.</w:t>
      </w:r>
      <w:r>
        <w:t xml:space="preserve"> </w:t>
      </w:r>
      <w:r>
        <w:rPr>
          <w:i/>
          <w:iCs/>
        </w:rPr>
        <w:t xml:space="preserve">BMC Genomics, 11</w:t>
      </w:r>
      <w:r>
        <w:t xml:space="preserve">, 1–15.</w:t>
      </w:r>
    </w:p>
    <w:p>
      <w:pPr>
        <w:pStyle w:val="BodyText"/>
      </w:pPr>
      <w:r>
        <w:t xml:space="preserve">Davenport, T., &amp; Kalakota, R. (2019). The potential for artificial intelligence in healthcare.</w:t>
      </w:r>
      <w:r>
        <w:t xml:space="preserve"> </w:t>
      </w:r>
      <w:r>
        <w:rPr>
          <w:i/>
          <w:iCs/>
        </w:rPr>
        <w:t xml:space="preserve">Future Healthcare Journal, 6</w:t>
      </w:r>
      <w:r>
        <w:t xml:space="preserve">(2), 94–98.</w:t>
      </w:r>
    </w:p>
    <w:p>
      <w:pPr>
        <w:pStyle w:val="BodyText"/>
      </w:pPr>
      <w:r>
        <w:t xml:space="preserve">David, L., Thakkar, A., Mercado, R., &amp; Engkvist, O. (2020). Molecular representations in AI-driven drug discovery: A review and practical guide.</w:t>
      </w:r>
      <w:r>
        <w:t xml:space="preserve"> </w:t>
      </w:r>
      <w:r>
        <w:rPr>
          <w:i/>
          <w:iCs/>
        </w:rPr>
        <w:t xml:space="preserve">Journal of Cheminformatics, 12</w:t>
      </w:r>
      <w:r>
        <w:t xml:space="preserve">(1), 1–22.</w:t>
      </w:r>
    </w:p>
    <w:p>
      <w:pPr>
        <w:pStyle w:val="BodyText"/>
      </w:pPr>
      <w:r>
        <w:t xml:space="preserve">Defferrard, M., Bresson, X., &amp; Vandergheynst, P. (2016). Convolutional neural networks on graphs with fast localized spectral filtering. In</w:t>
      </w:r>
      <w:r>
        <w:t xml:space="preserve"> </w:t>
      </w:r>
      <w:r>
        <w:rPr>
          <w:i/>
          <w:iCs/>
        </w:rPr>
        <w:t xml:space="preserve">Advances in Neural Information Processing Systems</w:t>
      </w:r>
      <w:r>
        <w:t xml:space="preserve">.</w:t>
      </w:r>
    </w:p>
    <w:p>
      <w:pPr>
        <w:pStyle w:val="BodyText"/>
      </w:pPr>
      <w:r>
        <w:t xml:space="preserve">Devi, R., Satapathy, S. S., &amp; Ray, S. S. (2015). Evolutionary algorithms in de novo drug design: A survey.</w:t>
      </w:r>
      <w:r>
        <w:t xml:space="preserve"> </w:t>
      </w:r>
      <w:r>
        <w:rPr>
          <w:i/>
          <w:iCs/>
        </w:rPr>
        <w:t xml:space="preserve">Applied Soft Computing, 27</w:t>
      </w:r>
      <w:r>
        <w:t xml:space="preserve">, 543–552.</w:t>
      </w:r>
    </w:p>
    <w:p>
      <w:pPr>
        <w:pStyle w:val="BodyText"/>
      </w:pPr>
      <w:r>
        <w:t xml:space="preserve">Dong, J., Cao, D. S., Miao, H. Y., Liu, S., Deng, B. C., Yun, Y. H., Wang, N. N., Lu, A. P., Zeng, W. B., &amp; Chen, A. F. (2015). ChemDes: An integrated web-based platform for molecular descriptor and fingerprint computation.</w:t>
      </w:r>
      <w:r>
        <w:t xml:space="preserve"> </w:t>
      </w:r>
      <w:r>
        <w:rPr>
          <w:i/>
          <w:iCs/>
        </w:rPr>
        <w:t xml:space="preserve">Journal of Cheminformatics, 7</w:t>
      </w:r>
      <w:r>
        <w:t xml:space="preserve">(1), 60. https://doi.org/10.1186/s13321-015-0109-z</w:t>
      </w:r>
    </w:p>
    <w:p>
      <w:pPr>
        <w:pStyle w:val="BodyText"/>
      </w:pPr>
      <w:r>
        <w:t xml:space="preserve">Doytchinova, I. (2022). Drug design—Past, present, future.</w:t>
      </w:r>
      <w:r>
        <w:t xml:space="preserve"> </w:t>
      </w:r>
      <w:r>
        <w:rPr>
          <w:i/>
          <w:iCs/>
        </w:rPr>
        <w:t xml:space="preserve">Molecules, 27</w:t>
      </w:r>
      <w:r>
        <w:t xml:space="preserve">, 1496.</w:t>
      </w:r>
    </w:p>
    <w:p>
      <w:pPr>
        <w:pStyle w:val="BodyText"/>
      </w:pPr>
      <w:r>
        <w:t xml:space="preserve">Ferruz, N., Schmidt, S., &amp; Höcker, B. (2022). ProtGPT2 is a deep unsupervised language model for protein design.</w:t>
      </w:r>
      <w:r>
        <w:t xml:space="preserve"> </w:t>
      </w:r>
      <w:r>
        <w:rPr>
          <w:i/>
          <w:iCs/>
        </w:rPr>
        <w:t xml:space="preserve">Nature Communications, 13</w:t>
      </w:r>
      <w:r>
        <w:t xml:space="preserve">(1), 4348. https://doi.org/10.1038/s41467-022-32007-7</w:t>
      </w:r>
    </w:p>
    <w:p>
      <w:pPr>
        <w:pStyle w:val="BodyText"/>
      </w:pPr>
      <w:r>
        <w:t xml:space="preserve">Francoeur, P. G., Masuda, T., Sunseri, J., Jia, A., Iovanisci, R. B., Snyder, I., &amp; Koes, D. R. (2020). Three-dimensional convolutional neural networks and a cross-docked data set for structure-based drug design.</w:t>
      </w:r>
      <w:r>
        <w:t xml:space="preserve"> </w:t>
      </w:r>
      <w:r>
        <w:rPr>
          <w:i/>
          <w:iCs/>
        </w:rPr>
        <w:t xml:space="preserve">Journal of Chemical Information and Modeling, 60</w:t>
      </w:r>
      <w:r>
        <w:t xml:space="preserve">(9), 4200–4215. https://doi.org/10.1021/acs.jcim.0c00411</w:t>
      </w:r>
    </w:p>
    <w:p>
      <w:pPr>
        <w:pStyle w:val="BodyText"/>
      </w:pPr>
      <w:r>
        <w:t xml:space="preserve">Friesner, R. A., Banks, J. L., Murphy, R. B., Halgren, T. A., Klicic, J. J., Mainz, D. T., Repasky, M. P., Knoll, E. H., Shelley, M., Perry, J. K., Shaw, D. E., Francis, P., &amp; Shenkin, P. S. (2004). Glide: A new approach for rapid, accurate docking and scoring. 1. Method and assessment of docking accuracy.</w:t>
      </w:r>
      <w:r>
        <w:t xml:space="preserve"> </w:t>
      </w:r>
      <w:r>
        <w:rPr>
          <w:i/>
          <w:iCs/>
        </w:rPr>
        <w:t xml:space="preserve">Journal of Medicinal Chemistry, 47</w:t>
      </w:r>
      <w:r>
        <w:t xml:space="preserve">(7), 1739–1749. https://doi.org/10.1021/jm0306430</w:t>
      </w:r>
    </w:p>
    <w:p>
      <w:pPr>
        <w:pStyle w:val="BodyText"/>
      </w:pPr>
      <w:r>
        <w:t xml:space="preserve">Ganesan, A., Coote, M. L., &amp; Barakat, K. (2017). Molecular dynamics-driven drug discovery: Leaping forward with confidence.</w:t>
      </w:r>
      <w:r>
        <w:t xml:space="preserve"> </w:t>
      </w:r>
      <w:r>
        <w:rPr>
          <w:i/>
          <w:iCs/>
        </w:rPr>
        <w:t xml:space="preserve">Drug Discovery Today, 22</w:t>
      </w:r>
      <w:r>
        <w:t xml:space="preserve">(2), 249–269.</w:t>
      </w:r>
    </w:p>
    <w:p>
      <w:pPr>
        <w:pStyle w:val="BodyText"/>
      </w:pPr>
      <w:r>
        <w:t xml:space="preserve">Gaudelet, T., Day, B., Jamasb, A. R., Soman, J., Regep, C., Liu, G., … &amp; Tang, J. (2021). Utilizing graph machine learning within drug discovery and development.</w:t>
      </w:r>
      <w:r>
        <w:t xml:space="preserve"> </w:t>
      </w:r>
      <w:r>
        <w:rPr>
          <w:i/>
          <w:iCs/>
        </w:rPr>
        <w:t xml:space="preserve">Briefings in Bioinformatics, 22</w:t>
      </w:r>
      <w:r>
        <w:t xml:space="preserve">(6), bbab159.</w:t>
      </w:r>
    </w:p>
    <w:p>
      <w:pPr>
        <w:pStyle w:val="BodyText"/>
      </w:pPr>
      <w:r>
        <w:t xml:space="preserve">Gaul, R. B., &amp; Cuesta-Lopez, S. (2024). Artificial intelligence in drug discovery: A comprehensive review of current status, challenges, and future directions.</w:t>
      </w:r>
      <w:r>
        <w:t xml:space="preserve"> </w:t>
      </w:r>
      <w:r>
        <w:rPr>
          <w:i/>
          <w:iCs/>
        </w:rPr>
        <w:t xml:space="preserve">Journal of Drug Targeting, 32</w:t>
      </w:r>
      <w:r>
        <w:t xml:space="preserve">(1), 1–17.</w:t>
      </w:r>
    </w:p>
    <w:p>
      <w:pPr>
        <w:pStyle w:val="BodyText"/>
      </w:pPr>
      <w:r>
        <w:t xml:space="preserve">Gilpin, L. H., Bau, D., Yuan, B. Z., Bajwa, A., Specter, M., &amp; Kagal, L. (2019). Explaining explanations: An overview of interpretability of machine learning.</w:t>
      </w:r>
      <w:r>
        <w:t xml:space="preserve"> </w:t>
      </w:r>
      <w:r>
        <w:rPr>
          <w:i/>
          <w:iCs/>
        </w:rPr>
        <w:t xml:space="preserve">Proceedings of the 2018 IEEE 5th International Conference on Data Science and Advanced Analytics (DSAA)</w:t>
      </w:r>
      <w:r>
        <w:t xml:space="preserve">, 80–89. https://doi.org/10.1109/DSAA.2018.00018</w:t>
      </w:r>
    </w:p>
    <w:p>
      <w:pPr>
        <w:pStyle w:val="BodyText"/>
      </w:pPr>
      <w:r>
        <w:t xml:space="preserve">Gómez-Bombarelli, R., Wei, J. N., Duvenaud, D., Hernández-Lobato, J. M., Sánchez-Lengeling, B., Sheberla, D., Aguilera-Iparraguirre, J., Hirzel, T. D., Adams, R. P., &amp; Aspuru-Guzik, A. (2018). Automatic chemical design using a data-driven continuous representation of molecules.</w:t>
      </w:r>
      <w:r>
        <w:t xml:space="preserve"> </w:t>
      </w:r>
      <w:r>
        <w:rPr>
          <w:i/>
          <w:iCs/>
        </w:rPr>
        <w:t xml:space="preserve">ACS Central Science, 4</w:t>
      </w:r>
      <w:r>
        <w:t xml:space="preserve">, 268–276.</w:t>
      </w:r>
    </w:p>
    <w:p>
      <w:pPr>
        <w:pStyle w:val="BodyText"/>
      </w:pPr>
      <w:r>
        <w:t xml:space="preserve">Gönen, M. (2012). Predicting drug–target interactions from chemical and genomic kernels using Bayesian matrix factorization.</w:t>
      </w:r>
      <w:r>
        <w:t xml:space="preserve"> </w:t>
      </w:r>
      <w:r>
        <w:rPr>
          <w:i/>
          <w:iCs/>
        </w:rPr>
        <w:t xml:space="preserve">Bioinformatics, 28</w:t>
      </w:r>
      <w:r>
        <w:t xml:space="preserve">(18), 2304–2310.</w:t>
      </w:r>
    </w:p>
    <w:p>
      <w:pPr>
        <w:pStyle w:val="BodyText"/>
      </w:pPr>
      <w:r>
        <w:t xml:space="preserve">Goodfellow, I., Bengio, Y., &amp; Courville, A. (2016).</w:t>
      </w:r>
      <w:r>
        <w:t xml:space="preserve"> </w:t>
      </w:r>
      <w:r>
        <w:rPr>
          <w:i/>
          <w:iCs/>
        </w:rPr>
        <w:t xml:space="preserve">Deep learning</w:t>
      </w:r>
      <w:r>
        <w:t xml:space="preserve">. MIT Press.</w:t>
      </w:r>
    </w:p>
    <w:p>
      <w:pPr>
        <w:pStyle w:val="BodyText"/>
      </w:pPr>
      <w:r>
        <w:t xml:space="preserve">Grebner, C., Matter, H., &amp; Kogej, T. (2021). Artificial intelligence in drug discovery: Moving beyond the hype.</w:t>
      </w:r>
      <w:r>
        <w:t xml:space="preserve"> </w:t>
      </w:r>
      <w:r>
        <w:rPr>
          <w:i/>
          <w:iCs/>
        </w:rPr>
        <w:t xml:space="preserve">ChemMedChem, 16</w:t>
      </w:r>
      <w:r>
        <w:t xml:space="preserve">(2), 253–255.</w:t>
      </w:r>
    </w:p>
    <w:p>
      <w:pPr>
        <w:pStyle w:val="BodyText"/>
      </w:pPr>
      <w:r>
        <w:t xml:space="preserve">Guimaraes, G. L., Sanchez-Lengeling, B., Outeiral, C., Farias, P. L. C., &amp; Aspuru-Guzik, A. (2018). Objective-reinforced generative adversarial networks (ORGAN) for sequence generation models.</w:t>
      </w:r>
      <w:r>
        <w:t xml:space="preserve"> </w:t>
      </w:r>
      <w:r>
        <w:rPr>
          <w:i/>
          <w:iCs/>
        </w:rPr>
        <w:t xml:space="preserve">arXiv preprint arXiv:1705.10843</w:t>
      </w:r>
      <w:r>
        <w:t xml:space="preserve">.</w:t>
      </w:r>
    </w:p>
    <w:p>
      <w:pPr>
        <w:pStyle w:val="BodyText"/>
      </w:pPr>
      <w:r>
        <w:t xml:space="preserve">Gupta, A., Müller, A. T., Huisman, B. J., Fuchs, J. A., Schneider, P., &amp; Schneider, G. (2018). Generative recurrent networks for de novo drug design.</w:t>
      </w:r>
      <w:r>
        <w:t xml:space="preserve"> </w:t>
      </w:r>
      <w:r>
        <w:rPr>
          <w:i/>
          <w:iCs/>
        </w:rPr>
        <w:t xml:space="preserve">Molecular Informatics, 37</w:t>
      </w:r>
      <w:r>
        <w:t xml:space="preserve">(1–2), 1700111.</w:t>
      </w:r>
    </w:p>
    <w:p>
      <w:pPr>
        <w:pStyle w:val="BodyText"/>
      </w:pPr>
      <w:r>
        <w:t xml:space="preserve">Hasan, H. E., Jaber, D., Sadeq, A. S., &amp; Sulaiman, S. A. S. (2024). Ethical considerations and concerns in the implementation of AI in pharmacy practice: A cross-sectional study.</w:t>
      </w:r>
      <w:r>
        <w:t xml:space="preserve"> </w:t>
      </w:r>
      <w:r>
        <w:rPr>
          <w:i/>
          <w:iCs/>
        </w:rPr>
        <w:t xml:space="preserve">BMC Medical Ethics, 25</w:t>
      </w:r>
      <w:r>
        <w:t xml:space="preserve">(1), 55. https://doi.org/10.1186/s12910-024-01053-9</w:t>
      </w:r>
    </w:p>
    <w:p>
      <w:pPr>
        <w:pStyle w:val="BodyText"/>
      </w:pPr>
      <w:r>
        <w:t xml:space="preserve">Hochreiter, S., &amp; Schmidhuber, J. (1997). Long short-term memory.</w:t>
      </w:r>
      <w:r>
        <w:t xml:space="preserve"> </w:t>
      </w:r>
      <w:r>
        <w:rPr>
          <w:i/>
          <w:iCs/>
        </w:rPr>
        <w:t xml:space="preserve">Neural Computation, 9</w:t>
      </w:r>
      <w:r>
        <w:t xml:space="preserve">(8), 1735–1780. https://doi.org/10.1162/neco.1997.9.8.1735</w:t>
      </w:r>
    </w:p>
    <w:p>
      <w:pPr>
        <w:pStyle w:val="BodyText"/>
      </w:pPr>
      <w:r>
        <w:t xml:space="preserve">Huang, K., Fu, T., Gao, W., Zhao, Y., Roohani, Y., Leskovec, J., … &amp; Zitnik, M. (2021). Therapeutics Data Commons: Machine learning datasets and tasks for drug discovery and development.</w:t>
      </w:r>
      <w:r>
        <w:t xml:space="preserve"> </w:t>
      </w:r>
      <w:r>
        <w:rPr>
          <w:i/>
          <w:iCs/>
        </w:rPr>
        <w:t xml:space="preserve">arXiv preprint arXiv:2102.09548</w:t>
      </w:r>
      <w:r>
        <w:t xml:space="preserve">.</w:t>
      </w:r>
    </w:p>
    <w:p>
      <w:pPr>
        <w:pStyle w:val="BodyText"/>
      </w:pPr>
      <w:r>
        <w:t xml:space="preserve">Huang, N., Shoichet, B. K., &amp; Irwin, J. J. (2020). Benchmarking embedding/metric learning for drug discovery.</w:t>
      </w:r>
      <w:r>
        <w:t xml:space="preserve"> </w:t>
      </w:r>
      <w:r>
        <w:rPr>
          <w:i/>
          <w:iCs/>
        </w:rPr>
        <w:t xml:space="preserve">Journal of Chemical Information and Modeling, 60</w:t>
      </w:r>
      <w:r>
        <w:t xml:space="preserve">(12), 5983–5994.</w:t>
      </w:r>
    </w:p>
    <w:p>
      <w:pPr>
        <w:pStyle w:val="BodyText"/>
      </w:pPr>
      <w:r>
        <w:t xml:space="preserve">Hughes, J. P., Rees, S., Kalindjian, S. B., &amp; Philpott, K. L. (2011). Principles of early drug discovery.</w:t>
      </w:r>
      <w:r>
        <w:t xml:space="preserve"> </w:t>
      </w:r>
      <w:r>
        <w:rPr>
          <w:i/>
          <w:iCs/>
        </w:rPr>
        <w:t xml:space="preserve">British Journal of Pharmacology, 162</w:t>
      </w:r>
      <w:r>
        <w:t xml:space="preserve">(6), 1239–1249.</w:t>
      </w:r>
    </w:p>
    <w:p>
      <w:pPr>
        <w:pStyle w:val="BodyText"/>
      </w:pPr>
      <w:r>
        <w:t xml:space="preserve">Irwin, J. J., Tang, K. G., Young, J., Dandarchuluun, C., Wong, B. R., Khurelbaatar, M., Moroz, Y. S., Mayfield, J., &amp; Sayle, R. A. (2020). ZINC20—A free ultralarge-scale chemical database for ligand discovery.</w:t>
      </w:r>
      <w:r>
        <w:t xml:space="preserve"> </w:t>
      </w:r>
      <w:r>
        <w:rPr>
          <w:i/>
          <w:iCs/>
        </w:rPr>
        <w:t xml:space="preserve">Journal of Chemical Information and Modeling, 60</w:t>
      </w:r>
      <w:r>
        <w:t xml:space="preserve">(12), 6065–6073. https://doi.org/10.1021/acs.jcim.0c00675</w:t>
      </w:r>
    </w:p>
    <w:p>
      <w:pPr>
        <w:pStyle w:val="BodyText"/>
      </w:pPr>
      <w:r>
        <w:t xml:space="preserve">Jarrahi, M. H. (2018). Artificial intelligence and the future of work: Human-AI symbiosis in organizational decision making.</w:t>
      </w:r>
      <w:r>
        <w:t xml:space="preserve"> </w:t>
      </w:r>
      <w:r>
        <w:rPr>
          <w:i/>
          <w:iCs/>
        </w:rPr>
        <w:t xml:space="preserve">Business Horizons, 61</w:t>
      </w:r>
      <w:r>
        <w:t xml:space="preserve">(4), 577–586.</w:t>
      </w:r>
    </w:p>
    <w:p>
      <w:pPr>
        <w:pStyle w:val="BodyText"/>
      </w:pPr>
      <w:r>
        <w:t xml:space="preserve">Jiang, D., Wu, Z., Hsieh, C.-Y., Chen, G., Liao, B., Wang, Z., … &amp; Hou, T. (2021). Could graph neural networks learn better molecular representation for drug discovery?</w:t>
      </w:r>
      <w:r>
        <w:t xml:space="preserve"> </w:t>
      </w:r>
      <w:r>
        <w:rPr>
          <w:i/>
          <w:iCs/>
        </w:rPr>
        <w:t xml:space="preserve">Journal of Cheminformatics, 13</w:t>
      </w:r>
      <w:r>
        <w:t xml:space="preserve">(1), 1–23.</w:t>
      </w:r>
    </w:p>
    <w:p>
      <w:pPr>
        <w:pStyle w:val="BodyText"/>
      </w:pPr>
      <w:r>
        <w:t xml:space="preserve">Jiménez, J., Doerr, S., Martínez-Rosell, G., Rose, A. S., &amp; De Fabritiis, G. (2017). DeepSite: Protein-binding site predictor using 3D-convolutional neural networks.</w:t>
      </w:r>
      <w:r>
        <w:t xml:space="preserve"> </w:t>
      </w:r>
      <w:r>
        <w:rPr>
          <w:i/>
          <w:iCs/>
        </w:rPr>
        <w:t xml:space="preserve">Bioinformatics, 33</w:t>
      </w:r>
      <w:r>
        <w:t xml:space="preserve">(19), 3036–3042. https://doi.org/10.1093/bioinformatics/btx350</w:t>
      </w:r>
    </w:p>
    <w:p>
      <w:pPr>
        <w:pStyle w:val="BodyText"/>
      </w:pPr>
      <w:r>
        <w:t xml:space="preserve">Jumper, J., Evans, R., Pritzel, A., Green, T., Figurnov, M., Ronneberger, O., Tunyasuvunakool, K., Bates, R., Žídek, A., Potapenko, A., Bridgland, A., Meyer, C., Kohl, S. A. A., Ballard, A. J., Cowie, A., Romera-Paredes, B., Nikolov, S., Jain, R., Adler, J., … &amp; Hassabis, D. (2021). Highly accurate protein structure prediction with AlphaFold.</w:t>
      </w:r>
      <w:r>
        <w:t xml:space="preserve"> </w:t>
      </w:r>
      <w:r>
        <w:rPr>
          <w:i/>
          <w:iCs/>
        </w:rPr>
        <w:t xml:space="preserve">Nature, 596</w:t>
      </w:r>
      <w:r>
        <w:t xml:space="preserve">(7873), 583–589. https://doi.org/10.1038/s41586-021-03819-2</w:t>
      </w:r>
    </w:p>
    <w:p>
      <w:pPr>
        <w:pStyle w:val="BodyText"/>
      </w:pPr>
      <w:r>
        <w:t xml:space="preserve">Kadurin, A., Nikolenko, S., Khrabrov, K., Aliper, A., &amp; Zhavoronkov, A. (2017). druGAN: An advanced generative adversarial autoencoder model for de novo generation of new molecules with desired molecular properties in silico.</w:t>
      </w:r>
      <w:r>
        <w:t xml:space="preserve"> </w:t>
      </w:r>
      <w:r>
        <w:rPr>
          <w:i/>
          <w:iCs/>
        </w:rPr>
        <w:t xml:space="preserve">Molecular Pharmaceutics, 14</w:t>
      </w:r>
      <w:r>
        <w:t xml:space="preserve">(9), 3098–3104.</w:t>
      </w:r>
    </w:p>
    <w:p>
      <w:pPr>
        <w:pStyle w:val="BodyText"/>
      </w:pPr>
      <w:r>
        <w:t xml:space="preserve">Karimi, M., Wu, D., Wang, Z., &amp; Shen, Y. (2019). DeepAffinity: Interpretable deep learning of compound–protein affinity.</w:t>
      </w:r>
      <w:r>
        <w:t xml:space="preserve"> </w:t>
      </w:r>
      <w:r>
        <w:rPr>
          <w:i/>
          <w:iCs/>
        </w:rPr>
        <w:t xml:space="preserve">Bioinformatics, 35</w:t>
      </w:r>
      <w:r>
        <w:t xml:space="preserve">(18), 3329–3338.</w:t>
      </w:r>
    </w:p>
    <w:p>
      <w:pPr>
        <w:pStyle w:val="BodyText"/>
      </w:pPr>
      <w:r>
        <w:t xml:space="preserve">Karimian, G., Petzeller, M., &amp; Lemke, O. (2022). The ethics of AI in pharmacy practice: specific issues and general concerns.</w:t>
      </w:r>
      <w:r>
        <w:t xml:space="preserve"> </w:t>
      </w:r>
      <w:r>
        <w:rPr>
          <w:i/>
          <w:iCs/>
        </w:rPr>
        <w:t xml:space="preserve">International Journal of Clinical Pharmacy, 44</w:t>
      </w:r>
      <w:r>
        <w:t xml:space="preserve">, 829–834.</w:t>
      </w:r>
    </w:p>
    <w:p>
      <w:pPr>
        <w:pStyle w:val="BodyText"/>
      </w:pPr>
      <w:r>
        <w:t xml:space="preserve">Kempt, H., &amp; Nagel, S. K. (2022). Responsibility, second opinions and peer-disagreement: Ethical and epistemological challenges of using AI in clinical diagnostic contexts.</w:t>
      </w:r>
      <w:r>
        <w:t xml:space="preserve"> </w:t>
      </w:r>
      <w:r>
        <w:rPr>
          <w:i/>
          <w:iCs/>
        </w:rPr>
        <w:t xml:space="preserve">Journal of Medical Ethics, 48</w:t>
      </w:r>
      <w:r>
        <w:t xml:space="preserve">(4), 222–229.</w:t>
      </w:r>
    </w:p>
    <w:p>
      <w:pPr>
        <w:pStyle w:val="BodyText"/>
      </w:pPr>
      <w:r>
        <w:t xml:space="preserve">Keshavarzi Arshadi, A., Salem, M., Collins, J., Moss, J., &amp; Ekins, S. (2020). Deep learning in drug discovery: a new era for artificial intelligence.</w:t>
      </w:r>
      <w:r>
        <w:t xml:space="preserve"> </w:t>
      </w:r>
      <w:r>
        <w:rPr>
          <w:i/>
          <w:iCs/>
        </w:rPr>
        <w:t xml:space="preserve">Drug Discovery Today, 25</w:t>
      </w:r>
      <w:r>
        <w:t xml:space="preserve">(10), 90–100.</w:t>
      </w:r>
    </w:p>
    <w:p>
      <w:pPr>
        <w:pStyle w:val="BodyText"/>
      </w:pPr>
      <w:r>
        <w:t xml:space="preserve">Khan, S., Gondal, T. M., &amp; Irfan, M. (2024). The role of AI in drug discovery: A comprehensive review.</w:t>
      </w:r>
      <w:r>
        <w:t xml:space="preserve"> </w:t>
      </w:r>
      <w:r>
        <w:rPr>
          <w:i/>
          <w:iCs/>
        </w:rPr>
        <w:t xml:space="preserve">Computers in Biology and Medicine, 168</w:t>
      </w:r>
      <w:r>
        <w:t xml:space="preserve">, 107775.</w:t>
      </w:r>
    </w:p>
    <w:p>
      <w:pPr>
        <w:pStyle w:val="BodyText"/>
      </w:pPr>
      <w:r>
        <w:t xml:space="preserve">Kim, S., Thiessen, P. A., Bolton, E. E., Chen, J., Fu, G., Gindulyte, A., Han, L., He, J., He, S., Shoemaker, B. A., Wang, J., Yu, B., Zhang, J., &amp; Bryant, S. H. (2016). PubChem Substance and Compound databases.</w:t>
      </w:r>
      <w:r>
        <w:t xml:space="preserve"> </w:t>
      </w:r>
      <w:r>
        <w:rPr>
          <w:i/>
          <w:iCs/>
        </w:rPr>
        <w:t xml:space="preserve">Nucleic Acids Research, 44</w:t>
      </w:r>
      <w:r>
        <w:t xml:space="preserve">(D1), D1202–D1213. https://doi.org/10.1093/nar/gkv951</w:t>
      </w:r>
    </w:p>
    <w:p>
      <w:pPr>
        <w:pStyle w:val="BodyText"/>
      </w:pPr>
      <w:r>
        <w:t xml:space="preserve">Kingma, D. P., &amp; Welling, M. (2014). Auto-encoding variational Bayes.</w:t>
      </w:r>
      <w:r>
        <w:t xml:space="preserve"> </w:t>
      </w:r>
      <w:r>
        <w:rPr>
          <w:i/>
          <w:iCs/>
        </w:rPr>
        <w:t xml:space="preserve">arXiv preprint arXiv:1312.6114</w:t>
      </w:r>
      <w:r>
        <w:t xml:space="preserve">. https://arxiv.org/abs/1312.6114</w:t>
      </w:r>
    </w:p>
    <w:p>
      <w:pPr>
        <w:pStyle w:val="BodyText"/>
      </w:pPr>
      <w:r>
        <w:t xml:space="preserve">Korotcov, A., Tkachenko, V., Russo, D. P., &amp; Ekins, S. (2017). Comparison of deep learning with multiple machine learning methods and metrics using diverse drug discovery data sets.</w:t>
      </w:r>
      <w:r>
        <w:t xml:space="preserve"> </w:t>
      </w:r>
      <w:r>
        <w:rPr>
          <w:i/>
          <w:iCs/>
        </w:rPr>
        <w:t xml:space="preserve">Molecular Pharmaceutics, 14</w:t>
      </w:r>
      <w:r>
        <w:t xml:space="preserve">(12), 4462–4475.</w:t>
      </w:r>
    </w:p>
    <w:p>
      <w:pPr>
        <w:pStyle w:val="BodyText"/>
      </w:pPr>
      <w:r>
        <w:t xml:space="preserve">Kosonocky, T., Le, H., &amp; Khurana, S. (2024). Natural language processing for drug discovery.</w:t>
      </w:r>
      <w:r>
        <w:t xml:space="preserve"> </w:t>
      </w:r>
      <w:r>
        <w:rPr>
          <w:i/>
          <w:iCs/>
        </w:rPr>
        <w:t xml:space="preserve">Drug Discovery Today, 29</w:t>
      </w:r>
      <w:r>
        <w:t xml:space="preserve">(1), 103822.</w:t>
      </w:r>
    </w:p>
    <w:p>
      <w:pPr>
        <w:pStyle w:val="BodyText"/>
      </w:pPr>
      <w:r>
        <w:t xml:space="preserve">Krivák, R., &amp; Hoksza, D. (2018). P2Rank: Machine learning based tool for rapid and accurate prediction of ligand binding sites from protein structure.</w:t>
      </w:r>
      <w:r>
        <w:t xml:space="preserve"> </w:t>
      </w:r>
      <w:r>
        <w:rPr>
          <w:i/>
          <w:iCs/>
        </w:rPr>
        <w:t xml:space="preserve">Journal of Cheminformatics, 10</w:t>
      </w:r>
      <w:r>
        <w:t xml:space="preserve">(1), 39. https://doi.org/10.1186/s13321-018-0285-8</w:t>
      </w:r>
    </w:p>
    <w:p>
      <w:pPr>
        <w:pStyle w:val="BodyText"/>
      </w:pPr>
      <w:r>
        <w:t xml:space="preserve">Kryshtafovych, A., &amp; Fidelis, K. (2009). Protein structure prediction and model quality assessment.</w:t>
      </w:r>
      <w:r>
        <w:t xml:space="preserve"> </w:t>
      </w:r>
      <w:r>
        <w:rPr>
          <w:i/>
          <w:iCs/>
        </w:rPr>
        <w:t xml:space="preserve">Drug Discovery Today, 14</w:t>
      </w:r>
      <w:r>
        <w:t xml:space="preserve">(7–8), 386–393.</w:t>
      </w:r>
    </w:p>
    <w:p>
      <w:pPr>
        <w:pStyle w:val="BodyText"/>
      </w:pPr>
      <w:r>
        <w:t xml:space="preserve">Kuznetsov, M., &amp; Polykovskiy, D. (2021). MolGrow: A graph normalizing flow for hierarchical molecular generation.</w:t>
      </w:r>
      <w:r>
        <w:t xml:space="preserve"> </w:t>
      </w:r>
      <w:r>
        <w:rPr>
          <w:i/>
          <w:iCs/>
        </w:rPr>
        <w:t xml:space="preserve">Proceedings of the AAAI Conference on Artificial Intelligence, 35</w:t>
      </w:r>
      <w:r>
        <w:t xml:space="preserve">(1), 316–324.</w:t>
      </w:r>
    </w:p>
    <w:p>
      <w:pPr>
        <w:pStyle w:val="BodyText"/>
      </w:pPr>
      <w:r>
        <w:t xml:space="preserve">Lavecchia, A. (2015). Machine-learning approaches in drug discovery: Methods and applications.</w:t>
      </w:r>
      <w:r>
        <w:t xml:space="preserve"> </w:t>
      </w:r>
      <w:r>
        <w:rPr>
          <w:i/>
          <w:iCs/>
        </w:rPr>
        <w:t xml:space="preserve">Drug Discovery Today, 20</w:t>
      </w:r>
      <w:r>
        <w:t xml:space="preserve">(3), 318–331.</w:t>
      </w:r>
    </w:p>
    <w:p>
      <w:pPr>
        <w:pStyle w:val="BodyText"/>
      </w:pPr>
      <w:r>
        <w:t xml:space="preserve">Li, G., Muller, M., Thabet, A., &amp; Ghanem, B. (2019). DeepGCNs: Can GCNs go as deep as CNNs? In</w:t>
      </w:r>
      <w:r>
        <w:t xml:space="preserve"> </w:t>
      </w:r>
      <w:r>
        <w:rPr>
          <w:i/>
          <w:iCs/>
        </w:rPr>
        <w:t xml:space="preserve">Proceedings of the IEEE/CVF International Conference on Computer Vision</w:t>
      </w:r>
      <w:r>
        <w:t xml:space="preserve"> </w:t>
      </w:r>
      <w:r>
        <w:t xml:space="preserve">(pp. 9267–9276).</w:t>
      </w:r>
    </w:p>
    <w:p>
      <w:pPr>
        <w:pStyle w:val="BodyText"/>
      </w:pPr>
      <w:r>
        <w:t xml:space="preserve">Li, L., Chen, R., &amp; Weng, Z. (2003). RDOCK: Refinement of rigid-body protein docking predictions.</w:t>
      </w:r>
      <w:r>
        <w:t xml:space="preserve"> </w:t>
      </w:r>
      <w:r>
        <w:rPr>
          <w:i/>
          <w:iCs/>
        </w:rPr>
        <w:t xml:space="preserve">Proteins, 53</w:t>
      </w:r>
      <w:r>
        <w:t xml:space="preserve">(3), 693–707.</w:t>
      </w:r>
    </w:p>
    <w:p>
      <w:pPr>
        <w:pStyle w:val="BodyText"/>
      </w:pPr>
      <w:r>
        <w:t xml:space="preserve">Li, Y., Liu, B., Deng, J., Guo, Y., &amp; Du, H. (2024). Image-based molecular representation learning for drug development: A survey.</w:t>
      </w:r>
      <w:r>
        <w:t xml:space="preserve"> </w:t>
      </w:r>
      <w:r>
        <w:rPr>
          <w:i/>
          <w:iCs/>
        </w:rPr>
        <w:t xml:space="preserve">Briefings in Bioinformatics, 25</w:t>
      </w:r>
      <w:r>
        <w:t xml:space="preserve">(4), bbae294. https://doi.org/10.1093/bib/bbae294</w:t>
      </w:r>
    </w:p>
    <w:p>
      <w:pPr>
        <w:pStyle w:val="BodyText"/>
      </w:pPr>
      <w:r>
        <w:t xml:space="preserve">Li, Y. L., Huang, R., Xia, M., Patterson, T. A., &amp; Hong, H. (2021). Quantum machine learning in drug discovery.</w:t>
      </w:r>
      <w:r>
        <w:t xml:space="preserve"> </w:t>
      </w:r>
      <w:r>
        <w:rPr>
          <w:i/>
          <w:iCs/>
        </w:rPr>
        <w:t xml:space="preserve">Drug Discovery Today, 26</w:t>
      </w:r>
      <w:r>
        <w:t xml:space="preserve">(6), 1339–1347.</w:t>
      </w:r>
    </w:p>
    <w:p>
      <w:pPr>
        <w:pStyle w:val="BodyText"/>
      </w:pPr>
      <w:r>
        <w:t xml:space="preserve">Li, Z., Huang, R., Xia, M., Patterson, T. A., &amp; Hong, H. (2024). Fingerprinting interactions between proteins and ligands for facilitating machine learning in drug discovery.</w:t>
      </w:r>
      <w:r>
        <w:t xml:space="preserve"> </w:t>
      </w:r>
      <w:r>
        <w:rPr>
          <w:i/>
          <w:iCs/>
        </w:rPr>
        <w:t xml:space="preserve">Biomolecules, 14</w:t>
      </w:r>
      <w:r>
        <w:t xml:space="preserve">(1), 72. https://doi.org/10.3390/biom14010072</w:t>
      </w:r>
    </w:p>
    <w:p>
      <w:pPr>
        <w:pStyle w:val="BodyText"/>
      </w:pPr>
      <w:r>
        <w:t xml:space="preserve">Liang, J., Edelsbrunner, H., Fu, P., Sudhakar, P. V., &amp; Subramaniam, S. (1998). Analytical shape computation of macromolecules: I.</w:t>
      </w:r>
      <w:r>
        <w:t xml:space="preserve"> </w:t>
      </w:r>
      <w:r>
        <w:rPr>
          <w:i/>
          <w:iCs/>
        </w:rPr>
        <w:t xml:space="preserve">Proteins, 33</w:t>
      </w:r>
      <w:r>
        <w:t xml:space="preserve">(1), 1–17.</w:t>
      </w:r>
    </w:p>
    <w:p>
      <w:pPr>
        <w:pStyle w:val="BodyText"/>
      </w:pPr>
      <w:r>
        <w:t xml:space="preserve">Lim, J., Ryu, S., Kim, J. W., &amp; Kim, W. Y. (2018). Molecular generative model based on conditional variational autoencoder for de novo molecular design.</w:t>
      </w:r>
      <w:r>
        <w:t xml:space="preserve"> </w:t>
      </w:r>
      <w:r>
        <w:rPr>
          <w:i/>
          <w:iCs/>
        </w:rPr>
        <w:t xml:space="preserve">Journal of Cheminformatics, 10</w:t>
      </w:r>
      <w:r>
        <w:t xml:space="preserve">(1), 31.</w:t>
      </w:r>
    </w:p>
    <w:p>
      <w:pPr>
        <w:pStyle w:val="BodyText"/>
      </w:pPr>
      <w:r>
        <w:t xml:space="preserve">Lin, Z., Akin, H., Rao, R., Hie, B., Zhu, Z., Lu, W., … &amp; Rives, A. (2023). Evolutionary-scale prediction of atomic-level protein structure with a language model.</w:t>
      </w:r>
      <w:r>
        <w:t xml:space="preserve"> </w:t>
      </w:r>
      <w:r>
        <w:rPr>
          <w:i/>
          <w:iCs/>
        </w:rPr>
        <w:t xml:space="preserve">Science, 379</w:t>
      </w:r>
      <w:r>
        <w:t xml:space="preserve">(6637), 1123–1130. https://doi.org/10.1126/science.ade2574</w:t>
      </w:r>
    </w:p>
    <w:p>
      <w:pPr>
        <w:pStyle w:val="BodyText"/>
      </w:pPr>
      <w:r>
        <w:t xml:space="preserve">Lo, Y.-C., Rensi, S. E., Torng, W., &amp; Altman, R. B. (2018). Machine learning in chemoinformatics and drug discovery.</w:t>
      </w:r>
      <w:r>
        <w:t xml:space="preserve"> </w:t>
      </w:r>
      <w:r>
        <w:rPr>
          <w:i/>
          <w:iCs/>
        </w:rPr>
        <w:t xml:space="preserve">Drug Discovery Today, 23</w:t>
      </w:r>
      <w:r>
        <w:t xml:space="preserve">(8), 1538–1546.</w:t>
      </w:r>
    </w:p>
    <w:p>
      <w:pPr>
        <w:pStyle w:val="BodyText"/>
      </w:pPr>
      <w:r>
        <w:t xml:space="preserve">Ma, J., Sheridan, R. P., Liaw, A., … &amp; Dahl, G. E. (2015). Deep neural nets as a method for QSAR.</w:t>
      </w:r>
      <w:r>
        <w:t xml:space="preserve"> </w:t>
      </w:r>
      <w:r>
        <w:rPr>
          <w:i/>
          <w:iCs/>
        </w:rPr>
        <w:t xml:space="preserve">Journal of Chemical Information and Modeling, 55</w:t>
      </w:r>
      <w:r>
        <w:t xml:space="preserve">(2), 263–274.</w:t>
      </w:r>
    </w:p>
    <w:p>
      <w:pPr>
        <w:pStyle w:val="BodyText"/>
      </w:pPr>
      <w:r>
        <w:t xml:space="preserve">Magazine, P. (2022). Malaria vaccine approval: A 35-year journey.</w:t>
      </w:r>
      <w:r>
        <w:t xml:space="preserve"> </w:t>
      </w:r>
      <w:r>
        <w:rPr>
          <w:i/>
          <w:iCs/>
        </w:rPr>
        <w:t xml:space="preserve">Pharmaceutical Magazine</w:t>
      </w:r>
      <w:r>
        <w:t xml:space="preserve">.</w:t>
      </w:r>
    </w:p>
    <w:p>
      <w:pPr>
        <w:pStyle w:val="BodyText"/>
      </w:pPr>
      <w:r>
        <w:t xml:space="preserve">Mahesh, K., &amp; Shijo, M. (2023). Quantum computing in drug discovery: A review.</w:t>
      </w:r>
      <w:r>
        <w:t xml:space="preserve"> </w:t>
      </w:r>
      <w:r>
        <w:rPr>
          <w:i/>
          <w:iCs/>
        </w:rPr>
        <w:t xml:space="preserve">Drug Discovery Today, 28</w:t>
      </w:r>
      <w:r>
        <w:t xml:space="preserve">(5), 103527.</w:t>
      </w:r>
    </w:p>
    <w:p>
      <w:pPr>
        <w:pStyle w:val="BodyText"/>
      </w:pPr>
      <w:r>
        <w:t xml:space="preserve">Maia, E. H. B., Assis, L. C., de Oliveira, T. A., da Silva, A. M., &amp; Taranto, A. G. (2020). Structure-based virtual screening: From classical to artificial intelligence.</w:t>
      </w:r>
      <w:r>
        <w:t xml:space="preserve"> </w:t>
      </w:r>
      <w:r>
        <w:rPr>
          <w:i/>
          <w:iCs/>
        </w:rPr>
        <w:t xml:space="preserve">Frontiers in Chemistry, 8</w:t>
      </w:r>
      <w:r>
        <w:t xml:space="preserve">, 343.</w:t>
      </w:r>
    </w:p>
    <w:p>
      <w:pPr>
        <w:pStyle w:val="BodyText"/>
      </w:pPr>
      <w:r>
        <w:t xml:space="preserve">Mak, K.-K., &amp; Pichika, M. R. (2019). Artificial intelligence in drug development: Present status and future prospects.</w:t>
      </w:r>
      <w:r>
        <w:t xml:space="preserve"> </w:t>
      </w:r>
      <w:r>
        <w:rPr>
          <w:i/>
          <w:iCs/>
        </w:rPr>
        <w:t xml:space="preserve">Drug Discovery Today, 24</w:t>
      </w:r>
      <w:r>
        <w:t xml:space="preserve">, 773–780.</w:t>
      </w:r>
    </w:p>
    <w:p>
      <w:pPr>
        <w:pStyle w:val="BodyText"/>
      </w:pPr>
      <w:r>
        <w:t xml:space="preserve">McArdle, S., Endo, S., Aspuru-Guzik, A., Benjamin, S. C., &amp; Yuan, X. (2020). Quantum computational chemistry.</w:t>
      </w:r>
      <w:r>
        <w:t xml:space="preserve"> </w:t>
      </w:r>
      <w:r>
        <w:rPr>
          <w:i/>
          <w:iCs/>
        </w:rPr>
        <w:t xml:space="preserve">Reviews of Modern Physics, 92</w:t>
      </w:r>
      <w:r>
        <w:t xml:space="preserve">(1), 015003. https://doi.org/10.1103/RevModPhys.92.015003</w:t>
      </w:r>
    </w:p>
    <w:p>
      <w:pPr>
        <w:pStyle w:val="BodyText"/>
      </w:pPr>
      <w:r>
        <w:t xml:space="preserve">McKinney, S. M., Sieniek, M., Godbole, V., Godwin, J., Antropova, N., Ashrafian, H., … &amp; Shetty, S. (2020). International evaluation of an AI system for breast cancer screening.</w:t>
      </w:r>
      <w:r>
        <w:t xml:space="preserve"> </w:t>
      </w:r>
      <w:r>
        <w:rPr>
          <w:i/>
          <w:iCs/>
        </w:rPr>
        <w:t xml:space="preserve">Nature, 577</w:t>
      </w:r>
      <w:r>
        <w:t xml:space="preserve">(7788), 89–94. https://doi.org/10.1038/s41586-019-1799-6</w:t>
      </w:r>
    </w:p>
    <w:p>
      <w:pPr>
        <w:pStyle w:val="BodyText"/>
      </w:pPr>
      <w:r>
        <w:t xml:space="preserve">Mendez, D., Gaulton, A., Bento, A. P., Chambers, J., De Veij, M., Félix, E., Magariños, M. P., Mosquera, J. F., Mutowo, P., Nowotka, M., Gordillo-Marañón, M., Hunter, F., Junco, L., Mugumbate, G., Rodriguez-Lopez, M., Atkinson, F., Bosc, N., Radoux, C. J., Segura-Cabrera, A., … &amp; Leach, A. R. (2019). ChEMBL: Towards direct deposition of bioassay data.</w:t>
      </w:r>
      <w:r>
        <w:t xml:space="preserve"> </w:t>
      </w:r>
      <w:r>
        <w:rPr>
          <w:i/>
          <w:iCs/>
        </w:rPr>
        <w:t xml:space="preserve">Nucleic Acids Research, 47</w:t>
      </w:r>
      <w:r>
        <w:t xml:space="preserve">(D1), D930–D940. https://doi.org/10.1093/nar/gky1075</w:t>
      </w:r>
    </w:p>
    <w:p>
      <w:pPr>
        <w:pStyle w:val="BodyText"/>
      </w:pPr>
      <w:r>
        <w:t xml:space="preserve">Miotto, R., Li, L., Kidd, B. A., &amp; Dudley, J. T. (2016). Deep patient: An unsupervised representation to predict the future of patients from the electronic health records.</w:t>
      </w:r>
      <w:r>
        <w:t xml:space="preserve"> </w:t>
      </w:r>
      <w:r>
        <w:rPr>
          <w:i/>
          <w:iCs/>
        </w:rPr>
        <w:t xml:space="preserve">Scientific Reports, 6</w:t>
      </w:r>
      <w:r>
        <w:t xml:space="preserve">, 26094. https://doi.org/10.1038/srep26094</w:t>
      </w:r>
    </w:p>
    <w:p>
      <w:pPr>
        <w:pStyle w:val="BodyText"/>
      </w:pPr>
      <w:r>
        <w:t xml:space="preserve">Mirdita, M., Schütze, K., Moriwaki, Y., Heo, L., Ovchinnikov, S., &amp; Steinegger, M. (2022). ColabFold: Making protein folding accessible to all.</w:t>
      </w:r>
      <w:r>
        <w:t xml:space="preserve"> </w:t>
      </w:r>
      <w:r>
        <w:rPr>
          <w:i/>
          <w:iCs/>
        </w:rPr>
        <w:t xml:space="preserve">Nature Methods, 19</w:t>
      </w:r>
      <w:r>
        <w:t xml:space="preserve">(6), 679–682. https://doi.org/10.1038/s41592-022-01488-1</w:t>
      </w:r>
    </w:p>
    <w:p>
      <w:pPr>
        <w:pStyle w:val="BodyText"/>
      </w:pPr>
      <w:r>
        <w:t xml:space="preserve">Moult, J., Fidelis, K., Kryshtafovych, A., Schwede, T., &amp; Tramontano, A. (2014). Critical assessment of methods of protein structure prediction (CASP)—Round X.</w:t>
      </w:r>
      <w:r>
        <w:t xml:space="preserve"> </w:t>
      </w:r>
      <w:r>
        <w:rPr>
          <w:i/>
          <w:iCs/>
        </w:rPr>
        <w:t xml:space="preserve">Proteins: Structure, Function, and Bioinformatics, 82</w:t>
      </w:r>
      <w:r>
        <w:t xml:space="preserve">(S2), 1–6.</w:t>
      </w:r>
    </w:p>
    <w:p>
      <w:pPr>
        <w:pStyle w:val="BodyText"/>
      </w:pPr>
      <w:r>
        <w:t xml:space="preserve">Naik, N., Hameed, B. Z., Shetty, D. K., … &amp; Somani, B. K. (2022). Legal and ethical consideration in artificial intelligence in healthcare: A comprehensive review.</w:t>
      </w:r>
      <w:r>
        <w:t xml:space="preserve"> </w:t>
      </w:r>
      <w:r>
        <w:rPr>
          <w:i/>
          <w:iCs/>
        </w:rPr>
        <w:t xml:space="preserve">Frontiers in Public Health, 10</w:t>
      </w:r>
      <w:r>
        <w:t xml:space="preserve">, 862322.</w:t>
      </w:r>
    </w:p>
    <w:p>
      <w:pPr>
        <w:pStyle w:val="BodyText"/>
      </w:pPr>
      <w:r>
        <w:t xml:space="preserve">Naumov, P. S., Kholodov, V. P., Oseev, A. E., Osetrova, T. A., Artemov, A. D., Aliper, A., … &amp; Zhavoronkov, A. (2023). Chemistry42: An AI-driven platform for molecular design and optimization.</w:t>
      </w:r>
      <w:r>
        <w:t xml:space="preserve"> </w:t>
      </w:r>
      <w:r>
        <w:rPr>
          <w:i/>
          <w:iCs/>
        </w:rPr>
        <w:t xml:space="preserve">Journal of Chemical Information and Modeling, 63</w:t>
      </w:r>
      <w:r>
        <w:t xml:space="preserve">(4), 1279–1290. https://doi.org/10.1021/acs.jcim.2c01191</w:t>
      </w:r>
    </w:p>
    <w:p>
      <w:pPr>
        <w:pStyle w:val="BodyText"/>
      </w:pPr>
      <w:r>
        <w:t xml:space="preserve">Numerate, Inc. (2022).</w:t>
      </w:r>
      <w:r>
        <w:t xml:space="preserve"> </w:t>
      </w:r>
      <w:r>
        <w:rPr>
          <w:i/>
          <w:iCs/>
        </w:rPr>
        <w:t xml:space="preserve">Transforming drug discovery with data-driven AI</w:t>
      </w:r>
      <w:r>
        <w:t xml:space="preserve">. https://numerate.com</w:t>
      </w:r>
    </w:p>
    <w:p>
      <w:pPr>
        <w:pStyle w:val="BodyText"/>
      </w:pPr>
      <w:r>
        <w:t xml:space="preserve">Nussinov, R., Zhang, M., Liu, Y., &amp; Cheng, L. (2022). AlphaFold2: A major leap for structural biology and drug discovery.</w:t>
      </w:r>
      <w:r>
        <w:t xml:space="preserve"> </w:t>
      </w:r>
      <w:r>
        <w:rPr>
          <w:i/>
          <w:iCs/>
        </w:rPr>
        <w:t xml:space="preserve">Signal Transduction and Targeted Therapy, 7</w:t>
      </w:r>
      <w:r>
        <w:t xml:space="preserve">(1), 220.</w:t>
      </w:r>
    </w:p>
    <w:p>
      <w:pPr>
        <w:pStyle w:val="BodyText"/>
      </w:pPr>
      <w:r>
        <w:t xml:space="preserve">Olivecrona, M., Blaschke, T., Engkvist, O., &amp; Chen, H. (2017). Molecular de-novo design through deep reinforcement learning.</w:t>
      </w:r>
      <w:r>
        <w:t xml:space="preserve"> </w:t>
      </w:r>
      <w:r>
        <w:rPr>
          <w:i/>
          <w:iCs/>
        </w:rPr>
        <w:t xml:space="preserve">Journal of Cheminformatics, 9</w:t>
      </w:r>
      <w:r>
        <w:t xml:space="preserve">(1), 48. https://doi.org/10.1186/s13321-017-0235-x</w:t>
      </w:r>
    </w:p>
    <w:p>
      <w:pPr>
        <w:pStyle w:val="BodyText"/>
      </w:pPr>
      <w:r>
        <w:t xml:space="preserve">P360. (2022).</w:t>
      </w:r>
      <w:r>
        <w:t xml:space="preserve"> </w:t>
      </w:r>
      <w:r>
        <w:rPr>
          <w:i/>
          <w:iCs/>
        </w:rPr>
        <w:t xml:space="preserve">How AI is impacting pharmaceutical sales and marketing</w:t>
      </w:r>
      <w:r>
        <w:t xml:space="preserve">. P360.</w:t>
      </w:r>
    </w:p>
    <w:p>
      <w:pPr>
        <w:pStyle w:val="BodyText"/>
      </w:pPr>
      <w:r>
        <w:t xml:space="preserve">Pandey, M., Fernandez, M., Gentile, F., Isayev, O., Tropsha, A., Stern, A. C., &amp; Cherkasov, A. (2022). The transformational role of GPU computing and deep learning in drug discovery.</w:t>
      </w:r>
      <w:r>
        <w:t xml:space="preserve"> </w:t>
      </w:r>
      <w:r>
        <w:rPr>
          <w:i/>
          <w:iCs/>
        </w:rPr>
        <w:t xml:space="preserve">Nature Machine Intelligence, 4</w:t>
      </w:r>
      <w:r>
        <w:t xml:space="preserve">(3), 211–221.</w:t>
      </w:r>
    </w:p>
    <w:p>
      <w:pPr>
        <w:pStyle w:val="BodyText"/>
      </w:pPr>
      <w:r>
        <w:t xml:space="preserve">Parenti, M. D., &amp; Rastelli, G. (2012). Advances and applications of binding affinity prediction methods in drug discovery.</w:t>
      </w:r>
      <w:r>
        <w:t xml:space="preserve"> </w:t>
      </w:r>
      <w:r>
        <w:rPr>
          <w:i/>
          <w:iCs/>
        </w:rPr>
        <w:t xml:space="preserve">Biotechnology Advances, 30</w:t>
      </w:r>
      <w:r>
        <w:t xml:space="preserve">(5), 244–250.</w:t>
      </w:r>
    </w:p>
    <w:p>
      <w:pPr>
        <w:pStyle w:val="BodyText"/>
      </w:pPr>
      <w:r>
        <w:t xml:space="preserve">Paul, D., Sanap, G., Shenoy, S., Kalyane, D., Kalia, K., &amp; Tekade, R. K. (2021). Artificial intelligence in drug discovery and development.</w:t>
      </w:r>
      <w:r>
        <w:t xml:space="preserve"> </w:t>
      </w:r>
      <w:r>
        <w:rPr>
          <w:i/>
          <w:iCs/>
        </w:rPr>
        <w:t xml:space="preserve">Drug Discovery Today, 26</w:t>
      </w:r>
      <w:r>
        <w:t xml:space="preserve">(1), 80–93. https://doi.org/10.1016/j.drudis.2020.10.010</w:t>
      </w:r>
    </w:p>
    <w:p>
      <w:pPr>
        <w:pStyle w:val="BodyText"/>
      </w:pPr>
      <w:r>
        <w:t xml:space="preserve">Paul, S. M., Mytelka, D. S., Dunwiddie, C. T., Persinger, C. C., Munos, B. H., Lindborg, S. R., &amp; Schacht, A. L. (2010). How to improve R&amp;D productivity: The pharmaceutical industry’s grand challenge.</w:t>
      </w:r>
      <w:r>
        <w:t xml:space="preserve"> </w:t>
      </w:r>
      <w:r>
        <w:rPr>
          <w:i/>
          <w:iCs/>
        </w:rPr>
        <w:t xml:space="preserve">Nature Reviews Drug Discovery, 9</w:t>
      </w:r>
      <w:r>
        <w:t xml:space="preserve">(3), 203–214.</w:t>
      </w:r>
    </w:p>
    <w:p>
      <w:pPr>
        <w:pStyle w:val="BodyText"/>
      </w:pPr>
      <w:r>
        <w:t xml:space="preserve">Peters, J., Janzing, D., &amp; Schölkopf, B. (2011). Elements of causal inference: Foundations and learning algorithms.</w:t>
      </w:r>
      <w:r>
        <w:t xml:space="preserve"> </w:t>
      </w:r>
      <w:r>
        <w:rPr>
          <w:i/>
          <w:iCs/>
        </w:rPr>
        <w:t xml:space="preserve">MIT Press</w:t>
      </w:r>
      <w:r>
        <w:t xml:space="preserve">.</w:t>
      </w:r>
    </w:p>
    <w:p>
      <w:pPr>
        <w:pStyle w:val="BodyText"/>
      </w:pPr>
      <w:r>
        <w:t xml:space="preserve">Polishchuk, P. G., Madzhidov, T. I., &amp; Varnek, A. (2013). Estimation of the size of drug-like chemical space based on GDB-17 data.</w:t>
      </w:r>
      <w:r>
        <w:t xml:space="preserve"> </w:t>
      </w:r>
      <w:r>
        <w:rPr>
          <w:i/>
          <w:iCs/>
        </w:rPr>
        <w:t xml:space="preserve">Journal of Computer-Aided Molecular Design, 27</w:t>
      </w:r>
      <w:r>
        <w:t xml:space="preserve">(8), 675–679. https://doi.org/10.1007/s10822-013-9672-4</w:t>
      </w:r>
    </w:p>
    <w:p>
      <w:pPr>
        <w:pStyle w:val="BodyText"/>
      </w:pPr>
      <w:r>
        <w:t xml:space="preserve">Polykovskiy, D., Zhebrak, A., Sanchez-Lengeling, B., Golovanov, S., Tatanov, O., Belyaev, S., … &amp; Zhavoronkov, A. (2018). Molecular sets (MOSES): A benchmarking platform for molecular generation models.</w:t>
      </w:r>
      <w:r>
        <w:t xml:space="preserve"> </w:t>
      </w:r>
      <w:r>
        <w:rPr>
          <w:i/>
          <w:iCs/>
        </w:rPr>
        <w:t xml:space="preserve">Frontiers in Pharmacology, 11</w:t>
      </w:r>
      <w:r>
        <w:t xml:space="preserve">, 1931.</w:t>
      </w:r>
    </w:p>
    <w:p>
      <w:pPr>
        <w:pStyle w:val="BodyText"/>
      </w:pPr>
      <w:r>
        <w:t xml:space="preserve">Powles, J., &amp; Hodson, H. (2017). Google DeepMind and healthcare in an age of algorithms.</w:t>
      </w:r>
      <w:r>
        <w:t xml:space="preserve"> </w:t>
      </w:r>
      <w:r>
        <w:rPr>
          <w:i/>
          <w:iCs/>
        </w:rPr>
        <w:t xml:space="preserve">Health and Technology, 7</w:t>
      </w:r>
      <w:r>
        <w:t xml:space="preserve">, 351–367.</w:t>
      </w:r>
    </w:p>
    <w:p>
      <w:pPr>
        <w:pStyle w:val="BodyText"/>
      </w:pPr>
      <w:r>
        <w:t xml:space="preserve">Pun, F. W., Liu, B. H. M., Long, X., Leung, H. W., Leung, G. H. D., Mewborne, Q. T., … &amp; Zhavoronkov, A. (2022). Identification of therapeutic targets for amyotrophic lateral sclerosis using PandaOmics—An AI-enabled biological target discovery platform.</w:t>
      </w:r>
      <w:r>
        <w:t xml:space="preserve"> </w:t>
      </w:r>
      <w:r>
        <w:rPr>
          <w:i/>
          <w:iCs/>
        </w:rPr>
        <w:t xml:space="preserve">Frontiers in Aging Neuroscience, 14</w:t>
      </w:r>
      <w:r>
        <w:t xml:space="preserve">, 914017. https://doi.org/10.3389/fnagi.2022.914017</w:t>
      </w:r>
    </w:p>
    <w:p>
      <w:pPr>
        <w:pStyle w:val="BodyText"/>
      </w:pPr>
      <w:r>
        <w:t xml:space="preserve">Pun, F. W., Ozerov, I. V., &amp; Zhavoronkov, A. (2023). AI-powered therapeutic target discovery.</w:t>
      </w:r>
      <w:r>
        <w:t xml:space="preserve"> </w:t>
      </w:r>
      <w:r>
        <w:rPr>
          <w:i/>
          <w:iCs/>
        </w:rPr>
        <w:t xml:space="preserve">Trends in Pharmacological Sciences, 44</w:t>
      </w:r>
      <w:r>
        <w:t xml:space="preserve">(9), 561–572. https://doi.org/10.1016/j.tips.2023.06.010</w:t>
      </w:r>
    </w:p>
    <w:p>
      <w:pPr>
        <w:pStyle w:val="BodyText"/>
      </w:pPr>
      <w:r>
        <w:t xml:space="preserve">Putin, E., Asadulaev, A., Ivanenkov, Y., Aladinskiy, V., Sanchez-Lengeling, B., Aspuru-Guzik, A., &amp; Zhavoronkov, A. (2018). Reinforced adversarial neural computer for de novo molecular design.</w:t>
      </w:r>
      <w:r>
        <w:t xml:space="preserve"> </w:t>
      </w:r>
      <w:r>
        <w:rPr>
          <w:i/>
          <w:iCs/>
        </w:rPr>
        <w:t xml:space="preserve">Journal of Chemical Information and Modeling, 58</w:t>
      </w:r>
      <w:r>
        <w:t xml:space="preserve">(6), 1194–1204.</w:t>
      </w:r>
    </w:p>
    <w:p>
      <w:pPr>
        <w:pStyle w:val="BodyText"/>
      </w:pPr>
      <w:r>
        <w:t xml:space="preserve">Qiu, T., Qiu, J., Feng, J., … &amp; Zheng, W. (2017). Recent progress in proteochemometric modelling.</w:t>
      </w:r>
      <w:r>
        <w:t xml:space="preserve"> </w:t>
      </w:r>
      <w:r>
        <w:rPr>
          <w:i/>
          <w:iCs/>
        </w:rPr>
        <w:t xml:space="preserve">Briefings in Bioinformatics, 18</w:t>
      </w:r>
      <w:r>
        <w:t xml:space="preserve">(1), 125–136.</w:t>
      </w:r>
    </w:p>
    <w:p>
      <w:pPr>
        <w:pStyle w:val="BodyText"/>
      </w:pPr>
      <w:r>
        <w:t xml:space="preserve">Qureshi, R., Irfan, M., Gondal, T. M., Khan, S., Wu, J., Hadi, M. U., … &amp; Mahmood, A. (2023). AI in drug discovery and its clinical relevance.</w:t>
      </w:r>
      <w:r>
        <w:t xml:space="preserve"> </w:t>
      </w:r>
      <w:r>
        <w:rPr>
          <w:i/>
          <w:iCs/>
        </w:rPr>
        <w:t xml:space="preserve">Heliyon, 9</w:t>
      </w:r>
      <w:r>
        <w:t xml:space="preserve">(5), e16214.</w:t>
      </w:r>
    </w:p>
    <w:p>
      <w:pPr>
        <w:pStyle w:val="BodyText"/>
      </w:pPr>
      <w:r>
        <w:t xml:space="preserve">Ren, F., Ding, X., Zheng, M., Korzinkin, M., Cai, X., Zhu, W., … &amp; Zhavoronkov, A. (2023). AlphaFold accelerates artificial intelligence powered drug discovery: Efficient discovery of a novel CDK20 small molecule inhibitor.</w:t>
      </w:r>
      <w:r>
        <w:t xml:space="preserve"> </w:t>
      </w:r>
      <w:r>
        <w:rPr>
          <w:i/>
          <w:iCs/>
        </w:rPr>
        <w:t xml:space="preserve">Chemical Science, 14</w:t>
      </w:r>
      <w:r>
        <w:t xml:space="preserve">(6), 1443–1452. https://doi.org/10.1039/d2sc05709c</w:t>
      </w:r>
    </w:p>
    <w:p>
      <w:pPr>
        <w:pStyle w:val="BodyText"/>
      </w:pPr>
      <w:r>
        <w:t xml:space="preserve">Sanchez-Lengeling, B., &amp; Aspuru-Guzik, A. (2018). Inverse molecular design using machine learning: Generative models for matter engineering.</w:t>
      </w:r>
      <w:r>
        <w:t xml:space="preserve"> </w:t>
      </w:r>
      <w:r>
        <w:rPr>
          <w:i/>
          <w:iCs/>
        </w:rPr>
        <w:t xml:space="preserve">Science, 361</w:t>
      </w:r>
      <w:r>
        <w:t xml:space="preserve">(6400), 360–365.</w:t>
      </w:r>
    </w:p>
    <w:p>
      <w:pPr>
        <w:pStyle w:val="BodyText"/>
      </w:pPr>
      <w:r>
        <w:t xml:space="preserve">Scarselli, F., Gori, M., Tsoi, A. C., Hagenbuchner, M., &amp; Monfardini, G. (2008). The graph neural network model.</w:t>
      </w:r>
      <w:r>
        <w:t xml:space="preserve"> </w:t>
      </w:r>
      <w:r>
        <w:rPr>
          <w:i/>
          <w:iCs/>
        </w:rPr>
        <w:t xml:space="preserve">IEEE Transactions on Neural Networks, 20</w:t>
      </w:r>
      <w:r>
        <w:t xml:space="preserve">(1), 61–80.</w:t>
      </w:r>
    </w:p>
    <w:p>
      <w:pPr>
        <w:pStyle w:val="BodyText"/>
      </w:pPr>
      <w:r>
        <w:t xml:space="preserve">Schneider, G. (2018). Automating drug discovery.</w:t>
      </w:r>
      <w:r>
        <w:t xml:space="preserve"> </w:t>
      </w:r>
      <w:r>
        <w:rPr>
          <w:i/>
          <w:iCs/>
        </w:rPr>
        <w:t xml:space="preserve">Nature Reviews Drug Discovery, 17</w:t>
      </w:r>
      <w:r>
        <w:t xml:space="preserve">(2), 97–113. https://doi.org/10.1038/nrd.2017.232</w:t>
      </w:r>
    </w:p>
    <w:p>
      <w:pPr>
        <w:pStyle w:val="BodyText"/>
      </w:pPr>
      <w:r>
        <w:t xml:space="preserve">Schneider, G. (2021). An insight into artificial intelligence in drug discovery: An interview with Professor Gisbert Schneider.</w:t>
      </w:r>
      <w:r>
        <w:t xml:space="preserve"> </w:t>
      </w:r>
      <w:r>
        <w:rPr>
          <w:i/>
          <w:iCs/>
        </w:rPr>
        <w:t xml:space="preserve">Expert Opinion on Drug Discovery, 16</w:t>
      </w:r>
      <w:r>
        <w:t xml:space="preserve">(9), 933–935.</w:t>
      </w:r>
    </w:p>
    <w:p>
      <w:pPr>
        <w:pStyle w:val="BodyText"/>
      </w:pPr>
      <w:r>
        <w:t xml:space="preserve">Schraagen, J. M., &amp; van Diggelen, J. (2021). Human-AI collaboration in defense.</w:t>
      </w:r>
      <w:r>
        <w:t xml:space="preserve"> </w:t>
      </w:r>
      <w:r>
        <w:rPr>
          <w:i/>
          <w:iCs/>
        </w:rPr>
        <w:t xml:space="preserve">Frontiers in Artificial Intelligence, 4</w:t>
      </w:r>
      <w:r>
        <w:t xml:space="preserve">, 746869.</w:t>
      </w:r>
    </w:p>
    <w:p>
      <w:pPr>
        <w:pStyle w:val="BodyText"/>
      </w:pPr>
      <w:r>
        <w:t xml:space="preserve">Segler, M. H. S., Kogej, T., Tyrchan, C., &amp; Waller, M. P. (2018). Generating focused molecule libraries for drug discovery with recurrent neural networks.</w:t>
      </w:r>
      <w:r>
        <w:t xml:space="preserve"> </w:t>
      </w:r>
      <w:r>
        <w:rPr>
          <w:i/>
          <w:iCs/>
        </w:rPr>
        <w:t xml:space="preserve">ACS Central Science, 4</w:t>
      </w:r>
      <w:r>
        <w:t xml:space="preserve">(1), 120–131. https://doi.org/10.1021/acscentsci.7b00512</w:t>
      </w:r>
    </w:p>
    <w:p>
      <w:pPr>
        <w:pStyle w:val="BodyText"/>
      </w:pPr>
      <w:r>
        <w:t xml:space="preserve">Sellwood, M. A., Ahmed, M., Segler, M. H., &amp; Brown, N. (2018). Artificial intelligence in drug discovery.</w:t>
      </w:r>
      <w:r>
        <w:t xml:space="preserve"> </w:t>
      </w:r>
      <w:r>
        <w:rPr>
          <w:i/>
          <w:iCs/>
        </w:rPr>
        <w:t xml:space="preserve">Future Medicinal Chemistry, 10</w:t>
      </w:r>
      <w:r>
        <w:t xml:space="preserve">(17), 2025–2028. https://doi.org/10.4155/fmc-2018-0212</w:t>
      </w:r>
    </w:p>
    <w:p>
      <w:pPr>
        <w:pStyle w:val="BodyText"/>
      </w:pPr>
      <w:r>
        <w:t xml:space="preserve">Senior, A. W., Evans, R., Jumper, J., Kirkpatrick, J., Sifre, L., Green, T., … &amp; Hassabis, D. (2020). Improved protein structure prediction using potentials from deep learning.</w:t>
      </w:r>
      <w:r>
        <w:t xml:space="preserve"> </w:t>
      </w:r>
      <w:r>
        <w:rPr>
          <w:i/>
          <w:iCs/>
        </w:rPr>
        <w:t xml:space="preserve">Nature, 577</w:t>
      </w:r>
      <w:r>
        <w:t xml:space="preserve">(7792), 706–710.</w:t>
      </w:r>
    </w:p>
    <w:p>
      <w:pPr>
        <w:pStyle w:val="BodyText"/>
      </w:pPr>
      <w:r>
        <w:t xml:space="preserve">Shaki, F., Zamani, M., &amp; Arjmand, F. (2024). Artificial intelligence in pharmaceuticals: Exploring applications and legal challenges.</w:t>
      </w:r>
      <w:r>
        <w:t xml:space="preserve"> </w:t>
      </w:r>
      <w:r>
        <w:rPr>
          <w:i/>
          <w:iCs/>
        </w:rPr>
        <w:t xml:space="preserve">Pharmaceutical and Biomedical Research, 10</w:t>
      </w:r>
      <w:r>
        <w:t xml:space="preserve">(1), 1–10. https://doi.org/10.18502/pbr.v10i1.15620</w:t>
      </w:r>
    </w:p>
    <w:p>
      <w:pPr>
        <w:pStyle w:val="BodyText"/>
      </w:pPr>
      <w:r>
        <w:t xml:space="preserve">Sierra-Sosa, D., Garcia-Zapirain, B., Castillo, C., Baxter, I., Alzahmi, F., &amp; Elmaghraby, A. (2019). Artificial intelligence in healthcare: Review and prediction case studies.</w:t>
      </w:r>
      <w:r>
        <w:t xml:space="preserve"> </w:t>
      </w:r>
      <w:r>
        <w:rPr>
          <w:i/>
          <w:iCs/>
        </w:rPr>
        <w:t xml:space="preserve">Applied Soft Computing, 84</w:t>
      </w:r>
      <w:r>
        <w:t xml:space="preserve">, 105556.</w:t>
      </w:r>
    </w:p>
    <w:p>
      <w:pPr>
        <w:pStyle w:val="BodyText"/>
      </w:pPr>
      <w:r>
        <w:t xml:space="preserve">Sliwoski, G., Kothiwale, S., Meiler, J., &amp; Lowe, E. W. (2014). Computational methods in drug discovery.</w:t>
      </w:r>
      <w:r>
        <w:t xml:space="preserve"> </w:t>
      </w:r>
      <w:r>
        <w:rPr>
          <w:i/>
          <w:iCs/>
        </w:rPr>
        <w:t xml:space="preserve">Pharmacological Reviews, 66</w:t>
      </w:r>
      <w:r>
        <w:t xml:space="preserve">(1), 334–395.</w:t>
      </w:r>
    </w:p>
    <w:p>
      <w:pPr>
        <w:pStyle w:val="BodyText"/>
      </w:pPr>
      <w:r>
        <w:t xml:space="preserve">Sotelo, R. (2023).</w:t>
      </w:r>
      <w:r>
        <w:t xml:space="preserve"> </w:t>
      </w:r>
      <w:r>
        <w:rPr>
          <w:i/>
          <w:iCs/>
        </w:rPr>
        <w:t xml:space="preserve">Quantum computing in pharmaceutical research</w:t>
      </w:r>
      <w:r>
        <w:t xml:space="preserve">. Elsevier.</w:t>
      </w:r>
    </w:p>
    <w:p>
      <w:pPr>
        <w:pStyle w:val="BodyText"/>
      </w:pPr>
      <w:r>
        <w:t xml:space="preserve">Stokes, J. M., Yang, K., Swanson, K., Jin, W., Cubillos-Ruiz, A., Donghia, N. M., … &amp; Collins, J. J. (2020). A deep learning approach to antibiotic discovery.</w:t>
      </w:r>
      <w:r>
        <w:t xml:space="preserve"> </w:t>
      </w:r>
      <w:r>
        <w:rPr>
          <w:i/>
          <w:iCs/>
        </w:rPr>
        <w:t xml:space="preserve">Cell, 180</w:t>
      </w:r>
      <w:r>
        <w:t xml:space="preserve">(4), 688–702.e13.</w:t>
      </w:r>
    </w:p>
    <w:p>
      <w:pPr>
        <w:pStyle w:val="BodyText"/>
      </w:pPr>
      <w:r>
        <w:t xml:space="preserve">Tang, J., Zhao, T., Li, Y., … &amp; Xu, L. (2024). Deep learning for protein structure prediction: An overview.</w:t>
      </w:r>
      <w:r>
        <w:t xml:space="preserve"> </w:t>
      </w:r>
      <w:r>
        <w:rPr>
          <w:i/>
          <w:iCs/>
        </w:rPr>
        <w:t xml:space="preserve">Journal of Molecular Biology, 434</w:t>
      </w:r>
      <w:r>
        <w:t xml:space="preserve">(15), 167664.</w:t>
      </w:r>
    </w:p>
    <w:p>
      <w:pPr>
        <w:pStyle w:val="BodyText"/>
      </w:pPr>
      <w:r>
        <w:t xml:space="preserve">Tong, X., Liu, X., Tan, X., Li, X., Jiang, J., Xiong, Z., Xu, T., Jiang, H., Qiao, N., &amp; Zheng, M. (2021). Generative models for de novo drug design.</w:t>
      </w:r>
      <w:r>
        <w:t xml:space="preserve"> </w:t>
      </w:r>
      <w:r>
        <w:rPr>
          <w:i/>
          <w:iCs/>
        </w:rPr>
        <w:t xml:space="preserve">Journal of Medicinal Chemistry, 64</w:t>
      </w:r>
      <w:r>
        <w:t xml:space="preserve">(19), 14011–14027. https://doi.org/10.1021/acs.jmedchem.1c00927</w:t>
      </w:r>
    </w:p>
    <w:p>
      <w:pPr>
        <w:pStyle w:val="BodyText"/>
      </w:pPr>
      <w:r>
        <w:t xml:space="preserve">Trott, O., &amp; Olson, A. J. (2010). AutoDock Vina: Improving the speed and accuracy of docking with a new scoring function, efficient optimization, and multithreading.</w:t>
      </w:r>
      <w:r>
        <w:t xml:space="preserve"> </w:t>
      </w:r>
      <w:r>
        <w:rPr>
          <w:i/>
          <w:iCs/>
        </w:rPr>
        <w:t xml:space="preserve">Journal of Computational Chemistry, 31</w:t>
      </w:r>
      <w:r>
        <w:t xml:space="preserve">(2), 455–461. https://doi.org/10.1002/jcc.21334</w:t>
      </w:r>
    </w:p>
    <w:p>
      <w:pPr>
        <w:pStyle w:val="BodyText"/>
      </w:pPr>
      <w:r>
        <w:t xml:space="preserve">Urban, G., Hanker, A. B., &amp; Garrett, J. T. (2023). Harnessing the power of AI to accelerate cancer drug discovery.</w:t>
      </w:r>
      <w:r>
        <w:t xml:space="preserve"> </w:t>
      </w:r>
      <w:r>
        <w:rPr>
          <w:i/>
          <w:iCs/>
        </w:rPr>
        <w:t xml:space="preserve">Cancer Discovery, 13</w:t>
      </w:r>
      <w:r>
        <w:t xml:space="preserve">(5), 1085–1098.</w:t>
      </w:r>
    </w:p>
    <w:p>
      <w:pPr>
        <w:pStyle w:val="BodyText"/>
      </w:pPr>
      <w:r>
        <w:t xml:space="preserve">Vamathevan, J., Clark, D., Czodrowski, P., Dunham, I., Ferran, E., Lee, G., … &amp; Zhao, S. (2019). Applications of machine learning in drug discovery and development.</w:t>
      </w:r>
      <w:r>
        <w:t xml:space="preserve"> </w:t>
      </w:r>
      <w:r>
        <w:rPr>
          <w:i/>
          <w:iCs/>
        </w:rPr>
        <w:t xml:space="preserve">Nature Reviews Drug Discovery, 18</w:t>
      </w:r>
      <w:r>
        <w:t xml:space="preserve">(6), 463–477. https://doi.org/10.1038/s41573-019-0024-5</w:t>
      </w:r>
    </w:p>
    <w:p>
      <w:pPr>
        <w:pStyle w:val="BodyText"/>
      </w:pPr>
      <w:r>
        <w:t xml:space="preserve">van Deursen, R., Ertl, P., Tetko, I. V., &amp; Godin, G. (2020). GENTRL: Highly efficient SMILES explorer using autodidactic generative examination networks.</w:t>
      </w:r>
      <w:r>
        <w:t xml:space="preserve"> </w:t>
      </w:r>
      <w:r>
        <w:rPr>
          <w:i/>
          <w:iCs/>
        </w:rPr>
        <w:t xml:space="preserve">Journal of Cheminformatics, 12</w:t>
      </w:r>
      <w:r>
        <w:t xml:space="preserve">(1), 22.</w:t>
      </w:r>
    </w:p>
    <w:p>
      <w:pPr>
        <w:pStyle w:val="BodyText"/>
      </w:pPr>
      <w:r>
        <w:t xml:space="preserve">Vaswani, A., Shazeer, N., Parmar, N., Uszkoreit, J., Jones, L., Gomez, A. N., Kaiser, Ł., &amp; Polosukhin, I. (2017). Attention is all you need. In</w:t>
      </w:r>
      <w:r>
        <w:t xml:space="preserve"> </w:t>
      </w:r>
      <w:r>
        <w:rPr>
          <w:i/>
          <w:iCs/>
        </w:rPr>
        <w:t xml:space="preserve">Advances in Neural Information Processing Systems</w:t>
      </w:r>
      <w:r>
        <w:t xml:space="preserve">.</w:t>
      </w:r>
    </w:p>
    <w:p>
      <w:pPr>
        <w:pStyle w:val="BodyText"/>
      </w:pPr>
      <w:r>
        <w:t xml:space="preserve">Veličković, P., Cucurull, G., Casanova, A., Romero, A., Liò, P., &amp; Bengio, Y. (2018). Graph attention networks.</w:t>
      </w:r>
      <w:r>
        <w:t xml:space="preserve"> </w:t>
      </w:r>
      <w:r>
        <w:rPr>
          <w:i/>
          <w:iCs/>
        </w:rPr>
        <w:t xml:space="preserve">arXiv preprint arXiv:1710.10903</w:t>
      </w:r>
      <w:r>
        <w:t xml:space="preserve">.</w:t>
      </w:r>
    </w:p>
    <w:p>
      <w:pPr>
        <w:pStyle w:val="BodyText"/>
      </w:pPr>
      <w:r>
        <w:t xml:space="preserve">Wallach, I., Dzamba, M., &amp; Heifets, A. (2015). AtomNet: A deep convolutional neural network for bioactivity prediction in structure-based drug discovery.</w:t>
      </w:r>
      <w:r>
        <w:t xml:space="preserve"> </w:t>
      </w:r>
      <w:r>
        <w:rPr>
          <w:i/>
          <w:iCs/>
        </w:rPr>
        <w:t xml:space="preserve">arXiv preprint arXiv:1510.02855</w:t>
      </w:r>
      <w:r>
        <w:t xml:space="preserve">.</w:t>
      </w:r>
    </w:p>
    <w:p>
      <w:pPr>
        <w:pStyle w:val="BodyText"/>
      </w:pPr>
      <w:r>
        <w:t xml:space="preserve">Wallach, I., Heifets, A., &amp; Dzamba, M. (2024). AI in the fight against COVID-19.</w:t>
      </w:r>
      <w:r>
        <w:t xml:space="preserve"> </w:t>
      </w:r>
      <w:r>
        <w:rPr>
          <w:i/>
          <w:iCs/>
        </w:rPr>
        <w:t xml:space="preserve">ChemMedChem, 15</w:t>
      </w:r>
      <w:r>
        <w:t xml:space="preserve">, 234–240.</w:t>
      </w:r>
    </w:p>
    <w:p>
      <w:pPr>
        <w:pStyle w:val="BodyText"/>
      </w:pPr>
      <w:r>
        <w:t xml:space="preserve">Wang, F., Preininger, A. M., &amp; Casalino, L. P. (2019). Opportunities and challenges in artificial intelligence for healthcare.</w:t>
      </w:r>
      <w:r>
        <w:t xml:space="preserve"> </w:t>
      </w:r>
      <w:r>
        <w:rPr>
          <w:i/>
          <w:iCs/>
        </w:rPr>
        <w:t xml:space="preserve">The Lancet Digital Health, 1</w:t>
      </w:r>
      <w:r>
        <w:t xml:space="preserve">(1), e6–e7.</w:t>
      </w:r>
    </w:p>
    <w:p>
      <w:pPr>
        <w:pStyle w:val="BodyText"/>
      </w:pPr>
      <w:r>
        <w:t xml:space="preserve">Wang, L., Wu, Y., Xie, H., … &amp; Zhang, Y. (2023). Quantum computing for drug discovery: A comprehensive review.</w:t>
      </w:r>
      <w:r>
        <w:t xml:space="preserve"> </w:t>
      </w:r>
      <w:r>
        <w:rPr>
          <w:i/>
          <w:iCs/>
        </w:rPr>
        <w:t xml:space="preserve">Drug Discovery Today, 28</w:t>
      </w:r>
      <w:r>
        <w:t xml:space="preserve">(8), 103623.</w:t>
      </w:r>
    </w:p>
    <w:p>
      <w:pPr>
        <w:pStyle w:val="BodyText"/>
      </w:pPr>
      <w:r>
        <w:t xml:space="preserve">Wang, Y., Ribeiro, J. M. L., &amp; Tiwary, P. (2020). Machine learning approaches for analyzing and enhancing MD.</w:t>
      </w:r>
      <w:r>
        <w:t xml:space="preserve"> </w:t>
      </w:r>
      <w:r>
        <w:rPr>
          <w:i/>
          <w:iCs/>
        </w:rPr>
        <w:t xml:space="preserve">Current Opinion in Structural Biology, 61</w:t>
      </w:r>
      <w:r>
        <w:t xml:space="preserve">, 139–145.</w:t>
      </w:r>
    </w:p>
    <w:p>
      <w:pPr>
        <w:pStyle w:val="BodyText"/>
      </w:pPr>
      <w:r>
        <w:t xml:space="preserve">Wang, Y., Wang, J., Cao, Z., &amp; Barati Farimani, A. (2022). Molecular contrastive learning via GNNs.</w:t>
      </w:r>
      <w:r>
        <w:t xml:space="preserve"> </w:t>
      </w:r>
      <w:r>
        <w:rPr>
          <w:i/>
          <w:iCs/>
        </w:rPr>
        <w:t xml:space="preserve">Nature Machine Intelligence, 4</w:t>
      </w:r>
      <w:r>
        <w:t xml:space="preserve">, 279–287.</w:t>
      </w:r>
    </w:p>
    <w:p>
      <w:pPr>
        <w:pStyle w:val="BodyText"/>
      </w:pPr>
      <w:r>
        <w:t xml:space="preserve">Wang, Y., Zhang, S., Li, Y., … &amp; Zhou, Y. (2017). Deep learning for drug discovery.</w:t>
      </w:r>
      <w:r>
        <w:t xml:space="preserve"> </w:t>
      </w:r>
      <w:r>
        <w:rPr>
          <w:i/>
          <w:iCs/>
        </w:rPr>
        <w:t xml:space="preserve">Expert Opinion on Drug Discovery, 12</w:t>
      </w:r>
      <w:r>
        <w:t xml:space="preserve">(3), 235–248.</w:t>
      </w:r>
    </w:p>
    <w:p>
      <w:pPr>
        <w:pStyle w:val="BodyText"/>
      </w:pPr>
      <w:r>
        <w:t xml:space="preserve">Waring, M. J., Arrowsmith, J., Leach, A. R., Leeson, P. D., Mandrell, S., Owen, R. M., … &amp; Weir, A. (2015). An analysis of the attrition of drug candidates from four major pharmaceutical companies.</w:t>
      </w:r>
      <w:r>
        <w:t xml:space="preserve"> </w:t>
      </w:r>
      <w:r>
        <w:rPr>
          <w:i/>
          <w:iCs/>
        </w:rPr>
        <w:t xml:space="preserve">Nature Reviews Drug Discovery, 14</w:t>
      </w:r>
      <w:r>
        <w:t xml:space="preserve">(7), 475–486.</w:t>
      </w:r>
    </w:p>
    <w:p>
      <w:pPr>
        <w:pStyle w:val="BodyText"/>
      </w:pPr>
      <w:r>
        <w:t xml:space="preserve">Watson, D. S., Krutzinna, J., Bruce, I. N., Griffiths, C. E., McInnes, I. B., Barnes, M. R., &amp; Floridi, L. (2019). Clinical applications of machine learning algorithms: Beyond the black box.</w:t>
      </w:r>
      <w:r>
        <w:t xml:space="preserve"> </w:t>
      </w:r>
      <w:r>
        <w:rPr>
          <w:i/>
          <w:iCs/>
        </w:rPr>
        <w:t xml:space="preserve">BMJ, 364</w:t>
      </w:r>
      <w:r>
        <w:t xml:space="preserve">, l886. https://doi.org/10.1136/bmj.l886</w:t>
      </w:r>
    </w:p>
    <w:p>
      <w:pPr>
        <w:pStyle w:val="BodyText"/>
      </w:pPr>
      <w:r>
        <w:t xml:space="preserve">Weininger, D. (1988). SMILES, a chemical language and information system. 1. Introduction to methodology and encoding rules.</w:t>
      </w:r>
      <w:r>
        <w:t xml:space="preserve"> </w:t>
      </w:r>
      <w:r>
        <w:rPr>
          <w:i/>
          <w:iCs/>
        </w:rPr>
        <w:t xml:space="preserve">Journal of Chemical Information and Computer Sciences, 28</w:t>
      </w:r>
      <w:r>
        <w:t xml:space="preserve">(1), 31–36. https://doi.org/10.1021/ci00057a005</w:t>
      </w:r>
    </w:p>
    <w:p>
      <w:pPr>
        <w:pStyle w:val="BodyText"/>
      </w:pPr>
      <w:r>
        <w:t xml:space="preserve">West, S. M., Whittaker, M., &amp; Crawford, K. (2018). Discriminating systems: Gender, race and power in AI.</w:t>
      </w:r>
      <w:r>
        <w:t xml:space="preserve"> </w:t>
      </w:r>
      <w:r>
        <w:rPr>
          <w:i/>
          <w:iCs/>
        </w:rPr>
        <w:t xml:space="preserve">AI Now Institute</w:t>
      </w:r>
      <w:r>
        <w:t xml:space="preserve">.</w:t>
      </w:r>
    </w:p>
    <w:p>
      <w:pPr>
        <w:pStyle w:val="BodyText"/>
      </w:pPr>
      <w:r>
        <w:t xml:space="preserve">Wigh, D. S., Goodman, J. M., &amp; Lapkin, A. A. (2022). A review of molecular representation in the age of machine learning.</w:t>
      </w:r>
      <w:r>
        <w:t xml:space="preserve"> </w:t>
      </w:r>
      <w:r>
        <w:rPr>
          <w:i/>
          <w:iCs/>
        </w:rPr>
        <w:t xml:space="preserve">WIREs Computational Molecular Science, 12</w:t>
      </w:r>
      <w:r>
        <w:t xml:space="preserve">(5), e1603. https://doi.org/10.1002/wcms.1603</w:t>
      </w:r>
    </w:p>
    <w:p>
      <w:pPr>
        <w:pStyle w:val="BodyText"/>
      </w:pPr>
      <w:r>
        <w:t xml:space="preserve">Wu, R., Ding, F., Wang, R., Shen, R., Zhang, X., Luo, S., … &amp; Peng, J. (2022). High-resolution de novo structure prediction from primary sequence.</w:t>
      </w:r>
      <w:r>
        <w:t xml:space="preserve"> </w:t>
      </w:r>
      <w:r>
        <w:rPr>
          <w:i/>
          <w:iCs/>
        </w:rPr>
        <w:t xml:space="preserve">bioRxiv</w:t>
      </w:r>
      <w:r>
        <w:t xml:space="preserve">. https://doi.org/10.1101/2022.07.21.500999</w:t>
      </w:r>
    </w:p>
    <w:p>
      <w:pPr>
        <w:pStyle w:val="BodyText"/>
      </w:pPr>
      <w:r>
        <w:t xml:space="preserve">Wu, Z., Ramsundar, B., Feinberg, E. N., Gomes, J., Geniesse, C., Pappu, A. S., … &amp; Pande, V. (2018). MoleculeNet: A benchmark for molecular machine learning.</w:t>
      </w:r>
      <w:r>
        <w:t xml:space="preserve"> </w:t>
      </w:r>
      <w:r>
        <w:rPr>
          <w:i/>
          <w:iCs/>
        </w:rPr>
        <w:t xml:space="preserve">Chemical Science, 9</w:t>
      </w:r>
      <w:r>
        <w:t xml:space="preserve">(2), 513–530. https://doi.org/10.1039/c7sc02664a</w:t>
      </w:r>
    </w:p>
    <w:p>
      <w:pPr>
        <w:pStyle w:val="BodyText"/>
      </w:pPr>
      <w:r>
        <w:t xml:space="preserve">Xu, L., Sun, H., Li, Y., Wang, J., &amp; Hou, T. (2013). Assessing MM/PBSA and MM/GBSA.</w:t>
      </w:r>
      <w:r>
        <w:t xml:space="preserve"> </w:t>
      </w:r>
      <w:r>
        <w:rPr>
          <w:i/>
          <w:iCs/>
        </w:rPr>
        <w:t xml:space="preserve">Journal of Physical Chemistry B, 117</w:t>
      </w:r>
      <w:r>
        <w:t xml:space="preserve">(28), 8408–8421.</w:t>
      </w:r>
    </w:p>
    <w:p>
      <w:pPr>
        <w:pStyle w:val="BodyText"/>
      </w:pPr>
      <w:r>
        <w:t xml:space="preserve">Yamanishi, Y., Kotera, M., Kanehisa, M., &amp; Goto, S. (2010). DTI prediction from chemical, genomic and pharmacological data.</w:t>
      </w:r>
      <w:r>
        <w:t xml:space="preserve"> </w:t>
      </w:r>
      <w:r>
        <w:rPr>
          <w:i/>
          <w:iCs/>
        </w:rPr>
        <w:t xml:space="preserve">Bioinformatics, 26</w:t>
      </w:r>
      <w:r>
        <w:t xml:space="preserve">(18), 246–254.</w:t>
      </w:r>
    </w:p>
    <w:p>
      <w:pPr>
        <w:pStyle w:val="BodyText"/>
      </w:pPr>
      <w:r>
        <w:t xml:space="preserve">Yang, H., Lou, C., Sun, L., Li, J., Cai, Y., Wang, Z., Li, W., Liu, G., &amp; Tang, Y. (2019). admetSAR 2.0: Web-service for prediction and optimization of chemical ADMET properties.</w:t>
      </w:r>
      <w:r>
        <w:t xml:space="preserve"> </w:t>
      </w:r>
      <w:r>
        <w:rPr>
          <w:i/>
          <w:iCs/>
        </w:rPr>
        <w:t xml:space="preserve">Bioinformatics, 35</w:t>
      </w:r>
      <w:r>
        <w:t xml:space="preserve">(6), 1067–1069. https://doi.org/10.1093/bioinformatics/bty707</w:t>
      </w:r>
    </w:p>
    <w:p>
      <w:pPr>
        <w:pStyle w:val="BodyText"/>
      </w:pPr>
      <w:r>
        <w:t xml:space="preserve">Yang, K., Swanson, K., Jin, W., Coley, C., Eiden, P., Gao, H., Guzman-Perez, A., Hopper, T., Kelley, B., Mathew, R., Palmer, A., Settels, V., Jaakkola, T., Jensen, K., &amp; Barzilay, R. (2019). Analyzing learned molecular representations for property prediction.</w:t>
      </w:r>
      <w:r>
        <w:t xml:space="preserve"> </w:t>
      </w:r>
      <w:r>
        <w:rPr>
          <w:i/>
          <w:iCs/>
        </w:rPr>
        <w:t xml:space="preserve">Journal of Chemical Information and Modeling, 59</w:t>
      </w:r>
      <w:r>
        <w:t xml:space="preserve">(8), 3370–3388.</w:t>
      </w:r>
    </w:p>
    <w:p>
      <w:pPr>
        <w:pStyle w:val="BodyText"/>
      </w:pPr>
      <w:r>
        <w:t xml:space="preserve">Yu, K.-H., Beam, A. L., &amp; Kohane, I. S. (2018). Artificial intelligence in healthcare.</w:t>
      </w:r>
      <w:r>
        <w:t xml:space="preserve"> </w:t>
      </w:r>
      <w:r>
        <w:rPr>
          <w:i/>
          <w:iCs/>
        </w:rPr>
        <w:t xml:space="preserve">Nature Biomedical Engineering, 2</w:t>
      </w:r>
      <w:r>
        <w:t xml:space="preserve">(10), 719–731.</w:t>
      </w:r>
    </w:p>
    <w:p>
      <w:pPr>
        <w:pStyle w:val="BodyText"/>
      </w:pPr>
      <w:r>
        <w:t xml:space="preserve">Zhang, Y., Zhou, Y., &amp; Li, X. (2023). Protein language models: A new era in structural biology.</w:t>
      </w:r>
      <w:r>
        <w:t xml:space="preserve"> </w:t>
      </w:r>
      <w:r>
        <w:rPr>
          <w:i/>
          <w:iCs/>
        </w:rPr>
        <w:t xml:space="preserve">Trends in Biochemical Sciences, 48</w:t>
      </w:r>
      <w:r>
        <w:t xml:space="preserve">(2), 120–135.</w:t>
      </w:r>
    </w:p>
    <w:p>
      <w:pPr>
        <w:pStyle w:val="BodyText"/>
      </w:pPr>
      <w:r>
        <w:t xml:space="preserve">Zhavoronkov, A. (2022).</w:t>
      </w:r>
      <w:r>
        <w:t xml:space="preserve"> </w:t>
      </w:r>
      <w:r>
        <w:rPr>
          <w:i/>
          <w:iCs/>
        </w:rPr>
        <w:t xml:space="preserve">Artificial intelligence in drug discovery and development</w:t>
      </w:r>
      <w:r>
        <w:t xml:space="preserve">. Elsevier.</w:t>
      </w:r>
    </w:p>
    <w:p>
      <w:pPr>
        <w:pStyle w:val="BodyText"/>
      </w:pPr>
      <w:r>
        <w:t xml:space="preserve">Zhavoronkov, A., Ivanenkov, Y. A., Aliper, A., Veselov, M. S., Aladinskiy, V. A., Aladinskaya, A. V., … &amp; Aspuru-Guzik, A. (2019). Deep learning enables rapid identification of potent DDR1 kinase inhibitors.</w:t>
      </w:r>
      <w:r>
        <w:t xml:space="preserve"> </w:t>
      </w:r>
      <w:r>
        <w:rPr>
          <w:i/>
          <w:iCs/>
        </w:rPr>
        <w:t xml:space="preserve">Nature Biotechnology, 37</w:t>
      </w:r>
      <w:r>
        <w:t xml:space="preserve">(9), 1038–1040. https://doi.org/10.1038/s41587-019-0224-x</w:t>
      </w:r>
    </w:p>
    <w:p>
      <w:pPr>
        <w:pStyle w:val="BodyText"/>
      </w:pPr>
      <w:r>
        <w:t xml:space="preserve">Zhavoronkov, A., Vanhaelen, Q., &amp; Oprea, T. I. (2020). Will artificial intelligence for drug discovery impact clinical pharmacology?</w:t>
      </w:r>
      <w:r>
        <w:t xml:space="preserve"> </w:t>
      </w:r>
      <w:r>
        <w:rPr>
          <w:i/>
          <w:iCs/>
        </w:rPr>
        <w:t xml:space="preserve">Clinical Pharmacology &amp; Therapeutics, 107</w:t>
      </w:r>
      <w:r>
        <w:t xml:space="preserve">, 780–785.</w:t>
      </w:r>
    </w:p>
    <w:p>
      <w:pPr>
        <w:pStyle w:val="BodyText"/>
      </w:pPr>
      <w:r>
        <w:t xml:space="preserve">Zhou, W., &amp; Yan, H. (2014). Alpha shape and Delaunay triangulation in protein interactions.</w:t>
      </w:r>
      <w:r>
        <w:t xml:space="preserve"> </w:t>
      </w:r>
      <w:r>
        <w:rPr>
          <w:i/>
          <w:iCs/>
        </w:rPr>
        <w:t xml:space="preserve">Briefings in Bioinformatics, 15</w:t>
      </w:r>
      <w:r>
        <w:t xml:space="preserve">(1), 54–64.</w:t>
      </w:r>
    </w:p>
    <w:p>
      <w:pPr>
        <w:pStyle w:val="BodyText"/>
      </w:pPr>
      <w:r>
        <w:t xml:space="preserve">Zhu, H., Zhang, G., &amp; Li, Y. (2023). AlphaFold-accelerated discovery of small molecule inhibitors.</w:t>
      </w:r>
      <w:r>
        <w:t xml:space="preserve"> </w:t>
      </w:r>
      <w:r>
        <w:rPr>
          <w:i/>
          <w:iCs/>
        </w:rPr>
        <w:t xml:space="preserve">Journal of Medicinal Chemistry, 66</w:t>
      </w:r>
      <w:r>
        <w:t xml:space="preserve">(5), 3456–3468.</w:t>
      </w:r>
    </w:p>
    <w:p>
      <w:pPr>
        <w:pStyle w:val="BodyText"/>
      </w:pPr>
      <w:r>
        <w:t xml:space="preserve">Zhu, Y., Li, X., &amp; Zhang, Q. (2022). Platforms for AI-driven drug discovery.</w:t>
      </w:r>
      <w:r>
        <w:t xml:space="preserve"> </w:t>
      </w:r>
      <w:r>
        <w:rPr>
          <w:i/>
          <w:iCs/>
        </w:rPr>
        <w:t xml:space="preserve">Drug Discovery Today, 27</w:t>
      </w:r>
      <w:r>
        <w:t xml:space="preserve">(8), 2134–2145.</w:t>
      </w:r>
    </w:p>
    <w:p>
      <w:pPr>
        <w:pStyle w:val="BodyText"/>
      </w:pPr>
      <w:r>
        <w:t xml:space="preserve">Zinner, M., Lang, T., &amp; Reiter, F. (2021). Quantum computing for molecular biology.</w:t>
      </w:r>
      <w:r>
        <w:t xml:space="preserve"> </w:t>
      </w:r>
      <w:r>
        <w:rPr>
          <w:i/>
          <w:iCs/>
        </w:rPr>
        <w:t xml:space="preserve">Nature Reviews Physics, 3</w:t>
      </w:r>
      <w:r>
        <w:t xml:space="preserve">, 625–637.</w:t>
      </w:r>
    </w:p>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2026-01-13T06:20:10Z</dcterms:created>
  <dcterms:modified xsi:type="dcterms:W3CDTF">2026-01-13T06:20:10Z</dcterms:modified>
</cp:coreProperties>
</file>

<file path=docProps/custom.xml><?xml version="1.0" encoding="utf-8"?>
<Properties xmlns="http://schemas.openxmlformats.org/officeDocument/2006/custom-properties" xmlns:vt="http://schemas.openxmlformats.org/officeDocument/2006/docPropsVTypes"/>
</file>