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pPr>
      <w:r>
        <w:t>ABSTRACT</w:t>
      </w:r>
    </w:p>
    <w:p>
      <w:pPr>
        <w:spacing w:line="360" w:lineRule="auto"/>
        <w:ind w:firstLine="720"/>
      </w:pPr>
      <w:r>
        <w:t>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spacing w:line="360" w:lineRule="auto"/>
        <w:ind w:firstLine="720"/>
      </w:pPr>
      <w:r>
        <w:t>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 “Yes” vs “No” recommendation (RRR 0.794). In the Users vs Non-Users analysis, users showed more favorable beliefs than non-users, especially on modern medication safety.</w:t>
      </w:r>
    </w:p>
    <w:p>
      <w:pPr>
        <w:spacing w:line="360" w:lineRule="auto"/>
        <w:ind w:firstLine="720"/>
      </w:pPr>
      <w:r>
        <w:t>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p>
      <w:pPr>
        <w:pStyle w:val="Heading1"/>
        <w:ind w:firstLine="0"/>
      </w:pPr>
      <w:r>
        <w:t>I. INTRODUCTION</w:t>
      </w:r>
    </w:p>
    <w:p>
      <w:pPr>
        <w:pStyle w:val="Heading2"/>
        <w:ind w:firstLine="0"/>
      </w:pPr>
      <w:r>
        <w:t>A. Background and Context</w:t>
      </w:r>
    </w:p>
    <w:p>
      <w:pPr>
        <w:spacing w:line="360" w:lineRule="auto"/>
        <w:ind w:firstLine="720"/>
      </w:pPr>
      <w:r>
        <w:t>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spacing w:line="360" w:lineRule="auto"/>
        <w:ind w:firstLine="720"/>
      </w:pPr>
      <w:r>
        <w:t>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spacing w:line="360" w:lineRule="auto"/>
        <w:ind w:firstLine="720"/>
      </w:pPr>
      <w:r>
        <w:t>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spacing w:line="360" w:lineRule="auto"/>
        <w:ind w:firstLine="720"/>
      </w:pPr>
      <w:r>
        <w:t>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p>
      <w:pPr>
        <w:pStyle w:val="Heading2"/>
        <w:ind w:firstLine="0"/>
      </w:pPr>
      <w:r>
        <w:t>B. Problem Statement</w:t>
      </w:r>
    </w:p>
    <w:p>
      <w:pPr>
        <w:spacing w:line="360" w:lineRule="auto"/>
        <w:ind w:firstLine="720"/>
      </w:pPr>
      <w:r>
        <w:t>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spacing w:line="360" w:lineRule="auto"/>
        <w:ind w:firstLine="720"/>
      </w:pPr>
      <w:r>
        <w:t>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p>
      <w:pPr>
        <w:pStyle w:val="Heading2"/>
        <w:ind w:firstLine="0"/>
      </w:pPr>
      <w:r>
        <w:t>C. Study Aim and Research Questions</w:t>
      </w:r>
    </w:p>
    <w:p>
      <w:pPr>
        <w:spacing w:line="360" w:lineRule="auto"/>
        <w:ind w:firstLine="720"/>
      </w:pPr>
      <w:r>
        <w:t>This study aims to measure psychiatric medication acceptance in Iraq and identify factors associated with willingness to recommend psychiatric medication when needed.</w:t>
      </w:r>
    </w:p>
    <w:p>
      <w:pPr>
        <w:spacing w:line="360" w:lineRule="auto"/>
        <w:ind w:firstLine="720"/>
      </w:pPr>
      <w:r>
        <w:t>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p>
      <w:pPr>
        <w:pStyle w:val="Heading2"/>
        <w:ind w:firstLine="0"/>
      </w:pPr>
      <w:r>
        <w:t>D. Study Significance</w:t>
      </w:r>
    </w:p>
    <w:p>
      <w:pPr>
        <w:spacing w:line="360" w:lineRule="auto"/>
        <w:ind w:firstLine="720"/>
      </w:pPr>
      <w:r>
        <w:t>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spacing w:line="360" w:lineRule="auto"/>
        <w:ind w:firstLine="720"/>
      </w:pPr>
      <w:r>
        <w:t>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p>
      <w:pPr>
        <w:pStyle w:val="Heading1"/>
        <w:ind w:firstLine="0"/>
      </w:pPr>
      <w:r>
        <w:t>II. LITERATURE REVIEW (SUPPORTIVE CONTEXT)</w:t>
      </w:r>
    </w:p>
    <w:p>
      <w:pPr>
        <w:pStyle w:val="Heading2"/>
        <w:ind w:firstLine="0"/>
      </w:pPr>
      <w:r>
        <w:t>A. Stigma and Public Attitudes</w:t>
      </w:r>
    </w:p>
    <w:p>
      <w:pPr>
        <w:spacing w:line="360" w:lineRule="auto"/>
        <w:ind w:firstLine="720"/>
      </w:pPr>
      <w:r>
        <w:t>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spacing w:line="360" w:lineRule="auto"/>
        <w:ind w:firstLine="720"/>
      </w:pPr>
      <w:r>
        <w:t>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spacing w:line="360" w:lineRule="auto"/>
        <w:ind w:firstLine="720"/>
      </w:pPr>
      <w:r>
        <w:t>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spacing w:line="360" w:lineRule="auto"/>
        <w:ind w:firstLine="720"/>
      </w:pPr>
      <w:r>
        <w:t>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p>
      <w:pPr>
        <w:pStyle w:val="Heading2"/>
        <w:ind w:firstLine="0"/>
      </w:pPr>
      <w:r>
        <w:t>B. Medication Beliefs and Acceptance</w:t>
      </w:r>
    </w:p>
    <w:p>
      <w:pPr>
        <w:spacing w:line="360" w:lineRule="auto"/>
        <w:ind w:firstLine="720"/>
      </w:pPr>
      <w:r>
        <w:t>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spacing w:line="360" w:lineRule="auto"/>
        <w:ind w:firstLine="720"/>
      </w:pPr>
      <w:r>
        <w:t>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spacing w:line="360" w:lineRule="auto"/>
        <w:ind w:firstLine="720"/>
      </w:pPr>
      <w:r>
        <w:t>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p>
      <w:pPr>
        <w:pStyle w:val="Heading2"/>
        <w:ind w:firstLine="0"/>
      </w:pPr>
      <w:r>
        <w:t>C. Adherence and Determinants</w:t>
      </w:r>
    </w:p>
    <w:p>
      <w:pPr>
        <w:spacing w:line="360" w:lineRule="auto"/>
        <w:ind w:firstLine="720"/>
      </w:pPr>
      <w:r>
        <w:t>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spacing w:line="360" w:lineRule="auto"/>
        <w:ind w:firstLine="720"/>
      </w:pPr>
      <w:r>
        <w:t>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spacing w:line="360" w:lineRule="auto"/>
        <w:ind w:firstLine="720"/>
      </w:pPr>
      <w:r>
        <w:t>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p>
      <w:pPr>
        <w:pStyle w:val="Heading2"/>
        <w:ind w:firstLine="0"/>
      </w:pPr>
      <w:r>
        <w:t>D. Iraqi and Regional Service Realities</w:t>
      </w:r>
    </w:p>
    <w:p>
      <w:pPr>
        <w:spacing w:line="360" w:lineRule="auto"/>
        <w:ind w:firstLine="720"/>
      </w:pPr>
      <w:r>
        <w:t>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spacing w:line="360" w:lineRule="auto"/>
        <w:ind w:firstLine="720"/>
      </w:pPr>
      <w:r>
        <w:t>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spacing w:line="360" w:lineRule="auto"/>
        <w:ind w:firstLine="720"/>
      </w:pPr>
      <w:r>
        <w:t>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p>
      <w:pPr>
        <w:pStyle w:val="Heading1"/>
        <w:ind w:firstLine="0"/>
      </w:pPr>
      <w:r>
        <w:t>III. METHODOLOGY (ORIGINAL CROSS-SECTIONAL STUDY)</w:t>
      </w:r>
    </w:p>
    <w:p>
      <w:pPr>
        <w:pStyle w:val="Heading2"/>
        <w:ind w:firstLine="0"/>
      </w:pPr>
      <w:r>
        <w:t>A. Study Design and Setting</w:t>
      </w:r>
    </w:p>
    <w:p>
      <w:pPr>
        <w:spacing w:line="360" w:lineRule="auto"/>
        <w:ind w:firstLine="720"/>
      </w:pPr>
      <w:r>
        <w:t>This study used an original cross-sectional survey design to examine psychiatric medication use and public acceptance in Iraq. The analytic dataset included 877 respondent records after questionnaire cleaning and standardization, as documented in the study’s unified analysis outputs and preprocessing workflow. The design was observational and non-interventional, and all analyses were conducted on de-identified survey records. The available study files did not report a defined study location or a clearly dated data-collection period.</w:t>
      </w:r>
    </w:p>
    <w:p>
      <w:pPr>
        <w:pStyle w:val="Heading2"/>
        <w:ind w:firstLine="0"/>
      </w:pPr>
      <w:r>
        <w:t>B. Participants and Sampling</w:t>
      </w:r>
    </w:p>
    <w:p>
      <w:pPr>
        <w:spacing w:line="360" w:lineRule="auto"/>
        <w:ind w:firstLine="720"/>
      </w:pPr>
      <w:r>
        <w:t>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 The available source documents did not include explicit participant eligibility criteria or recruitment methods. Therefore, this section reports the achieved analytic sample rather than a protocol-level enrollment flow.</w:t>
      </w:r>
    </w:p>
    <w:p>
      <w:pPr>
        <w:pStyle w:val="Heading2"/>
        <w:ind w:firstLine="0"/>
      </w:pPr>
      <w:r>
        <w:t>C. Survey Instrument</w:t>
      </w:r>
    </w:p>
    <w:p>
      <w:pPr>
        <w:spacing w:line="360" w:lineRule="auto"/>
        <w:ind w:firstLine="720"/>
      </w:pPr>
      <w:r>
        <w:t>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spacing w:line="360" w:lineRule="auto"/>
        <w:ind w:firstLine="720"/>
      </w:pPr>
      <w:r>
        <w:t>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p>
      <w:pPr>
        <w:pStyle w:val="Heading2"/>
        <w:ind w:firstLine="0"/>
      </w:pPr>
      <w:r>
        <w:t>D. Variables and Operational Definitions</w:t>
      </w:r>
    </w:p>
    <w:p>
      <w:pPr>
        <w:spacing w:line="360" w:lineRule="auto"/>
        <w:ind w:firstLine="720"/>
      </w:pPr>
      <w:r>
        <w:t>The primary outcome for the main binary logistic models was recommendation willingness, coded from the recommendation item as yes versus no. In the multinomial model, the same outcome preserved three response categories: no, yes, and not sure.</w:t>
      </w:r>
    </w:p>
    <w:p>
      <w:pPr>
        <w:spacing w:line="360" w:lineRule="auto"/>
        <w:ind w:firstLine="720"/>
      </w:pPr>
      <w:r>
        <w:t>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spacing w:line="360" w:lineRule="auto"/>
        <w:ind w:firstLine="720"/>
      </w:pPr>
      <w:r>
        <w:t>To avoid conceptual overlap with the recommendation outcome, two proximal items, perceived safety and disease-model acceptability, were excluded from the primary hierarchical model and tested separately in a sensitivity model.</w:t>
      </w:r>
    </w:p>
    <w:p>
      <w:pPr>
        <w:pStyle w:val="Heading2"/>
        <w:ind w:firstLine="0"/>
      </w:pPr>
      <w:r>
        <w:t>E. Data Management and Statistical Analysis</w:t>
      </w:r>
    </w:p>
    <w:p>
      <w:pPr>
        <w:spacing w:line="360" w:lineRule="auto"/>
        <w:ind w:firstLine="720"/>
      </w:pPr>
      <w:r>
        <w:t>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spacing w:line="360" w:lineRule="auto"/>
        <w:ind w:firstLine="720"/>
      </w:pPr>
      <w:r>
        <w:t>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spacing w:line="360" w:lineRule="auto"/>
        <w:ind w:firstLine="720"/>
      </w:pPr>
      <w:r>
        <w:t>The analysis sequence followed the project’s documented analysis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spacing w:line="360" w:lineRule="auto"/>
        <w:ind w:firstLine="720"/>
      </w:pPr>
      <w:r>
        <w:t>Second, we estimated a sensitivity logistic model that added perceived safety and acceptability items to test robustness while acknowledging their conceptual proximity to the recommendation outcome. The sensitivity complete-case sample was 406 respondents.</w:t>
      </w:r>
    </w:p>
    <w:p>
      <w:pPr>
        <w:spacing w:line="360" w:lineRule="auto"/>
        <w:ind w:firstLine="720"/>
      </w:pPr>
      <w:r>
        <w:t>Third, we estimated multinomial logistic regression to preserve the no, yes, and not sure structure of recommendation responses and reported relative risk ratios with 95% confidence intervals. The multinomial complete-case sample was 837 respondents.</w:t>
      </w:r>
    </w:p>
    <w:p>
      <w:pPr>
        <w:spacing w:line="360" w:lineRule="auto"/>
        <w:ind w:firstLine="720"/>
      </w:pPr>
      <w:r>
        <w:t>Fourth, we tested the contact hypothesis as Users vs Non-Users by comparing core belief items with Mann-Whitney U tests and Cliff’s delta effect sizes, with supplementary chi-square and Cramer’s V statistics for association structure.</w:t>
      </w:r>
    </w:p>
    <w:p>
      <w:pPr>
        <w:spacing w:line="360" w:lineRule="auto"/>
        <w:ind w:firstLine="720"/>
      </w:pPr>
      <w:r>
        <w:t>Fifth, we conducted exploratory stigma-phenotype profiling using k-means clustering on standardized core belief items, selected cluster number by silhouette score, and reported cluster means and sizes as exploratory findings.</w:t>
      </w:r>
    </w:p>
    <w:p>
      <w:pPr>
        <w:pStyle w:val="Heading2"/>
        <w:ind w:firstLine="0"/>
      </w:pPr>
      <w:r>
        <w:t>F. Ethical Considerations</w:t>
      </w:r>
    </w:p>
    <w:p>
      <w:pPr>
        <w:spacing w:line="360" w:lineRule="auto"/>
        <w:ind w:firstLine="720"/>
      </w:pPr>
      <w:r>
        <w:t>The analysis used de-identified survey data and reported aggregate findings only. No personal identifiers were used in the analytic outputs. The available dataset was handled as anonymized observational data for academic research use. Formal ethics-approval metadata and explicit participant-consent documentation were not included in the available study files. Despite this documentation gap, the analysis followed ethical principles for anonymized secondary-data use and aggregate-only reporting.</w:t>
      </w:r>
    </w:p>
    <w:p>
      <w:pPr>
        <w:pStyle w:val="Heading2"/>
        <w:ind w:firstLine="0"/>
      </w:pPr>
      <w:r>
        <w:t>G. Methodological Limitations</w:t>
      </w:r>
    </w:p>
    <w:p>
      <w:pPr>
        <w:spacing w:line="360" w:lineRule="auto"/>
        <w:ind w:firstLine="720"/>
      </w:pPr>
      <w:r>
        <w:t>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p>
      <w:pPr>
        <w:pStyle w:val="Heading1"/>
        <w:ind w:firstLine="0"/>
      </w:pPr>
      <w:r>
        <w:t>IV. RESULTS</w:t>
      </w:r>
    </w:p>
    <w:p>
      <w:pPr>
        <w:pStyle w:val="Heading2"/>
        <w:ind w:firstLine="0"/>
      </w:pPr>
      <w:r>
        <w:t>IV.A Sample Profile and Descriptive Statistics</w:t>
      </w:r>
    </w:p>
    <w:p>
      <w:pPr>
        <w:spacing w:line="360" w:lineRule="auto"/>
        <w:ind w:firstLine="720"/>
      </w:pPr>
      <w:r>
        <w:t>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spacing w:line="360" w:lineRule="auto"/>
        <w:ind w:firstLine="720"/>
      </w:pPr>
      <w:r>
        <w:t>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 [figures/27_donut_main_questions.png](../figures/27_donut_main_questions.png). The gender-stratified recommendation pattern is shown in [figures/31_gender_recommendation_breakdown.png](../figures/31_gender_recommendation_breakdown.png). The diverging Likert distribution for Q11 and Q13 is shown in [figures/19_likert_diverging_q11_q13.png](../figures/19_likert_diverging_q11_q13.png).</w:t>
      </w:r>
    </w:p>
    <w:p>
      <w:pPr>
        <w:pStyle w:val="Heading2"/>
        <w:ind w:firstLine="0"/>
      </w:pPr>
      <w:r>
        <w:t>IV.B Main Outcome Distributions</w:t>
      </w:r>
    </w:p>
    <w:p>
      <w:pPr>
        <w:spacing w:line="360" w:lineRule="auto"/>
        <w:ind w:firstLine="720"/>
      </w:pPr>
      <w:r>
        <w:t>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spacing w:line="360" w:lineRule="auto"/>
        <w:ind w:firstLine="720"/>
      </w:pPr>
      <w:r>
        <w:t>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p>
      <w:pPr>
        <w:pStyle w:val="Heading2"/>
        <w:ind w:firstLine="0"/>
      </w:pPr>
      <w:r>
        <w:t>IV.C Hierarchical Logistic Regression (Primary Model)</w:t>
      </w:r>
    </w:p>
    <w:p>
      <w:pPr>
        <w:spacing w:line="360" w:lineRule="auto"/>
        <w:ind w:firstLine="720"/>
      </w:pPr>
      <w:r>
        <w:t>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spacing w:line="360" w:lineRule="auto"/>
        <w:ind w:firstLine="720"/>
      </w:pPr>
      <w:r>
        <w:t>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 [figures/03_primary_adjusted_or_forest.png](../figures/03_primary_adjusted_or_forest.png).</w:t>
      </w:r>
    </w:p>
    <w:p>
      <w:pPr>
        <w:spacing w:line="360" w:lineRule="auto"/>
        <w:ind w:firstLine="720"/>
      </w:pPr>
      <w:r>
        <w:t>A separate sensitivity model that added Q6 and Q7 used complete-case n=406 and produced McFadden pseudo R² of 0.2440 (fit type: mle). This model was reported as a sensitivity analysis because Q6 and Q7 are proximal to the recommendation outcome.</w:t>
      </w:r>
    </w:p>
    <w:p>
      <w:pPr>
        <w:pStyle w:val="Heading2"/>
        <w:ind w:firstLine="0"/>
      </w:pPr>
      <w:r>
        <w:t>IV.D Multinomial Logistic Regression (No/Yes/Not Sure Structure)</w:t>
      </w:r>
    </w:p>
    <w:p>
      <w:pPr>
        <w:spacing w:line="360" w:lineRule="auto"/>
        <w:ind w:firstLine="720"/>
      </w:pPr>
      <w:r>
        <w:t>Multinomial logistic regression preserved the three-category recommendation structure with complete-case n=837 and model log-likelihood -748.910 (fit type: mle). The outcome categories were coded as No (reference), Yes, and Not sure, corresponding to Q8=0, Q8=1, and Q8=2.</w:t>
      </w:r>
    </w:p>
    <w:p>
      <w:pPr>
        <w:spacing w:line="360" w:lineRule="auto"/>
        <w:ind w:firstLine="720"/>
      </w:pPr>
      <w:r>
        <w:t>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spacing w:line="360" w:lineRule="auto"/>
        <w:ind w:firstLine="720"/>
      </w:pPr>
      <w:r>
        <w:t>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 [figures/08_multinomial_key_predictor_comparison.png](../figures/08_multinomial_key_predictor_comparison.png).</w:t>
      </w:r>
    </w:p>
    <w:p>
      <w:pPr>
        <w:pStyle w:val="Heading2"/>
        <w:ind w:firstLine="0"/>
      </w:pPr>
      <w:r>
        <w:t>IV.E The Contact Hypothesis (Users vs Non-Users)</w:t>
      </w:r>
    </w:p>
    <w:p>
      <w:pPr>
        <w:spacing w:line="360" w:lineRule="auto"/>
        <w:ind w:firstLine="720"/>
      </w:pPr>
      <w:r>
        <w:t>The contact analysis compared Users vs Non-Users using prior use status (Users n=127, Non-Users n=716). Mann-Whitney U tests were statistically significant for Q11, Q12, and Q13, while chi-square tests were statistically significant for Q12 and Q13 but not for Q11.</w:t>
      </w:r>
    </w:p>
    <w:p>
      <w:pPr>
        <w:spacing w:line="360" w:lineRule="auto"/>
        <w:ind w:firstLine="720"/>
      </w:pPr>
      <w:r>
        <w:t>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p>
      <w:pPr>
        <w:pStyle w:val="Heading2"/>
        <w:ind w:firstLine="0"/>
      </w:pPr>
      <w:r>
        <w:t>IV.F Exploratory Stigma Phenotypes (Clearly Labeled)</w:t>
      </w:r>
    </w:p>
    <w:p>
      <w:pPr>
        <w:spacing w:line="360" w:lineRule="auto"/>
        <w:ind w:firstLine="720"/>
      </w:pPr>
      <w:r>
        <w:t>Exploratory k-means clustering on standardized Q11–Q13 evaluated k=2, k=3, and k=4. Silhouette scores were 0.274 for k=2, 0.272 for k=3, and 0.303 for k=4, so k=4 was selected by maximum silhouette criterion.</w:t>
      </w:r>
    </w:p>
    <w:p>
      <w:pPr>
        <w:spacing w:line="360" w:lineRule="auto"/>
        <w:ind w:firstLine="720"/>
      </w:pPr>
      <w:r>
        <w:t>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 [figures/14_profile_means_heatmap.png](../figures/14_profile_means_heatmap.png).</w:t>
      </w:r>
    </w:p>
    <w:p>
      <w:pPr>
        <w:pStyle w:val="Heading2"/>
        <w:ind w:firstLine="0"/>
      </w:pPr>
      <w:r>
        <w:t>IV.G Results Summary</w:t>
      </w:r>
    </w:p>
    <w:p>
      <w:pPr>
        <w:spacing w:line="360" w:lineRule="auto"/>
        <w:ind w:firstLine="720"/>
      </w:pPr>
      <w:r>
        <w:t>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p>
      <w:r>
        <w:br w:type="page"/>
      </w:r>
    </w:p>
    <w:p>
      <w:pPr>
        <w:pStyle w:val="Heading1"/>
        <w:ind w:firstLine="0"/>
      </w:pPr>
      <w:r>
        <w:t>V. DISCUSSION</w:t>
      </w:r>
    </w:p>
    <w:p>
      <w:pPr>
        <w:pStyle w:val="Heading2"/>
        <w:ind w:firstLine="0"/>
      </w:pPr>
      <w:r>
        <w:t>A. Interpretation of Primary Findings</w:t>
      </w:r>
    </w:p>
    <w:p>
      <w:pPr>
        <w:spacing w:line="360" w:lineRule="auto"/>
        <w:ind w:firstLine="720"/>
      </w:pPr>
      <w:r>
        <w:t>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spacing w:line="360" w:lineRule="auto"/>
        <w:ind w:firstLine="720"/>
      </w:pPr>
      <w:r>
        <w:t>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spacing w:line="360" w:lineRule="auto"/>
        <w:ind w:firstLine="720"/>
      </w:pPr>
      <w:r>
        <w:t>The multinomial model adds useful detail for hesitant respondents. For recommendation “Yes” vs “No” (reference category), Q13 remained a strong positive predictor (RRR 1.585, p&lt;0.0001), while dependence concerns (Q12) were associated with an RRR below 1 for “Yes” vs “No” (RRR 0.794, p=0.0239). For the “Not sure” category, gender remained significant (RRR 2.171, p=0.0093), but most attitudinal predictors were weaker. This indicates that uncertainty is not only a neutral midpoint; it reflects unresolved risk beliefs that require targeted communication.</w:t>
      </w:r>
    </w:p>
    <w:p>
      <w:pPr>
        <w:spacing w:line="360" w:lineRule="auto"/>
        <w:ind w:firstLine="720"/>
      </w:pPr>
      <w:r>
        <w:t>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p>
      <w:pPr>
        <w:pStyle w:val="Heading2"/>
        <w:ind w:firstLine="0"/>
      </w:pPr>
      <w:r>
        <w:t>B. Comparison With Iraqi and Regional Literature</w:t>
      </w:r>
    </w:p>
    <w:p>
      <w:pPr>
        <w:spacing w:line="360" w:lineRule="auto"/>
        <w:ind w:firstLine="720"/>
      </w:pPr>
      <w:r>
        <w:t>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spacing w:line="360" w:lineRule="auto"/>
        <w:ind w:firstLine="720"/>
      </w:pPr>
      <w:r>
        <w:t>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spacing w:line="360" w:lineRule="auto"/>
        <w:ind w:firstLine="720"/>
      </w:pPr>
      <w:r>
        <w:t>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spacing w:line="360" w:lineRule="auto"/>
        <w:ind w:firstLine="720"/>
      </w:pPr>
      <w:r>
        <w:t>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p>
      <w:pPr>
        <w:pStyle w:val="Heading2"/>
        <w:ind w:firstLine="0"/>
      </w:pPr>
      <w:r>
        <w:t>C. Implications for Pharmacy Practice and Public Health</w:t>
      </w:r>
    </w:p>
    <w:p>
      <w:pPr>
        <w:spacing w:line="360" w:lineRule="auto"/>
        <w:ind w:firstLine="720"/>
      </w:pPr>
      <w:r>
        <w:t>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spacing w:line="360" w:lineRule="auto"/>
        <w:ind w:firstLine="720"/>
      </w:pPr>
      <w:r>
        <w:t>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spacing w:line="360" w:lineRule="auto"/>
        <w:ind w:firstLine="720"/>
      </w:pPr>
      <w:r>
        <w:t>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p>
      <w:pPr>
        <w:pStyle w:val="Heading2"/>
        <w:ind w:firstLine="0"/>
      </w:pPr>
      <w:r>
        <w:t>D. Strengths and Limitations of the Present Study</w:t>
      </w:r>
    </w:p>
    <w:p>
      <w:pPr>
        <w:spacing w:line="360" w:lineRule="auto"/>
        <w:ind w:firstLine="720"/>
      </w:pPr>
      <w:r>
        <w:t>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spacing w:line="360" w:lineRule="auto"/>
        <w:ind w:firstLine="720"/>
      </w:pPr>
      <w:r>
        <w:t>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p>
      <w:pPr>
        <w:pStyle w:val="Heading2"/>
        <w:ind w:firstLine="0"/>
      </w:pPr>
      <w:r>
        <w:t>E. Priority Research Gaps</w:t>
      </w:r>
    </w:p>
    <w:p>
      <w:pPr>
        <w:spacing w:line="360" w:lineRule="auto"/>
        <w:ind w:firstLine="720"/>
      </w:pPr>
      <w:r>
        <w:t>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spacing w:line="360" w:lineRule="auto"/>
        <w:ind w:firstLine="720"/>
      </w:pPr>
      <w:r>
        <w:t>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p>
      <w:r>
        <w:br w:type="page"/>
      </w:r>
    </w:p>
    <w:p>
      <w:pPr>
        <w:pStyle w:val="Heading1"/>
        <w:ind w:firstLine="0"/>
      </w:pPr>
      <w:r>
        <w:t>VI. RECOMMENDATIONS</w:t>
      </w:r>
    </w:p>
    <w:p>
      <w:pPr>
        <w:pStyle w:val="Heading2"/>
        <w:ind w:firstLine="0"/>
      </w:pPr>
      <w:r>
        <w:t>A. Policy-Level Recommendations</w:t>
      </w:r>
    </w:p>
    <w:p>
      <w:pPr>
        <w:spacing w:line="360" w:lineRule="auto"/>
        <w:ind w:firstLine="720"/>
      </w:pPr>
      <w:r>
        <w:t>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spacing w:line="360" w:lineRule="auto"/>
        <w:ind w:firstLine="720"/>
      </w:pPr>
      <w:r>
        <w:t>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spacing w:line="360" w:lineRule="auto"/>
        <w:ind w:firstLine="720"/>
      </w:pPr>
      <w:r>
        <w:t>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p>
      <w:pPr>
        <w:pStyle w:val="Heading2"/>
        <w:ind w:firstLine="0"/>
      </w:pPr>
      <w:r>
        <w:t>B. Practice-Level Recommendations (Pharmacists, Physicians, Primary Care)</w:t>
      </w:r>
    </w:p>
    <w:p>
      <w:pPr>
        <w:spacing w:line="360" w:lineRule="auto"/>
        <w:ind w:firstLine="720"/>
      </w:pPr>
      <w:r>
        <w:t>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spacing w:line="360" w:lineRule="auto"/>
        <w:ind w:firstLine="720"/>
      </w:pPr>
      <w:r>
        <w:t>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spacing w:line="360" w:lineRule="auto"/>
        <w:ind w:firstLine="720"/>
      </w:pPr>
      <w:r>
        <w:t>Primary care teams should create a simple referral-feedback loop between clinics and community pharmacies so patients receive consistent messages. Inconsistency across providers can strengthen uncertainty, which remained visible in the multinomial model.</w:t>
      </w:r>
    </w:p>
    <w:p>
      <w:pPr>
        <w:pStyle w:val="Heading2"/>
        <w:ind w:firstLine="0"/>
      </w:pPr>
      <w:r>
        <w:t>C. Education and Awareness Recommendations</w:t>
      </w:r>
    </w:p>
    <w:p>
      <w:pPr>
        <w:spacing w:line="360" w:lineRule="auto"/>
        <w:ind w:firstLine="720"/>
      </w:pPr>
      <w:r>
        <w:t>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spacing w:line="360" w:lineRule="auto"/>
        <w:ind w:firstLine="720"/>
      </w:pPr>
      <w:r>
        <w:t>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p>
      <w:pPr>
        <w:pStyle w:val="Heading2"/>
        <w:ind w:firstLine="0"/>
      </w:pPr>
      <w:r>
        <w:t>D. Research Recommendations</w:t>
      </w:r>
    </w:p>
    <w:p>
      <w:pPr>
        <w:spacing w:line="360" w:lineRule="auto"/>
        <w:ind w:firstLine="720"/>
      </w:pPr>
      <w:r>
        <w:t>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spacing w:line="360" w:lineRule="auto"/>
        <w:ind w:firstLine="720"/>
      </w:pPr>
      <w:r>
        <w:t>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p>
      <w:pPr>
        <w:pStyle w:val="Heading1"/>
        <w:ind w:firstLine="0"/>
      </w:pPr>
      <w:r>
        <w:t>VII. CONCLUSION</w:t>
      </w:r>
    </w:p>
    <w:p>
      <w:pPr>
        <w:pStyle w:val="Heading2"/>
        <w:ind w:firstLine="0"/>
      </w:pPr>
      <w:r>
        <w:t>A. What the Cross-Sectional Study Adds</w:t>
      </w:r>
    </w:p>
    <w:p>
      <w:pPr>
        <w:spacing w:line="360" w:lineRule="auto"/>
        <w:ind w:firstLine="720"/>
      </w:pPr>
      <w:r>
        <w:t>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p>
      <w:pPr>
        <w:pStyle w:val="Heading2"/>
        <w:ind w:firstLine="0"/>
      </w:pPr>
      <w:r>
        <w:t>B. What the Combined Evidence (Survey + Literature) Indicates for Iraq</w:t>
      </w:r>
    </w:p>
    <w:p>
      <w:pPr>
        <w:spacing w:line="360" w:lineRule="auto"/>
        <w:ind w:firstLine="720"/>
      </w:pPr>
      <w:r>
        <w:t>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spacing w:line="360" w:lineRule="auto"/>
        <w:ind w:firstLine="720"/>
      </w:pPr>
      <w:r>
        <w:t>The evidence also indicates that pharmacists are positioned to close this gap. In a system with limited specialist capacity, pharmacist-led counseling and coordinated primary care communication can translate treatment availability into treatment acceptance.</w:t>
      </w:r>
    </w:p>
    <w:p>
      <w:pPr>
        <w:pStyle w:val="Heading2"/>
        <w:ind w:firstLine="0"/>
      </w:pPr>
      <w:r>
        <w:t>C. Closing Evidence-Based Statement</w:t>
      </w:r>
    </w:p>
    <w:p>
      <w:pPr>
        <w:spacing w:line="360" w:lineRule="auto"/>
        <w:ind w:firstLine="720"/>
      </w:pPr>
      <w:r>
        <w:t>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p>
      <w:r>
        <w:br w:type="page"/>
      </w:r>
    </w:p>
    <w:p>
      <w:pPr>
        <w:pStyle w:val="Heading1"/>
        <w:ind w:firstLine="0"/>
      </w:pPr>
      <w:r>
        <w:t>VIII. REFERENCES</w:t>
      </w:r>
    </w:p>
    <w:p>
      <w:pPr>
        <w:spacing w:line="360" w:lineRule="auto"/>
        <w:ind w:firstLine="720"/>
      </w:pPr>
      <w:r>
        <w:t>Abdisa, Eba, Ginenus Fekadu, Shimelis Girma, et al. “Self-Stigma and Medication Adherence among Patients with Mental Illness Treated at Jimma University Medical Center, Southwest Ethiopia.” International Journal of Mental Health Systems 14, no. 1 (2020): 56. https://doi.org/10.1186/s13033-020-00391-6. Abdul Kareem, Makwan, and Hezha Mahmood. “Adherence to Pharmacological Treatment Among Patients with Schizophrenia: Adherence to Pharmacological Treatment Among Patients with Schizophrenia.” Iraqi National Journal of Medicine 4, no. 1 (2022): 31–42. https://doi.org/10.37319/IQNJM.4.1.4. Abi Hana, Racha, Maguy Arnous, Eva Heim, et al. “Mental Health Stigma at Primary Health Care Centres in Lebanon: Qualitative Study.” International Journal of Mental Health Systems 16, no. 1 (2022): 23. https://doi.org/10.1186/s13033-022-00533-y. Adewuya, Abiodun O., and Roger O. A. Makanjuola. “Lay Beliefs Regarding Causes of Mental Illness in Nigeria: Pattern and Correlates.” Social Psychiatry and Psychiatric Epidemiology 43, no. 4 (2008): 336–41. https://doi.org/10.1007/s00127-007-0305-x. Al-Asadi, Jasim Naeem, and Zainab B. Hussein. “Depression among Infertile Women in Basrah, Iraq: Prevalence and Risk Factors.” Journal of the Chinese Medical Association: JCMA 78, no. 11 (2015): 673–77. https://doi.org/10.1016/j.jcma.2015.07.009. Al-Awadhi, Anwar, Farid Atawneh, M. ZiadY Alalyan, AltafAhmad Shahid, Sulaiman Al-Alkhadhari, and MuhammadAjmal Zahid. “Nurses’ Attitude towards Patients with Mental Illness in a General Hospital in Kuwait.” Saudi Journal of Medicine and Medical Sciences 5, no. 1 (2017): 31. https://doi.org/10.4103/1658-631X.194249. Albaroodi, Khansaa A. Ibrahim. “Pharmacists’ Knowledge Regarding Drug Disposal in Karbala.” Pharmacy 7, no. 2 (2019): 57. https://doi.org/10.3390/pharmacy7020057. Al-Hemiary, Nesif J., Jawad K. Al-Diwan, Albert L. Hasson, and Richard A. Rawson. “Drug and Alcohol Use in Iraq: Findings of the Inaugural Iraqi Community Epidemiological Workgroup.” Substance Use &amp; Misuse 49, no. 13 (2014): 1759–63. https://doi.org/10.3109/10826084.2014.913633. Al-Jawadi, Asma A., and Shatha Abdul-Rhman. “Prevalence of Childhood and Early Adolescence Mental Disorders among Children Attending Primary Health Care Centers in Mosul, Iraq: A Cross-Sectional Study.” BMC Public Health 7, no. 1 (2007): 274. https://doi.org/10.1186/1471-2458-7-274. Almazeedi, Hind, and Mohammad T. Alsuwaidan. “‘Integrating Kuwait’s Mental Health System to End Stigma: A Call to Action.’” Journal of Mental Health 23, no. 1 (2014): 1–3. https://doi.org/10.3109/09638237.2013.775407. Al Omari, Omar, Blessy Prabha Valsaraj, Moawiah Khatatbeh, et al. “Self and Public Stigma towards Mental Illnesses and Its Predictors among University Students in 11 Arabic‐speaking Countries: A Multi‐site Study.” International Journal of Mental Health Nursing 32, no. 6 (2023): 1745–55. https://doi.org/10.1111/inm.13206. Angermeyer, Matthias C., Sandra Van Der Auwera, Mauro G. Carta, and Georg Schomerus. “Public Attitudes towards Psychiatry and Psychiatric Treatment at the Beginning of the 21st Century: A Systematic Review and Meta‐analysis of Population Surveys.” World Psychiatry 16, no. 1 (2017): 50–61. https://doi.org/10.1002/wps.20383. Berge, Erik Eng, Roger Hagen, and Joar Øveraas Halvorsen. “PTSD Relapse in Veterans of Iraq and Afghanistan: A Systematic Review.” Military Psychology 32, no. 4 (2020): 300–312. https://doi.org/10.1080/08995605.2020.1754123. Booth, Wendy A., Mabrouka Abuhmida, and Felix Anyanwu. “Mental Health Stigma: A Conundrum for Healthcare Practitioners in Conservative Communities.” Frontiers in Public Health 12 (May 2024): 1384521. https://doi.org/10.3389/fpubh.2024.1384521. Burnam, M. Audrey, Lisa S. Meredith, Terri Tanielian, and Lisa H. Jaycox. “Mental Health Care For Iraq And Afghanistan War Veterans.” Health Affairs 28, no. 3 (2009): 771–82. https://doi.org/10.1377/hlthaff.28.3.771. Cubillos, Leonardo, Sophia M. Bartels, William C. Torrey, et al. “The Effectiveness and Cost-Effectiveness of Integrating Mental Health Services in Primary Care in Low- and Middle-Income Countries: Systematic Review.” BJPsych Bulletin 45, no. 1 (2021): 40–52. https://doi.org/10.1192/bjb.2020.35. Dikeç, Gül, and Kübra Timarcıoğlu. “Medication Adherence to Psychotropic Medication and Relationship with Psychiatric Symptoms among Syrian Refugees in Turkey: A Pilot Study.” Trauma Care 3, no. 1 (2023): 37–45. https://doi.org/10.3390/traumacare3010005. Elyamani, Rowaida, Sarah Naja, Ayman Al-Dahshan, Hamed Hamoud, Mohammed Iheb Bougmiza, and Noora Alkubaisi. “Mental Health Literacy in Arab States of the Gulf Cooperation Council: A Systematic Review.” PLOS ONE 16, no. 1 (2021): e0245156. https://doi.org/10.1371/journal.pone.0245156. Gast, Alina, and Tim Mathes. “Medication Adherence Influencing Factors—an (Updated) Overview of Systematic Reviews.” Systematic Reviews 8, no. 1 (2019): 112. https://doi.org/10.1186/s13643-019-1014-8. Häge, Alexander, Lisa Weymann, Lucia Bliznak, Viktoria Märker, Konstantin Mechler, and Ralf W. Dittmann. “Non-adherence to Psychotropic Medication Among Adolescents – A Systematic Review of the Literature.” Zeitschrift für Kinder- und Jugendpsychiatrie und Psychotherapie 46, no. 1 (2018): 69–78. https://doi.org/10.1024/1422-4917/a000505. Hamrin, Vanya, Erin M. McCarthy, and Veda Tyson. “Pediatric Psychotropic Medication Initiation and Adherence: A Literature Review Based on Social Exchange Theory.” Journal of Child and Adolescent Psychiatric Nursing 23, no. 3 (2010): 151–72. https://doi.org/10.1111/j.1744-6171.2010.00237.x. Herbert, Sophia M. C., Joni C. Carroll, Kim C. Coley, Stephanie Harriman McGrath, and Melissa Somma McGivney. “A Student Pharmacist Quality Engagement Team to Support Initial Implementation of Comprehensive Medication Management within Independent Community Pharmacies.” Pharmacy 8, no. 3 (2020): 141. https://doi.org/10.3390/pharmacy8030141. Hisle-Gorman, Elizabeth, Apryl Susi, and Gregory H. Gorman. “Mental Health Trends in Military Pediatrics.” Psychiatric Services 70, no. 8 (2019): 657–64. https://doi.org/10.1176/appi.ps.201800101. Hoge, Charles W., Carl A. Castro, Stephen C. Messer, Dennis McGurk, Dave I. Cotting, and Robert L. Koffman. “Combat Duty in Iraq and Afghanistan, Mental Health Problems, and Barriers to Care.” New England Journal of Medicine 351, no. 1 (2004): 13–22. https://doi.org/10.1056/NEJMoa040603. Hoge, Charles W., Christopher G. Ivany, Edward A. Brusher, et al. “Transformation of Mental Health Care for U.S. Soldiers and Families During the Iraq and Afghanistan Wars: Where Science and Politics Intersect.” American Journal of Psychiatry 173, no. 4 (2016): 334–43. https://doi.org/10.1176/appi.ajp.2015.15040553. Horne, Robert, John Weinman, and Maittew Hankins. “The Beliefs about Medicines Questionnaire: The Development and Evaluation of a New Method for Assessing the Cognitive Representation of Medication.” Psychology &amp; Health 14, no. 1 (1999): 1–24. https://doi.org/10.1080/08870449908407311. Hussein Alwan, Iman, Mohammed Fadhil Ali, and Zeyad Tariq Madalla. “Factors Influencing Stigma Toward Mental Illness Among Students at the University of Baghdad.” International Journal of Body, Mind and Culture 12, no. 6 (2025): 161–70. https://doi.org/10.61838/ijbmc.v12i5.945. Ibrahim, Hawkar, Verena Ertl, Claudia Catani, Azad Ali Ismail, and Frank Neuner. “Trauma and Perceived Social Rejection among Yazidi Women and Girls Who Survived Enslavement and Genocide.” BMC Medicine 16, no. 1 (2018): 154. https://doi.org/10.1186/s12916-018-1140-5. Kadhim, Sheima Nadim, Zainab Haroon Ahmed, and Muntadher Luay Abdulsahib. “ANXIETY, DEPRESSION, AND PSYCHOTROPIC DRUGS USAGE BY UNIVERSITY STUDENTS OF MEDICAL GROUP IN BASRA, IRAQ.” Universal Journal of Pharmaceutical Research, ahead of print, May 15, 2024. https://doi.org/10.22270/ujpr.v9i2.1081. Kalaman, Clarisse Roswini, Norhayati Ibrahim, Vinorra Shaker, et al. “Parental Factors Associated with Child or Adolescent Medication Adherence: A Systematic Review.” Healthcare 11, no. 4 (2023): 501. https://doi.org/10.3390/healthcare11040501. Kwan, Yu Heng, Si Dun Weng, Dionne Hui Fang Loh, et al. “Measurement Properties of Existing Patient-Reported Outcome Measures on Medication Adherence: Systematic Review.” Journal of Medical Internet Research 22, no. 10 (2020): e19179. https://doi.org/10.2196/19179. Leucht, S., T. Burkard, J. Henderson, M. Maj, and N. Sartorius. “Physical Illness and Schizophrenia: A Review of the Literature.” Acta Psychiatrica Scandinavica 116, no. 5 (2007): 317–33. https://doi.org/10.1111/j.1600-0447.2007.01095.x. Leucht, Stefan, Andrea Cipriani, Loukia Spineli, et al. “Comparative Efficacy and Tolerability of 15 Antipsychotic Drugs in Schizophrenia: A Multiple-Treatments Meta-Analysis.” The Lancet 382, no. 9896 (2013): 951–62. https://doi.org/10.1016/S0140-6736(13)60733-3. Mohammed, Mrywan Abdulmajeed, and Konul Memmedova. “Prevalence of Mental Health Problems among Iraqi University Students during the COVID-19 Pandemic.” Sustainability 15, no. 3 (2023): 1746. https://doi.org/10.3390/su15031746. Mojtabai, Ramin. “Americans’ Attitudes Toward Psychiatric Medications: 1998–2006.” Psychiatric Services 60, no. 8 (2009): 1015–23. https://doi.org/10.1176/ps.2009.60.8.1015. Nassr, Ola A., and Raghad F. “Prevalence and Predictors of High-Dose Antipsychotic Therapy among Adult Psychiatric Inpatients in Baghdad, Iraq.” South African Journal of Psychiatry 32, no. 0 (2026): a2606. https://doi.org/10.4102/SAJPSYCHIATRY.v32i0.2606. Okasha, Tarek, Nermin M. Shaker, and Dina Aly El-Gabry. “Mental Health Services in Egypt, the Middle East, and North Africa.” International Review of Psychiatry 37, nos. 3–4 (2025): 306–14. https://doi.org/10.1080/09540261.2024.2400143. Ouanes, Sami, Imen Becetti, Suhaila Ghuloum, et al. “Patterns of Prescription of Antipsychotics in Qatar.” PLOS ONE 15, no. 11 (2020): e0241986. https://doi.org/10.1371/journal.pone.0241986. Rasheed, Sana, Eisha Kashif, Rida Arif, et al. “The Impact of Stigma on Health Care-Seeking Behavior in Military Personnel with Mental Health Challenges.” Annals of Medicine and Surgery (2012) 88, no. 1 (2026): 630–36. https://doi.org/10.1097/MS9.0000000000004569. Roder, V. “Integrated Psychological Therapy (IPT) for Schizophrenia: Is It Effective?” Schizophrenia Bulletin 32, no. Supplement 1 (2006): S81–93. https://doi.org/10.1093/schbul/sbl021. Sadik, Sabah, Marie Bradley, Saad Al-Hasoon, and Rachel Jenkins. “Public Perception of Mental Health in Iraq.” International Journal of Mental Health Systems 4, no. 1 (2010): 26. https://doi.org/10.1186/1752-4458-4-26. Saied, AbdulRahman A., Sirwan Khalid Ahmed, Asmaa A. Metwally, and Hani Aiash. “Iraq’s Mental Health Crisis: A Way Forward?” The Lancet 402, no. 10409 (2023): 1235–36. https://doi.org/10.1016/S0140-6736(23)01283-7. Saied, AbdulRahman A., Asmaa A. Metwally, Sirwan Khalid Ahmed, Rukhsar Muhmmad Omar, and Salar Omar Abdulqadir. “National Suicide Prevention Strategy in Iraq.” Asian Journal of Psychiatry 82 (April 2023): 103486. https://doi.org/10.1016/j.ajp.2023.103486. Slewa-Younan, Shameran, Jonathan Mond, Elise Bussion, et al. “Mental Health Literacy of Resettled Iraqi Refugees in Australia: Knowledge about Posttraumatic Stress Disorder and Beliefs about Helpfulness of Interventions.” BMC Psychiatry 14, no. 1 (2014): 320. https://doi.org/10.1186/s12888-014-0320-x. Uribe Guajardo, Maria Gabriela, Shameran Slewa-Younan, Betty Ann Kitchener, Haider Mannan, Yaser Mohammad, and Anthony Francis Jorm. “Improving the Capacity of Community-Based Workers in Australia to Provide Initial Assistance to Iraqi Refugees with Mental Health Problems: An Uncontrolled Evaluation of a Mental Health Literacy Course.” International Journal of Mental Health Systems 12, no. 1 (2018): 2. https://doi.org/10.1186/s13033-018-0180-8. Van, Connie, Daniel Costa, Penny Abbott, Bernadette Mitchell, and Ines Krass. “Community Pharmacist Attitudes towards Collaboration with General Practitioners: Development and Validation of a Measure and a Model.” BMC Health Services Research 12, no. 1 (2012): 320. https://doi.org/10.1186/1472-6963-12-320. Younis, Maha S. “Tears of Ishtar: Women’s Mental Health in Iraq.” The Lancet. Psychiatry 2, no. 2 (2015): 119–21. https://doi.org/10.1016/S2215-0366(14)00061-3. Younis, Maha S., and Deema Khunda. “Maha Sulaiman Younis: A Personal History of Psychiatry in Iraq through War and Conflict.” GLOBAL PSYCHIATRY ARCHIVES 3, no. 2 (2020): 113–18. https://doi.org/10.52095/gpa.2020.1355. Younis, Maha S., Riyadh K. Lafta, and Saba Dhiaa. “Faith Healers Are Taking over the Role of Psychiatrists in Iraq.” Qatar Medical Journal 2019, no. 3 (2020). https://doi.org/10.5339/qmj.2019.13. Younis, Maha Sulaiman, and Riyadh Khudhiar Lafta. “The Plight of Women in Iraq: Gender Disparity, Violence, and Mental Health.” International Journal of Social Psychiatry 67, no. 8 (2021): 977–83. https://doi.org/10.1177/00207640211003602. Zolezzi, Monica, Maha Alamri, Shahd Shaar, and Daniel Rainkie. “Stigma Associated with Mental Illness and Its Treatment in the Arab Culture: A Systematic Review.” International Journal of Social Psychiatry 64, no. 6 (2018): 597–609. https://doi.org/10.1177/0020764018789200. Zygmunt, Annette, Mark Olfson, Carol A. Boyer, and David Mechanic. “Interventions to Improve Medication Adherence in Schizophrenia.” American Journal of Psychiatry 159, no. 10 (2002): 1653–64. https://doi.org/10.1176/appi.ajp.159.10.1653.</w:t>
      </w:r>
    </w:p>
    <w:p>
      <w:pPr>
        <w:pStyle w:val="Heading1"/>
        <w:ind w:firstLine="0"/>
      </w:pPr>
      <w:r>
        <w:t>Primary adjusted OR forest plot</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1" name="Picture 1"/>
            <wp:cNvGraphicFramePr>
              <a:graphicFrameLocks noChangeAspect="1"/>
            </wp:cNvGraphicFramePr>
            <a:graphic>
              <a:graphicData uri="http://schemas.openxmlformats.org/drawingml/2006/picture">
                <pic:pic>
                  <pic:nvPicPr>
                    <pic:cNvPr id="0" name="03_primary_adjusted_or_forest.png"/>
                    <pic:cNvPicPr/>
                  </pic:nvPicPr>
                  <pic:blipFill>
                    <a:blip r:embed="rId9"/>
                    <a:stretch>
                      <a:fillRect/>
                    </a:stretch>
                  </pic:blipFill>
                  <pic:spPr>
                    <a:xfrm>
                      <a:off x="0" y="0"/>
                      <a:ext cx="5760720" cy="3433156"/>
                    </a:xfrm>
                    <a:prstGeom prst="rect"/>
                  </pic:spPr>
                </pic:pic>
              </a:graphicData>
            </a:graphic>
          </wp:inline>
        </w:drawing>
      </w:r>
    </w:p>
    <w:p>
      <w:pPr>
        <w:spacing w:line="360" w:lineRule="auto"/>
        <w:ind w:firstLine="720"/>
      </w:pPr>
      <w:r>
        <w:t>**Caption:** Adjusted odds ratios with 95% confidence intervals for Block 3 predictors.</w:t>
      </w:r>
    </w:p>
    <w:p>
      <w:pPr>
        <w:spacing w:line="360" w:lineRule="auto"/>
        <w:ind w:firstLine="720"/>
      </w:pPr>
      <w:r>
        <w:t>**Quick analysis:** 4 predictors are statistically significant at p&lt;0.05, with clear protective and risk-direction effects.</w:t>
      </w:r>
    </w:p>
    <w:p>
      <w:pPr>
        <w:pStyle w:val="Heading1"/>
        <w:ind w:firstLine="0"/>
      </w:pPr>
      <w:r>
        <w:t>Multinomial key predictor comparison</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2" name="Picture 2"/>
            <wp:cNvGraphicFramePr>
              <a:graphicFrameLocks noChangeAspect="1"/>
            </wp:cNvGraphicFramePr>
            <a:graphic>
              <a:graphicData uri="http://schemas.openxmlformats.org/drawingml/2006/picture">
                <pic:pic>
                  <pic:nvPicPr>
                    <pic:cNvPr id="0" name="08_multinomial_key_predictor_comparison.png"/>
                    <pic:cNvPicPr/>
                  </pic:nvPicPr>
                  <pic:blipFill>
                    <a:blip r:embed="rId10"/>
                    <a:stretch>
                      <a:fillRect/>
                    </a:stretch>
                  </pic:blipFill>
                  <pic:spPr>
                    <a:xfrm>
                      <a:off x="0" y="0"/>
                      <a:ext cx="5760720" cy="3431217"/>
                    </a:xfrm>
                    <a:prstGeom prst="rect"/>
                  </pic:spPr>
                </pic:pic>
              </a:graphicData>
            </a:graphic>
          </wp:inline>
        </w:drawing>
      </w:r>
    </w:p>
    <w:p>
      <w:pPr>
        <w:spacing w:line="360" w:lineRule="auto"/>
        <w:ind w:firstLine="720"/>
      </w:pPr>
      <w:r>
        <w:t>**Caption:** Side-by-side RRR values for key predictors across Yes and Not sure outcomes.</w:t>
      </w:r>
    </w:p>
    <w:p>
      <w:pPr>
        <w:spacing w:line="360" w:lineRule="auto"/>
        <w:ind w:firstLine="720"/>
      </w:pPr>
      <w:r>
        <w:t>**Quick analysis:** Q13 shows a larger relative risk ratio for Yes responses, whereas Q11 and Q12 have relative risk ratios closer to 1.0 in the Not sure equation.</w:t>
      </w:r>
    </w:p>
    <w:p>
      <w:pPr>
        <w:pStyle w:val="Heading1"/>
        <w:ind w:firstLine="0"/>
      </w:pPr>
      <w:r>
        <w:t>Profile means heatmap</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682947"/>
            <wp:docPr id="3" name="Picture 3"/>
            <wp:cNvGraphicFramePr>
              <a:graphicFrameLocks noChangeAspect="1"/>
            </wp:cNvGraphicFramePr>
            <a:graphic>
              <a:graphicData uri="http://schemas.openxmlformats.org/drawingml/2006/picture">
                <pic:pic>
                  <pic:nvPicPr>
                    <pic:cNvPr id="0" name="14_profile_means_heatmap.png"/>
                    <pic:cNvPicPr/>
                  </pic:nvPicPr>
                  <pic:blipFill>
                    <a:blip r:embed="rId11"/>
                    <a:stretch>
                      <a:fillRect/>
                    </a:stretch>
                  </pic:blipFill>
                  <pic:spPr>
                    <a:xfrm>
                      <a:off x="0" y="0"/>
                      <a:ext cx="5760720" cy="3682947"/>
                    </a:xfrm>
                    <a:prstGeom prst="rect"/>
                  </pic:spPr>
                </pic:pic>
              </a:graphicData>
            </a:graphic>
          </wp:inline>
        </w:drawing>
      </w:r>
    </w:p>
    <w:p>
      <w:pPr>
        <w:spacing w:line="360" w:lineRule="auto"/>
        <w:ind w:firstLine="720"/>
      </w:pPr>
      <w:r>
        <w:t>**Caption:** Heatmap of profile-level means across Q11, Q12, and Q13.</w:t>
      </w:r>
    </w:p>
    <w:p>
      <w:pPr>
        <w:spacing w:line="360" w:lineRule="auto"/>
        <w:ind w:firstLine="720"/>
      </w:pPr>
      <w:r>
        <w:t>**Quick analysis:** Profiles show distinct belief combinations, especially around confidence in newer medications (Q13).</w:t>
      </w:r>
    </w:p>
    <w:p>
      <w:pPr>
        <w:pStyle w:val="Heading1"/>
        <w:ind w:firstLine="0"/>
      </w:pPr>
      <w:r>
        <w:t>Diverging Likert chart (Q11–Q13)</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3156"/>
            <wp:docPr id="4" name="Picture 4"/>
            <wp:cNvGraphicFramePr>
              <a:graphicFrameLocks noChangeAspect="1"/>
            </wp:cNvGraphicFramePr>
            <a:graphic>
              <a:graphicData uri="http://schemas.openxmlformats.org/drawingml/2006/picture">
                <pic:pic>
                  <pic:nvPicPr>
                    <pic:cNvPr id="0" name="19_likert_diverging_q11_q13.png"/>
                    <pic:cNvPicPr/>
                  </pic:nvPicPr>
                  <pic:blipFill>
                    <a:blip r:embed="rId12"/>
                    <a:stretch>
                      <a:fillRect/>
                    </a:stretch>
                  </pic:blipFill>
                  <pic:spPr>
                    <a:xfrm>
                      <a:off x="0" y="0"/>
                      <a:ext cx="5760720" cy="3433156"/>
                    </a:xfrm>
                    <a:prstGeom prst="rect"/>
                  </pic:spPr>
                </pic:pic>
              </a:graphicData>
            </a:graphic>
          </wp:inline>
        </w:drawing>
      </w:r>
    </w:p>
    <w:p>
      <w:pPr>
        <w:spacing w:line="360" w:lineRule="auto"/>
        <w:ind w:firstLine="720"/>
      </w:pPr>
      <w:r>
        <w:t>**Caption:** Disagree/Neutral/Agree percentages for Q11, Q12, and Q13.</w:t>
      </w:r>
    </w:p>
    <w:p>
      <w:pPr>
        <w:spacing w:line="360" w:lineRule="auto"/>
        <w:ind w:firstLine="720"/>
      </w:pPr>
      <w:r>
        <w:t>**Quick analysis:** Q11 and Q12 lean toward agreement with concern-focused statements, while Q13 shows stronger positive confidence in newer medications.</w:t>
      </w:r>
    </w:p>
    <w:p>
      <w:pPr>
        <w:pStyle w:val="Heading1"/>
        <w:ind w:firstLine="0"/>
      </w:pPr>
      <w:r>
        <w:t>Donut charts for main questions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78724"/>
            <wp:docPr id="5" name="Picture 5"/>
            <wp:cNvGraphicFramePr>
              <a:graphicFrameLocks noChangeAspect="1"/>
            </wp:cNvGraphicFramePr>
            <a:graphic>
              <a:graphicData uri="http://schemas.openxmlformats.org/drawingml/2006/picture">
                <pic:pic>
                  <pic:nvPicPr>
                    <pic:cNvPr id="0" name="27_donut_main_questions.png"/>
                    <pic:cNvPicPr/>
                  </pic:nvPicPr>
                  <pic:blipFill>
                    <a:blip r:embed="rId13"/>
                    <a:stretch>
                      <a:fillRect/>
                    </a:stretch>
                  </pic:blipFill>
                  <pic:spPr>
                    <a:xfrm>
                      <a:off x="0" y="0"/>
                      <a:ext cx="5760720" cy="3478724"/>
                    </a:xfrm>
                    <a:prstGeom prst="rect"/>
                  </pic:spPr>
                </pic:pic>
              </a:graphicData>
            </a:graphic>
          </wp:inline>
        </w:drawing>
      </w:r>
    </w:p>
    <w:p>
      <w:pPr>
        <w:spacing w:line="360" w:lineRule="auto"/>
        <w:ind w:firstLine="720"/>
      </w:pPr>
      <w:r>
        <w:t>**Caption:** Donut infographic view for safety, acceptability, and recommendation responses.</w:t>
      </w:r>
    </w:p>
    <w:p>
      <w:pPr>
        <w:spacing w:line="360" w:lineRule="auto"/>
        <w:ind w:firstLine="720"/>
      </w:pPr>
      <w:r>
        <w:t>**Quick analysis:** This compact format gives a quick social-media-style snapshot of the three core public opinion outcomes.</w:t>
      </w:r>
    </w:p>
    <w:p>
      <w:pPr>
        <w:pStyle w:val="Heading1"/>
        <w:ind w:firstLine="0"/>
      </w:pPr>
      <w:r>
        <w:t>Gender breakdown of recommendation opinions</w:t>
      </w:r>
    </w:p>
    <w:p>
      <w:pPr>
        <w:spacing w:line="360" w:lineRule="auto"/>
        <w:ind w:firstLine="720"/>
      </w:pPr>
      <w:r>
        <w:t>This chart is part of the survey analysis for *Psychiatric Medication Use and Public Acceptance in Iraq*.</w:t>
      </w:r>
    </w:p>
    <w:p>
      <w:pPr>
        <w:jc w:val="center"/>
      </w:pPr>
      <w:r>
        <w:drawing>
          <wp:inline xmlns:a="http://schemas.openxmlformats.org/drawingml/2006/main" xmlns:pic="http://schemas.openxmlformats.org/drawingml/2006/picture">
            <wp:extent cx="5760720" cy="3431217"/>
            <wp:docPr id="6" name="Picture 6"/>
            <wp:cNvGraphicFramePr>
              <a:graphicFrameLocks noChangeAspect="1"/>
            </wp:cNvGraphicFramePr>
            <a:graphic>
              <a:graphicData uri="http://schemas.openxmlformats.org/drawingml/2006/picture">
                <pic:pic>
                  <pic:nvPicPr>
                    <pic:cNvPr id="0" name="31_gender_recommendation_breakdown.png"/>
                    <pic:cNvPicPr/>
                  </pic:nvPicPr>
                  <pic:blipFill>
                    <a:blip r:embed="rId14"/>
                    <a:stretch>
                      <a:fillRect/>
                    </a:stretch>
                  </pic:blipFill>
                  <pic:spPr>
                    <a:xfrm>
                      <a:off x="0" y="0"/>
                      <a:ext cx="5760720" cy="3431217"/>
                    </a:xfrm>
                    <a:prstGeom prst="rect"/>
                  </pic:spPr>
                </pic:pic>
              </a:graphicData>
            </a:graphic>
          </wp:inline>
        </w:drawing>
      </w:r>
    </w:p>
    <w:p>
      <w:pPr>
        <w:spacing w:line="360" w:lineRule="auto"/>
        <w:ind w:firstLine="720"/>
      </w:pPr>
      <w:r>
        <w:t>**Caption:** Within-gender distribution of Yes/Not sure/No responses for recommendation.</w:t>
      </w:r>
    </w:p>
    <w:p>
      <w:pPr>
        <w:spacing w:line="360" w:lineRule="auto"/>
        <w:ind w:firstLine="720"/>
      </w:pPr>
      <w:r>
        <w:t>**Quick analysis:** The side-by-side format highlights how recommendation sentiment differs between women and men.</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2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