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
    <w:p>
      <w:pPr>
        <w:pStyle w:val="Heading1"/>
      </w:pPr>
      <w:r>
        <w:t xml:space="preserve">COVER</w:t>
      </w:r>
    </w:p>
    <w:bookmarkStart w:id="20" w:name="cover-page"/>
    <w:p>
      <w:pPr>
        <w:pStyle w:val="Heading2"/>
      </w:pPr>
      <w:r>
        <w:t xml:space="preserve">Cover Page</w:t>
      </w:r>
    </w:p>
    <w:p>
      <w:pPr>
        <w:pStyle w:val="FirstParagraph"/>
      </w:pPr>
      <w:r>
        <w:t xml:space="preserve">Psychiatric Medication Use and Public Acceptance in Iraq</w:t>
      </w:r>
    </w:p>
    <w:bookmarkEnd w:id="20"/>
    <w:bookmarkStart w:id="21" w:name="certification-of-the-supervisor"/>
    <w:p>
      <w:pPr>
        <w:pStyle w:val="Heading2"/>
      </w:pPr>
      <w:r>
        <w:t xml:space="preserve">Certification of the Supervisor</w:t>
      </w:r>
    </w:p>
    <w:p>
      <w:pPr>
        <w:pStyle w:val="FirstParagraph"/>
      </w:pPr>
      <w:r>
        <w:t xml:space="preserve">(Prepared for formal supervisor certification during final submission formatting.)</w:t>
      </w:r>
    </w:p>
    <w:bookmarkEnd w:id="21"/>
    <w:bookmarkStart w:id="22" w:name="dedication"/>
    <w:p>
      <w:pPr>
        <w:pStyle w:val="Heading2"/>
      </w:pPr>
      <w:r>
        <w:t xml:space="preserve">Dedication</w:t>
      </w:r>
    </w:p>
    <w:p>
      <w:pPr>
        <w:pStyle w:val="FirstParagraph"/>
      </w:pPr>
      <w:r>
        <w:t xml:space="preserve">(Prepared for final submission formatting.)</w:t>
      </w:r>
    </w:p>
    <w:bookmarkEnd w:id="22"/>
    <w:bookmarkStart w:id="23" w:name="acknowledgment"/>
    <w:p>
      <w:pPr>
        <w:pStyle w:val="Heading2"/>
      </w:pPr>
      <w:r>
        <w:t xml:space="preserve">Acknowledgment</w:t>
      </w:r>
    </w:p>
    <w:p>
      <w:pPr>
        <w:pStyle w:val="FirstParagraph"/>
      </w:pPr>
      <w:r>
        <w:t xml:space="preserve">(Prepared for final submission formatting.)</w:t>
      </w:r>
    </w:p>
    <w:bookmarkEnd w:id="23"/>
    <w:bookmarkStart w:id="24" w:name="table-of-contents"/>
    <w:p>
      <w:pPr>
        <w:pStyle w:val="Heading2"/>
      </w:pPr>
      <w:r>
        <w:t xml:space="preserve">Table of Contents</w:t>
      </w:r>
    </w:p>
    <w:p>
      <w:pPr>
        <w:pStyle w:val="FirstParagraph"/>
      </w:pPr>
      <w:r>
        <w:t xml:space="preserve">(Automatically generated and refreshed in DOCX export.)</w:t>
      </w:r>
    </w:p>
    <w:bookmarkEnd w:id="24"/>
    <w:bookmarkStart w:id="25" w:name="list-of-figures"/>
    <w:p>
      <w:pPr>
        <w:pStyle w:val="Heading2"/>
      </w:pPr>
      <w:r>
        <w:t xml:space="preserve">List of Figures</w:t>
      </w:r>
    </w:p>
    <w:p>
      <w:pPr>
        <w:pStyle w:val="FirstParagraph"/>
      </w:pPr>
      <w:r>
        <w:t xml:space="preserve">Figure 1. Adjusted odds ratios with 95% confidence intervals for Block 3 predictors.</w:t>
      </w:r>
    </w:p>
    <w:p>
      <w:pPr>
        <w:pStyle w:val="BodyText"/>
      </w:pPr>
      <w:r>
        <w:t xml:space="preserve">Figure 2. Side-by-side RRR values for key predictors across Yes and Not sure outcomes.</w:t>
      </w:r>
    </w:p>
    <w:p>
      <w:pPr>
        <w:pStyle w:val="BodyText"/>
      </w:pPr>
      <w:r>
        <w:t xml:space="preserve">Figure 3. Heatmap of profile-level means across Q11, Q12, and Q13.</w:t>
      </w:r>
    </w:p>
    <w:p>
      <w:pPr>
        <w:pStyle w:val="BodyText"/>
      </w:pPr>
      <w:r>
        <w:t xml:space="preserve">Figure 4. Disagree/Neutral/Agree percentages for Q11, Q12, and Q13.</w:t>
      </w:r>
    </w:p>
    <w:p>
      <w:pPr>
        <w:pStyle w:val="BodyText"/>
      </w:pPr>
      <w:r>
        <w:t xml:space="preserve">Figure 5. Donut infographic view for safety, acceptability, and recommendation responses.</w:t>
      </w:r>
    </w:p>
    <w:p>
      <w:pPr>
        <w:pStyle w:val="BodyText"/>
      </w:pPr>
      <w:r>
        <w:t xml:space="preserve">Figure 6. Within-gender distribution of Yes/Not sure/No responses for recommendation.</w:t>
      </w:r>
    </w:p>
    <w:bookmarkEnd w:id="25"/>
    <w:bookmarkStart w:id="26" w:name="list-of-tables"/>
    <w:p>
      <w:pPr>
        <w:pStyle w:val="Heading2"/>
      </w:pPr>
      <w:r>
        <w:t xml:space="preserve">List of Tables</w:t>
      </w:r>
    </w:p>
    <w:p>
      <w:pPr>
        <w:pStyle w:val="FirstParagraph"/>
      </w:pPr>
      <w:r>
        <w:t xml:space="preserve">No manuscript tables are currently embedded as markdown tables in the production source files.</w:t>
      </w:r>
    </w:p>
    <w:bookmarkEnd w:id="26"/>
    <w:bookmarkStart w:id="27" w:name="list-of-abbreviations"/>
    <w:p>
      <w:pPr>
        <w:pStyle w:val="Heading2"/>
      </w:pPr>
      <w:r>
        <w:t xml:space="preserve">List of Abbreviations</w:t>
      </w:r>
    </w:p>
    <w:p>
      <w:pPr>
        <w:pStyle w:val="FirstParagraph"/>
      </w:pPr>
      <w:r>
        <w:t xml:space="preserve">AOR: Adjusted Odds Ratio</w:t>
      </w:r>
    </w:p>
    <w:p>
      <w:pPr>
        <w:pStyle w:val="BodyText"/>
      </w:pPr>
      <w:r>
        <w:t xml:space="preserve">CI: Confidence Interval</w:t>
      </w:r>
    </w:p>
    <w:p>
      <w:pPr>
        <w:pStyle w:val="BodyText"/>
      </w:pPr>
      <w:r>
        <w:t xml:space="preserve">LLR: Likelihood Ratio Test</w:t>
      </w:r>
    </w:p>
    <w:p>
      <w:pPr>
        <w:pStyle w:val="BodyText"/>
      </w:pPr>
      <w:r>
        <w:t xml:space="preserve">MLE: Maximum Likelihood Estimation</w:t>
      </w:r>
    </w:p>
    <w:p>
      <w:pPr>
        <w:pStyle w:val="BodyText"/>
      </w:pPr>
      <w:r>
        <w:t xml:space="preserve">OR: Odds Ratio</w:t>
      </w:r>
    </w:p>
    <w:p>
      <w:pPr>
        <w:pStyle w:val="BodyText"/>
      </w:pPr>
      <w:r>
        <w:t xml:space="preserve">PTSD: Post-Traumatic Stress Disorder</w:t>
      </w:r>
    </w:p>
    <w:p>
      <w:pPr>
        <w:pStyle w:val="BodyText"/>
      </w:pPr>
      <w:r>
        <w:t xml:space="preserve">RRR: Relative Risk Ratio</w:t>
      </w:r>
    </w:p>
    <w:p>
      <w:pPr>
        <w:pStyle w:val="BodyText"/>
      </w:pPr>
      <w:r>
        <w:t xml:space="preserve">Q6/Q7/Q8/Q9/Q11/Q12/Q13: Survey question item codes used in analysis and reporting</w:t>
      </w:r>
    </w:p>
    <w:p>
      <w:pPr>
        <w:pStyle w:val="BodyText"/>
      </w:pPr>
      <w:r>
        <w:t xml:space="preserve">R²: Coefficient of determination (reported as pseudo R² in logistic model fit summaries)</w:t>
      </w:r>
    </w:p>
    <w:bookmarkEnd w:id="27"/>
    <w:bookmarkEnd w:id="28"/>
    <w:bookmarkStart w:id="29" w:name="abstract"/>
    <w:p>
      <w:pPr>
        <w:pStyle w:val="Heading1"/>
      </w:pPr>
      <w:r>
        <w:t xml:space="preserve">ABSTRACT</w:t>
      </w:r>
    </w:p>
    <w:p>
      <w:pPr>
        <w:pStyle w:val="FirstParagraph"/>
      </w:pPr>
      <w:r>
        <w:t xml:space="preserve">Psychiatric medication acceptance in Iraq remains a public health challenge because mental health needs are high while treatment hesitation persists. This study examined psychiatric medication use and public acceptance in Iraq using an original cross-sectional survey with supportive literature context. We analyzed responses from 877 participants using descriptive statistics, hierarchical logistic regression, multinomial logistic regression, Users vs Non-Users comparisons, and exploratory stigma-phenotype analysis.</w:t>
      </w:r>
    </w:p>
    <w:p>
      <w:pPr>
        <w:pStyle w:val="BodyText"/>
      </w:pPr>
      <w:r>
        <w:t xml:space="preserve">The sample was mostly female, young, and university educated. Public attitudes were mixed: recommendation willingness was higher than perceived safety and acceptability, showing that many respondents were open to treatment in principle but still worried about medication risks. In adjusted models, recommendation was more likely among women and among respondents who trusted newer psychiatric medications, and less likely among those with stronger fear and overprescribing concerns. In the multinomial model, dependence concern reduced the likelihood of clear recommendation. Users also reported more favorable beliefs than non-users, especially for confidence in modern medications.</w:t>
      </w:r>
    </w:p>
    <w:p>
      <w:pPr>
        <w:pStyle w:val="BodyText"/>
      </w:pPr>
      <w:r>
        <w:t xml:space="preserve">These findings indicate ambivalent public attitudes rather than uniform rejection. The strongest barriers were fear, mistrust, and dependence concerns, more than most demographic factors.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BodyText"/>
      </w:pPr>
      <w:r>
        <w:t xml:space="preserve">[[CHAPTER_TITLE:Chapter One|||Introduction]]</w:t>
      </w:r>
    </w:p>
    <w:bookmarkEnd w:id="29"/>
    <w:bookmarkStart w:id="34" w:name="i.-introduction"/>
    <w:p>
      <w:pPr>
        <w:pStyle w:val="Heading1"/>
      </w:pPr>
      <w:r>
        <w:t xml:space="preserve">I. INTRODUCTION</w:t>
      </w:r>
    </w:p>
    <w:bookmarkStart w:id="30" w:name="a.-background-and-context"/>
    <w:p>
      <w:pPr>
        <w:pStyle w:val="Heading2"/>
      </w:pPr>
      <w:r>
        <w:t xml:space="preserve">A. Background and Context</w:t>
      </w:r>
    </w:p>
    <w:p>
      <w:pPr>
        <w:pStyle w:val="FirstParagraph"/>
      </w:pPr>
      <w:r>
        <w:t xml:space="preserve">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pStyle w:val="BodyText"/>
      </w:pPr>
      <w:r>
        <w:t xml:space="preserve">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pStyle w:val="BodyText"/>
      </w:pPr>
      <w:r>
        <w:t xml:space="preserve">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pStyle w:val="BodyText"/>
      </w:pPr>
      <w:r>
        <w:t xml:space="preserve">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bookmarkEnd w:id="30"/>
    <w:bookmarkStart w:id="31" w:name="b.-problem-statement"/>
    <w:p>
      <w:pPr>
        <w:pStyle w:val="Heading2"/>
      </w:pPr>
      <w:r>
        <w:t xml:space="preserve">B. Problem Statement</w:t>
      </w:r>
    </w:p>
    <w:p>
      <w:pPr>
        <w:pStyle w:val="FirstParagraph"/>
      </w:pPr>
      <w:r>
        <w:t xml:space="preserve">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pStyle w:val="BodyText"/>
      </w:pPr>
      <w:r>
        <w:t xml:space="preserve">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bookmarkEnd w:id="31"/>
    <w:bookmarkStart w:id="32" w:name="c.-study-aim-and-research-questions"/>
    <w:p>
      <w:pPr>
        <w:pStyle w:val="Heading2"/>
      </w:pPr>
      <w:r>
        <w:t xml:space="preserve">C. Study Aim and Research Questions</w:t>
      </w:r>
    </w:p>
    <w:p>
      <w:pPr>
        <w:pStyle w:val="FirstParagraph"/>
      </w:pPr>
      <w:r>
        <w:t xml:space="preserve">This study aims to measure psychiatric medication acceptance in Iraq and identify factors associated with willingness to recommend psychiatric medication when needed.</w:t>
      </w:r>
    </w:p>
    <w:p>
      <w:pPr>
        <w:pStyle w:val="BodyText"/>
      </w:pPr>
      <w:r>
        <w:t xml:space="preserve">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bookmarkEnd w:id="32"/>
    <w:bookmarkStart w:id="33" w:name="d.-study-significance"/>
    <w:p>
      <w:pPr>
        <w:pStyle w:val="Heading2"/>
      </w:pPr>
      <w:r>
        <w:t xml:space="preserve">D. Study Significance</w:t>
      </w:r>
    </w:p>
    <w:p>
      <w:pPr>
        <w:pStyle w:val="FirstParagraph"/>
      </w:pPr>
      <w:r>
        <w:t xml:space="preserve">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pStyle w:val="BodyText"/>
      </w:pPr>
      <w:r>
        <w:t xml:space="preserve">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bookmarkEnd w:id="33"/>
    <w:bookmarkEnd w:id="34"/>
    <w:bookmarkStart w:id="39" w:name="ii.-literature-review-supportive-context"/>
    <w:p>
      <w:pPr>
        <w:pStyle w:val="Heading1"/>
      </w:pPr>
      <w:r>
        <w:t xml:space="preserve">II. LITERATURE REVIEW (SUPPORTIVE CONTEXT)</w:t>
      </w:r>
    </w:p>
    <w:bookmarkStart w:id="35" w:name="a.-stigma-and-public-attitudes"/>
    <w:p>
      <w:pPr>
        <w:pStyle w:val="Heading2"/>
      </w:pPr>
      <w:r>
        <w:t xml:space="preserve">A. Stigma and Public Attitudes</w:t>
      </w:r>
    </w:p>
    <w:p>
      <w:pPr>
        <w:pStyle w:val="FirstParagraph"/>
      </w:pPr>
      <w:r>
        <w:t xml:space="preserve">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pStyle w:val="BodyText"/>
      </w:pPr>
      <w:r>
        <w:t xml:space="preserve">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pStyle w:val="BodyText"/>
      </w:pPr>
      <w:r>
        <w:t xml:space="preserve">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pStyle w:val="BodyText"/>
      </w:pPr>
      <w:r>
        <w:t xml:space="preserve">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bookmarkEnd w:id="35"/>
    <w:bookmarkStart w:id="36" w:name="b.-medication-beliefs-and-acceptance"/>
    <w:p>
      <w:pPr>
        <w:pStyle w:val="Heading2"/>
      </w:pPr>
      <w:r>
        <w:t xml:space="preserve">B. Medication Beliefs and Acceptance</w:t>
      </w:r>
    </w:p>
    <w:p>
      <w:pPr>
        <w:pStyle w:val="FirstParagraph"/>
      </w:pPr>
      <w:r>
        <w:t xml:space="preserve">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pStyle w:val="BodyText"/>
      </w:pPr>
      <w:r>
        <w:t xml:space="preserve">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pStyle w:val="BodyText"/>
      </w:pPr>
      <w:r>
        <w:t xml:space="preserve">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bookmarkEnd w:id="36"/>
    <w:bookmarkStart w:id="37" w:name="c.-adherence-and-determinants"/>
    <w:p>
      <w:pPr>
        <w:pStyle w:val="Heading2"/>
      </w:pPr>
      <w:r>
        <w:t xml:space="preserve">C. Adherence and Determinants</w:t>
      </w:r>
    </w:p>
    <w:p>
      <w:pPr>
        <w:pStyle w:val="FirstParagraph"/>
      </w:pPr>
      <w:r>
        <w:t xml:space="preserve">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pStyle w:val="BodyText"/>
      </w:pPr>
      <w:r>
        <w:t xml:space="preserve">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pStyle w:val="BodyText"/>
      </w:pPr>
      <w:r>
        <w:t xml:space="preserve">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bookmarkEnd w:id="37"/>
    <w:bookmarkStart w:id="38" w:name="d.-iraqi-and-regional-service-realities"/>
    <w:p>
      <w:pPr>
        <w:pStyle w:val="Heading2"/>
      </w:pPr>
      <w:r>
        <w:t xml:space="preserve">D. Iraqi and Regional Service Realities</w:t>
      </w:r>
    </w:p>
    <w:p>
      <w:pPr>
        <w:pStyle w:val="FirstParagraph"/>
      </w:pPr>
      <w:r>
        <w:t xml:space="preserve">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pStyle w:val="BodyText"/>
      </w:pPr>
      <w:r>
        <w:t xml:space="preserve">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pStyle w:val="BodyText"/>
      </w:pPr>
      <w:r>
        <w:t xml:space="preserve">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BodyText"/>
      </w:pPr>
      <w:r>
        <w:t xml:space="preserve">[[CHAPTER_TITLE:Chapter Two|||Materials and Methods]]</w:t>
      </w:r>
    </w:p>
    <w:bookmarkEnd w:id="38"/>
    <w:bookmarkEnd w:id="39"/>
    <w:bookmarkStart w:id="48" w:name="Xd28ad89e34427830144aa12b2723fcd7c60691b"/>
    <w:p>
      <w:pPr>
        <w:pStyle w:val="Heading1"/>
      </w:pPr>
      <w:r>
        <w:t xml:space="preserve">III. METHODOLOGY (ORIGINAL CROSS-SECTIONAL STUDY)</w:t>
      </w:r>
    </w:p>
    <w:bookmarkStart w:id="40" w:name="a.-study-design-and-setting"/>
    <w:p>
      <w:pPr>
        <w:pStyle w:val="Heading2"/>
      </w:pPr>
      <w:r>
        <w:t xml:space="preserve">A. Study Design and Setting</w:t>
      </w:r>
    </w:p>
    <w:p>
      <w:pPr>
        <w:pStyle w:val="FirstParagraph"/>
      </w:pPr>
      <w:r>
        <w:t xml:space="preserve">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pStyle w:val="BodyText"/>
      </w:pPr>
      <w:r>
        <w:t xml:space="preserve">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pStyle w:val="BodyText"/>
      </w:pPr>
      <w:r>
        <w:rPr>
          <w:bCs/>
          <w:b/>
        </w:rPr>
        <w:t xml:space="preserve">Reporting constraints:</w:t>
      </w:r>
      <w:r>
        <w:t xml:space="preserve"> </w:t>
      </w:r>
      <w:r>
        <w:t xml:space="preserve">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bookmarkEnd w:id="40"/>
    <w:bookmarkStart w:id="41" w:name="b.-participants-and-sampling"/>
    <w:p>
      <w:pPr>
        <w:pStyle w:val="Heading2"/>
      </w:pPr>
      <w:r>
        <w:t xml:space="preserve">B. Participants and Sampling</w:t>
      </w:r>
    </w:p>
    <w:p>
      <w:pPr>
        <w:pStyle w:val="FirstParagraph"/>
      </w:pPr>
      <w:r>
        <w:t xml:space="preserve">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pStyle w:val="BodyText"/>
      </w:pPr>
      <w:r>
        <w:t xml:space="preserve">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bookmarkEnd w:id="41"/>
    <w:bookmarkStart w:id="42" w:name="c.-survey-instrument"/>
    <w:p>
      <w:pPr>
        <w:pStyle w:val="Heading2"/>
      </w:pPr>
      <w:r>
        <w:t xml:space="preserve">C. Survey Instrument</w:t>
      </w:r>
    </w:p>
    <w:p>
      <w:pPr>
        <w:pStyle w:val="FirstParagraph"/>
      </w:pPr>
      <w:r>
        <w:t xml:space="preserve">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pStyle w:val="BodyText"/>
      </w:pPr>
      <w:r>
        <w:t xml:space="preserve">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BodyText"/>
      </w:pPr>
      <w:r>
        <w:t xml:space="preserve">To make code references explicit for readers, the study used a fixed question-code map in all chapters. Q6 referred to perceived safety of psychiatric medication, Q7 referred to acceptability of psychiatric medication relative to treatment for chronic medical illness, Q8 referred to willingness to recommend psychiatric medication, and Q9 referred to social concern about interacting with a person using psychiatric medication. Q11 referred to the statement that doctors prescribe psychiatric medications more than necessary, Q12 referred to the statement that most psychiatric medications cause psychological or physical dependence, Q13 referred to the statement that modern psychiatric medications are safer than older ones, and Q31 identified prior psychiatric medication use status.</w:t>
      </w:r>
    </w:p>
    <w:bookmarkEnd w:id="42"/>
    <w:bookmarkStart w:id="43" w:name="d.-variables-and-operational-definitions"/>
    <w:p>
      <w:pPr>
        <w:pStyle w:val="Heading2"/>
      </w:pPr>
      <w:r>
        <w:t xml:space="preserve">D. Variables and Operational Definitions</w:t>
      </w:r>
    </w:p>
    <w:p>
      <w:pPr>
        <w:pStyle w:val="FirstParagraph"/>
      </w:pPr>
      <w:r>
        <w:t xml:space="preserve">The primary outcome for the main binary logistic models was recommendation willingness, coded from the recommendation item as yes versus no. In the multinomial model, the same outcome preserved three response categories: no, yes, and not sure.</w:t>
      </w:r>
    </w:p>
    <w:p>
      <w:pPr>
        <w:pStyle w:val="BodyText"/>
      </w:pPr>
      <w:r>
        <w:t xml:space="preserve">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pStyle w:val="BodyText"/>
      </w:pPr>
      <w:r>
        <w:t xml:space="preserve">To avoid conceptual overlap with the recommendation outcome, two proximal items, perceived safety and disease-model acceptability, were excluded from the primary hierarchical model and tested separately in a sensitivity model.</w:t>
      </w:r>
    </w:p>
    <w:bookmarkEnd w:id="43"/>
    <w:bookmarkStart w:id="44" w:name="X93eb93fb3653ef74a727b8867b4fe2c9e5b3029"/>
    <w:p>
      <w:pPr>
        <w:pStyle w:val="Heading2"/>
      </w:pPr>
      <w:r>
        <w:t xml:space="preserve">E. Data Management and Statistical Analysis</w:t>
      </w:r>
    </w:p>
    <w:p>
      <w:pPr>
        <w:pStyle w:val="FirstParagraph"/>
      </w:pPr>
      <w:r>
        <w:t xml:space="preserve">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pStyle w:val="BodyText"/>
      </w:pPr>
      <w:r>
        <w:t xml:space="preserve">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 This model-specific complete-case strategy preserved the largest feasible denominator for each analysis, but it also means each model reflects only respondents with fully observed values for that model’s required fields.</w:t>
      </w:r>
    </w:p>
    <w:bookmarkEnd w:id="44"/>
    <w:bookmarkStart w:id="45" w:name="denominator-policy-for-reporting"/>
    <w:p>
      <w:pPr>
        <w:pStyle w:val="Heading2"/>
      </w:pPr>
      <w:r>
        <w:t xml:space="preserve">Denominator Policy for Reporting</w:t>
      </w:r>
    </w:p>
    <w:p>
      <w:pPr>
        <w:pStyle w:val="FirstParagraph"/>
      </w:pPr>
      <w:r>
        <w:t xml:space="preserve">The study denominator policy was defined before chapter-level reporting to keep descriptive and model-based estimates transparent and consistent. The total survey sample was N=877 respondents after preprocessing and cleaning. For descriptive statistics, each percentage used the variable-level valid-response denominator for that specific item, which means percentages were calculated as a share of valid responses for that item rather than the full N when item missingness was present. For inferential analyses, each model used complete-case denominators based on all required variables in that model: n=647 for the primary hierarchical logistic regression, n=406 for the sensitivity logistic model that added Q6 and Q7, and n=837 for the multinomial logistic regression. Contact-hypothesis analyses also used item-level complete denominators that varied by tested item (Q11 N=843, Q12 N=840, Q13 N=842), with group counts reported as Users n=127 and Non-Users n=716 under Q31 coding.</w:t>
      </w:r>
    </w:p>
    <w:p>
      <w:pPr>
        <w:pStyle w:val="BodyText"/>
      </w:pPr>
      <w:r>
        <w:t xml:space="preserve">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pStyle w:val="BodyText"/>
      </w:pPr>
      <w:r>
        <w:t xml:space="preserve">Second, we estimated a sensitivity logistic model that added perceived safety and acceptability items to test robustness while acknowledging their conceptual proximity to the recommendation outcome. The sensitivity complete-case sample was 406 respondents, mainly because adding these proximal items introduced additional missingness filters.</w:t>
      </w:r>
    </w:p>
    <w:p>
      <w:pPr>
        <w:pStyle w:val="BodyText"/>
      </w:pPr>
      <w:r>
        <w:t xml:space="preserve">Third, we estimated multinomial logistic regression to preserve the no, yes, and not sure structure of recommendation responses and reported relative risk ratios with 95% confidence intervals. The multinomial complete-case sample was 837 respondents, reflecting broader data availability for that reduced covariate set.</w:t>
      </w:r>
    </w:p>
    <w:p>
      <w:pPr>
        <w:pStyle w:val="BodyText"/>
      </w:pPr>
      <w:r>
        <w:t xml:space="preserve">Fourth, we tested the contact hypothesis as Users vs Non-Users by comparing core belief items with Mann-Whitney U tests and Cliff’s delta effect sizes, with supplementary chi-square and Cramer’s V statistics for association structure.</w:t>
      </w:r>
    </w:p>
    <w:p>
      <w:pPr>
        <w:pStyle w:val="BodyText"/>
      </w:pPr>
      <w:r>
        <w:t xml:space="preserve">Fifth, we conducted exploratory stigma-phenotype profiling using k-means clustering on standardized core belief items, selected cluster number by silhouette score, and reported cluster means and sizes as exploratory findings.</w:t>
      </w:r>
    </w:p>
    <w:bookmarkEnd w:id="45"/>
    <w:bookmarkStart w:id="46" w:name="f.-ethical-considerations"/>
    <w:p>
      <w:pPr>
        <w:pStyle w:val="Heading2"/>
      </w:pPr>
      <w:r>
        <w:t xml:space="preserve">F. Ethical Considerations</w:t>
      </w:r>
    </w:p>
    <w:p>
      <w:pPr>
        <w:pStyle w:val="FirstParagraph"/>
      </w:pPr>
      <w:r>
        <w:t xml:space="preserve">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bookmarkEnd w:id="46"/>
    <w:bookmarkStart w:id="47" w:name="g.-methodological-limitations"/>
    <w:p>
      <w:pPr>
        <w:pStyle w:val="Heading2"/>
      </w:pPr>
      <w:r>
        <w:t xml:space="preserve">G. Methodological Limitations</w:t>
      </w:r>
    </w:p>
    <w:p>
      <w:pPr>
        <w:pStyle w:val="FirstParagraph"/>
      </w:pPr>
      <w:r>
        <w:t xml:space="preserve">Because the design is cross-sectional, associations should not be interpreted as causal effects. Complete-case modeling produced model-specific analytic samples (n=647 in the primary hierarchical model, n=406 in the sensitivity model, and n=837 in the multinomial model)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BodyText"/>
      </w:pPr>
      <w:r>
        <w:t xml:space="preserve">[[CHAPTER_TITLE:Chapter Three|||Results]]</w:t>
      </w:r>
    </w:p>
    <w:bookmarkEnd w:id="47"/>
    <w:bookmarkEnd w:id="48"/>
    <w:bookmarkStart w:id="56" w:name="iv.-results"/>
    <w:p>
      <w:pPr>
        <w:pStyle w:val="Heading1"/>
      </w:pPr>
      <w:r>
        <w:t xml:space="preserve">IV. RESULTS</w:t>
      </w:r>
    </w:p>
    <w:bookmarkStart w:id="49" w:name="X416e39b868e16d64170eca7b1a74bec18d8d376"/>
    <w:p>
      <w:pPr>
        <w:pStyle w:val="Heading2"/>
      </w:pPr>
      <w:r>
        <w:t xml:space="preserve">IV.A Sample Profile and Descriptive Statistics</w:t>
      </w:r>
    </w:p>
    <w:p>
      <w:pPr>
        <w:pStyle w:val="FirstParagraph"/>
      </w:pPr>
      <w:r>
        <w:t xml:space="preserve">The final survey dataset included 877 respondents, and all percentages in this chapter follow the denominator policy defined in Methodology: percentages are reported as the percentage of valid responses for that item for descriptives, while model findings use model-specific complete-case denominators. Demographic distributions were therefore calculated as percentage of valid responses for that item (gender n=870, age n=873, educational level n=873, marital status n=872). Gender distribution was 71.95% female (n=626) and 28.05% male (n=244), as percentage of valid responses for that item. Age distribution was concentrated in younger participants, with 74.57% aged 18–25 years (n=651), 17.53% aged 26–35 years (n=153), 5.04% aged 36–45 years (n=44), 2.75% aged 46–60 years (n=24), and 0.11% older than 60 years (n=1), as percentage of valid responses for that item. Educational level was primarily university or postgraduate, with 78.92% university (n=689) and 13.52% postgraduate (n=118), while high school represented 6.99% (n=61) and primary represented 0.57% (n=5), as percentage of valid responses for that item. Marital status was 78.44% single (n=684), 20.99% married (n=183), 0.34% divorced (n=3), and 0.23% widowed (n=2), as percentage of valid responses for that item.</w:t>
      </w:r>
    </w:p>
    <w:p>
      <w:pPr>
        <w:pStyle w:val="BodyText"/>
      </w:pPr>
      <w:r>
        <w:t xml:space="preserve">To keep model reporting readable, this chapter repeats each questionnaire code with a brief definition when it appears. Q6 refers to safety perception of psychiatric medication, Q7 refers to acceptability of psychiatric medication, Q8 refers to willingness to recommend psychiatric medication, and Q9 refers to social concern about interacting with a person who uses psychiatric medication. Q11 refers to the belief that doctors prescribe psychiatric medications more than necessary, Q12 refers to the belief that most psychiatric medications cause psychological or physical dependence, Q13 refers to the belief that modern psychiatric medications are safer than older ones, and Q31 refers to prior psychiatric medication use status.</w:t>
      </w:r>
    </w:p>
    <w:p>
      <w:pPr>
        <w:pStyle w:val="BodyText"/>
      </w:pPr>
      <w:r>
        <w:t xml:space="preserve">Across core belief items, agreement levels were high for two statements and moderate for one statement. For Q11 (doctors prescribe psychiatric medications more than necessary), 51.55% agreed, 34.67% were neutral, and 13.78% disagreed. For Q12 (most psychiatric medications cause psychological or physical dependence), 67.40% agreed, 27.65% were neutral, and 4.95% disagreed. For Q13 (modern psychiatric medications are safer than older ones),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pStyle w:val="BodyText"/>
      </w:pPr>
      <w:r>
        <w:t xml:space="preserve">Figure 1. 27 donut main questions</w:t>
      </w:r>
      <w:r>
        <w:t xml:space="preserve"> </w:t>
      </w:r>
      <w:r>
        <w:t xml:space="preserve">Figure 2. 31 gender recommendation breakdown</w:t>
      </w:r>
      <w:r>
        <w:t xml:space="preserve"> </w:t>
      </w:r>
      <w:r>
        <w:t xml:space="preserve">Figure 3. 19 likert diverging q11 q13</w:t>
      </w:r>
    </w:p>
    <w:bookmarkEnd w:id="49"/>
    <w:bookmarkStart w:id="50" w:name="iv.b-main-outcome-distributions"/>
    <w:p>
      <w:pPr>
        <w:pStyle w:val="Heading2"/>
      </w:pPr>
      <w:r>
        <w:t xml:space="preserve">IV.B Main Outcome Distributions</w:t>
      </w:r>
    </w:p>
    <w:p>
      <w:pPr>
        <w:pStyle w:val="FirstParagraph"/>
      </w:pPr>
      <w:r>
        <w:t xml:space="preserve">The primary attitude outcomes showed mixed acceptance patterns. For Q6 (safety perception), 23.65% answered yes, 31.23% answered not sure, and 45.12% answered no. For Q7 (acceptability), 30.80% answered yes, 17.70% answered not sure, and 51.49% answered no. For Q8 (recommendation willingness), 57.65% answered yes, 11.62% answered not sure, and 30.72% answered no. For Q9 (social concern), 37.77% answered yes, 13.09% answered not sure, and 49.14% answered no.</w:t>
      </w:r>
    </w:p>
    <w:p>
      <w:pPr>
        <w:pStyle w:val="BodyText"/>
      </w:pPr>
      <w:r>
        <w:t xml:space="preserve">Bivariate correlations among core variables were as follows: Q11 (belief that doctors prescribe psychiatric medications more than necessary) with Q12 (belief that most psychiatric medications cause psychological or physical dependence), r=0.269; Q13 (belief that modern psychiatric medications are safer than older ones) with Q11, r=-0.066; Q13 with Q12, r=-0.038; recommendation willingness (Q8) with Q11, r=-0.086; recommendation willingness (Q8) with Q12, r=-0.087; recommendation willingness (Q8) with Q13, r=0.077; acceptability (Q7) with recommendation willingness (Q8), r=0.232; and social concern (Q9) with recommendation willingness (Q8), r=-0.042.</w:t>
      </w:r>
    </w:p>
    <w:bookmarkEnd w:id="50"/>
    <w:bookmarkStart w:id="51" w:name="X6e408d527130f5a455025e8757611d49118b7b5"/>
    <w:p>
      <w:pPr>
        <w:pStyle w:val="Heading2"/>
      </w:pPr>
      <w:r>
        <w:t xml:space="preserve">IV.C Hierarchical Logistic Regression (Primary Model)</w:t>
      </w:r>
    </w:p>
    <w:p>
      <w:pPr>
        <w:pStyle w:val="FirstParagraph"/>
      </w:pPr>
      <w:r>
        <w:t xml:space="preserve">The primary hierarchical logistic regression used a binary recommendation outcome (Q8, willingness to recommend psychiatric medication,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pStyle w:val="BodyText"/>
      </w:pPr>
      <w:r>
        <w:t xml:space="preserve">In the final primary block, the largest directional effect was fear, which was associated with substantially lower recommendation odds (adjusted OR 0.504, 95% CI 0.358 to 0.711, p&lt;0.0001). Q13 (belief that modern psychiatric medications are safer than older ones) showed a moderate positive effect size, with higher confidence in newer medications associated with higher recommendation odds (adjusted OR 1.507, 95% CI 1.248 to 1.820, p&lt;0.0001). Gender showed a smaller-to-moderate positive shift (adjusted OR 1.516, 95% CI 1.043 to 2.205, p=0.0294), while Q11 (belief that doctors prescribe psychiatric medications more than necessary) showed a small inverse effect (adjusted OR 0.830, 95% CI 0.696 to 0.991, p=0.0396). Age, educational level, marital status, prior use (Q31), and Q12 (belief that most psychiatric medications cause psychological or physical dependence) were not statistically significant in this final block. The adjusted effect profile is visualized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4. 03 primary adjusted or forest</w:t>
            </w:r>
          </w:p>
        </w:tc>
      </w:tr>
    </w:tbl>
    <w:p>
      <w:pPr>
        <w:pStyle w:val="ImageCaption"/>
      </w:pPr>
      <w:r>
        <w:t xml:space="preserve">Figure 4. 03 primary adjusted or forest</w:t>
      </w:r>
    </w:p>
    <w:p>
      <w:pPr>
        <w:pStyle w:val="BodyText"/>
      </w:pPr>
      <w:r>
        <w:t xml:space="preserve">A separate sensitivity model that added Q6 (safety perception) and Q7 (acceptability) used complete-case n=406 and produced McFadden pseudo R² of 0.2440 (fit type: mle). This model was reported as a sensitivity analysis because Q6 and Q7 are proximal to the recommendation outcome.</w:t>
      </w:r>
    </w:p>
    <w:bookmarkEnd w:id="51"/>
    <w:bookmarkStart w:id="52" w:name="X4491963fd722197f4c1c0d8bc5477e919a7b134"/>
    <w:p>
      <w:pPr>
        <w:pStyle w:val="Heading2"/>
      </w:pPr>
      <w:r>
        <w:t xml:space="preserve">IV.D Multinomial Logistic Regression (No/Yes/Not Sure Structure)</w:t>
      </w:r>
    </w:p>
    <w:p>
      <w:pPr>
        <w:pStyle w:val="FirstParagraph"/>
      </w:pPr>
      <w:r>
        <w:t xml:space="preserve">Multinomial logistic regression preserved the three-category recommendation structure with complete-case n=837 and model log-likelihood -748.910 (fit type: mle). The outcome categories were coded as No (reference), Yes, and Not sure, corresponding to Q8=0, Q8=1, and Q8=2.</w:t>
      </w:r>
    </w:p>
    <w:p>
      <w:pPr>
        <w:pStyle w:val="BodyText"/>
      </w:pPr>
      <w:r>
        <w:t xml:space="preserve">For the first non-reference equation (Q8=1 Yes vs reference No, where Q8 is willingness to recommend psychiatric medication), Q13 (belief that modern psychiatric medications are safer than older ones) showed the strongest positive practical shift (RRR 1.585, 95% CI 1.328 to 1.892, p&lt;0.0001), with gender showing a moderate positive shift (RRR 1.558, 95% CI 1.097 to 2.214, p=0.0133). Q12 (belief that most psychiatric medications cause psychological or physical dependence) showed a small-to-moderate inverse shift (RRR 0.794, 95% CI 0.651 to 0.970, p=0.0239). Other predictors in this equation were not statistically significant.</w:t>
      </w:r>
    </w:p>
    <w:p>
      <w:pPr>
        <w:pStyle w:val="BodyText"/>
      </w:pPr>
      <w:r>
        <w:t xml:space="preserve">For the second non-reference equation (Q8=2 Not sure vs reference No, where Q8 is willingness to recommend psychiatric medication), gender showed the largest shift in the multinomial model (RRR 2.171, 95% CI 1.211 to 3.894, p=0.0093), indicating a stronger practical effect than in the Yes-vs-No equation, while age, education, marital status, prior use (Q31, prior psychiatric medication use), Q11 (belief that doctors prescribe psychiatric medications more than necessary), Q12 (belief that most psychiatric medications cause psychological or physical dependence), and Q13 (belief that modern psychiatric medications are safer than older ones) were not statistically significant. The comparative predictor pattern is displayed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5. 08 multinomial key predictor comparison</w:t>
            </w:r>
          </w:p>
        </w:tc>
      </w:tr>
    </w:tbl>
    <w:p>
      <w:pPr>
        <w:pStyle w:val="ImageCaption"/>
      </w:pPr>
      <w:r>
        <w:t xml:space="preserve">Figure 5. 08 multinomial key predictor comparison</w:t>
      </w:r>
    </w:p>
    <w:bookmarkEnd w:id="52"/>
    <w:bookmarkStart w:id="53" w:name="Xa33d2d7b28493584ef077df6dc80135ef899667"/>
    <w:p>
      <w:pPr>
        <w:pStyle w:val="Heading2"/>
      </w:pPr>
      <w:r>
        <w:t xml:space="preserve">IV.E The Contact Hypothesis (Users vs Non-Users)</w:t>
      </w:r>
    </w:p>
    <w:p>
      <w:pPr>
        <w:pStyle w:val="FirstParagraph"/>
      </w:pPr>
      <w:r>
        <w:t xml:space="preserve">The contact analysis compared Users vs Non-Users using prior use status from Q31 (prior psychiatric medication use; Users n=127, Non-Users n=716). Mann-Whitney U tests were statistically significant for Q11 (belief that doctors prescribe psychiatric medications more than necessary), Q12 (belief that most psychiatric medications cause psychological or physical dependence), and Q13 (belief that modern psychiatric medications are safer than older ones), while chi-square tests were statistically significant for Q12 and Q13 but not for Q11.</w:t>
      </w:r>
    </w:p>
    <w:p>
      <w:pPr>
        <w:pStyle w:val="BodyText"/>
      </w:pPr>
      <w:r>
        <w:t xml:space="preserve">For Q11 (belief that doctors prescribe psychiatric medications more than necessary), the Users median was 3.00 and the Non-Users median was 4.00, with small inverse practical differences (Cliff’s delta -0.108; Cramer’s V=0.094), Mann-Whitney U p=0.0428, chi-square p=0.1170, and N=843. For Q12 (belief that most psychiatric medications cause psychological or physical dependence), both medians were 4.00, with small inverse practical differences (Cliff’s delta -0.112; Cramer’s V=0.108), Mann-Whitney U p=0.0317, chi-square p=0.0428, and N=840. For Q13 (belief that modern psychiatric medications are safer than older ones), the Users median was 4.00 and the Non-Users median was 3.00, with the largest contact effect in this section, approaching moderate by rank effect size (Cliff’s delta 0.198) and remaining small-to-moderate by nominal association (Cramer’s V=0.139), Mann-Whitney U p=0.0002, chi-square p=0.0027, and N=842.</w:t>
      </w:r>
    </w:p>
    <w:bookmarkEnd w:id="53"/>
    <w:bookmarkStart w:id="54" w:name="X6c0264ae08dab1112416cfd80067250261ac2ff"/>
    <w:p>
      <w:pPr>
        <w:pStyle w:val="Heading2"/>
      </w:pPr>
      <w:r>
        <w:t xml:space="preserve">IV.F Exploratory Stigma Phenotypes (Clearly Labeled)</w:t>
      </w:r>
    </w:p>
    <w:p>
      <w:pPr>
        <w:pStyle w:val="FirstParagraph"/>
      </w:pPr>
      <w:r>
        <w:t xml:space="preserve">Exploratory k-means clustering on standardized Q11–Q13 (Q11: belief that doctors prescribe psychiatric medications more than necessary; Q12: belief that most psychiatric medications cause psychological or physical dependence; Q13: belief that modern psychiatric medications are safer than older ones) evaluated k=2, k=3, and k=4. Silhouette scores were 0.274 for k=2, 0.272 for k=3, and 0.303 for k=4, so k=4 was selected by maximum silhouette criterion. These k-means profiles are data-driven exploratory groupings, not confirmed latent classes. The silhouette values indicate relative fit among the tested k values in this dataset, and they do not establish a definitive underlying class structure.</w:t>
      </w:r>
    </w:p>
    <w:p>
      <w:pPr>
        <w:pStyle w:val="BodyText"/>
      </w:pPr>
      <w:r>
        <w:t xml:space="preserve">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6. 14 profile means heatmap</w:t>
            </w:r>
          </w:p>
        </w:tc>
      </w:tr>
    </w:tbl>
    <w:p>
      <w:pPr>
        <w:pStyle w:val="ImageCaption"/>
      </w:pPr>
      <w:r>
        <w:t xml:space="preserve">Figure 6. 14 profile means heatmap</w:t>
      </w:r>
    </w:p>
    <w:bookmarkEnd w:id="54"/>
    <w:bookmarkStart w:id="55" w:name="iv.g-results-summary"/>
    <w:p>
      <w:pPr>
        <w:pStyle w:val="Heading2"/>
      </w:pPr>
      <w:r>
        <w:t xml:space="preserve">IV.G Results Summary</w:t>
      </w:r>
    </w:p>
    <w:p>
      <w:pPr>
        <w:pStyle w:val="FirstParagraph"/>
      </w:pPr>
      <w:r>
        <w:t xml:space="preserve">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pPr>
        <w:pStyle w:val="BodyText"/>
      </w:pPr>
      <w:r>
        <w:t xml:space="preserve">[[CHAPTER_TITLE:Chapter Four|||Discussion]]</w:t>
      </w:r>
    </w:p>
    <w:bookmarkEnd w:id="55"/>
    <w:bookmarkEnd w:id="56"/>
    <w:bookmarkStart w:id="62" w:name="v.-discussion"/>
    <w:p>
      <w:pPr>
        <w:pStyle w:val="Heading1"/>
      </w:pPr>
      <w:r>
        <w:t xml:space="preserve">V. DISCUSSION</w:t>
      </w:r>
    </w:p>
    <w:bookmarkStart w:id="57" w:name="a.-interpretation-of-primary-findings"/>
    <w:p>
      <w:pPr>
        <w:pStyle w:val="Heading2"/>
      </w:pPr>
      <w:r>
        <w:t xml:space="preserve">A. Interpretation of Primary Findings</w:t>
      </w:r>
    </w:p>
    <w:p>
      <w:pPr>
        <w:pStyle w:val="FirstParagraph"/>
      </w:pPr>
      <w:r>
        <w:t xml:space="preserve">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pStyle w:val="BodyText"/>
      </w:pPr>
      <w:r>
        <w:t xml:space="preserve">The primary regression results clarify which beliefs matter most in this ambivalence. In practical magnitude terms, fear was the strongest directional predictor and showed a substantial inverse association with recommendation (adjusted OR 0.504, p&lt;0.0001). Agreement with Q13, the belief that modern psychiatric medicines are safer than older ones, showed a moderate positive association (adjusted OR 1.507, p&lt;0.0001). Female gender showed a smaller-to-moderate positive shift (adjusted OR 1.516, p=0.0294), while stronger agreement with Q11, the belief that doctors prescribe psychiatric medications more than necessary, showed a small inverse shift (adjusted OR 0.830, p=0.0396). These findings show that recommendation behavior in Iraq is shaped more by trust and safety perception than by basic demographics.</w:t>
      </w:r>
    </w:p>
    <w:p>
      <w:pPr>
        <w:pStyle w:val="BodyText"/>
      </w:pPr>
      <w:r>
        <w:t xml:space="preserve">The multinomial model adds useful detail for hesitant respondents. For recommendation</w:t>
      </w:r>
      <w:r>
        <w:t xml:space="preserve"> </w:t>
      </w:r>
      <w:r>
        <w:t xml:space="preserve">“</w:t>
      </w:r>
      <w:r>
        <w:t xml:space="preserve">Yes</w:t>
      </w:r>
      <w:r>
        <w:t xml:space="preserve">”</w:t>
      </w:r>
      <w:r>
        <w:t xml:space="preserve"> </w:t>
      </w:r>
      <w:r>
        <w:t xml:space="preserve">vs</w:t>
      </w:r>
      <w:r>
        <w:t xml:space="preserve"> </w:t>
      </w:r>
      <w:r>
        <w:t xml:space="preserve">“</w:t>
      </w:r>
      <w:r>
        <w:t xml:space="preserve">No</w:t>
      </w:r>
      <w:r>
        <w:t xml:space="preserve">”</w:t>
      </w:r>
      <w:r>
        <w:t xml:space="preserve"> </w:t>
      </w:r>
      <w:r>
        <w:t xml:space="preserve">(reference category), Q13, the belief that modern psychiatric medicines are safer than older ones, showed the largest positive practical shift (RRR 1.585, p&lt;0.0001), gender showed a moderate positive shift (RRR 1.558, p=0.0133), and Q12, the belief that most psychiatric medications cause psychological or physical dependence, showed a small-to-moderate inverse shift (RRR 0.794, p=0.0239). For the</w:t>
      </w:r>
      <w:r>
        <w:t xml:space="preserve"> </w:t>
      </w:r>
      <w:r>
        <w:t xml:space="preserve">“</w:t>
      </w:r>
      <w:r>
        <w:t xml:space="preserve">Not sure</w:t>
      </w:r>
      <w:r>
        <w:t xml:space="preserve">”</w:t>
      </w:r>
      <w:r>
        <w:t xml:space="preserve"> </w:t>
      </w:r>
      <w:r>
        <w:t xml:space="preserve">category, gender had the strongest multinomial shift overall (RRR 2.171, p=0.0093), while most attitudinal predictors were weaker and not statistically significant. This indicates that uncertainty is not only a neutral midpoint; it reflects unresolved risk beliefs that require targeted communication.</w:t>
      </w:r>
    </w:p>
    <w:p>
      <w:pPr>
        <w:pStyle w:val="BodyText"/>
      </w:pPr>
      <w:r>
        <w:t xml:space="preserve">The Users vs Non-Users analysis supports a contact effect. Compared with non-users, users reported lower overprescribing concerns on Q11, the belief that doctors prescribe psychiatric medications more than necessary (median 3 vs 4, p=0.0428), and lower dependence concern intensity on Q12, the belief that most psychiatric medications cause psychological or physical dependence (p=0.0317), and they were more likely to agree with Q13, the belief that modern medications are safer than older ones (median 4 vs 3, p=0.0002). Practical differences were small for Q11 and Q12 by both rank and nominal metrics (Q11: Cliff’s delta -0.108, Cramer’s V=0.094; Q12: Cliff’s delta -0.112, Cramer’s V=0.108), while Q13 showed the strongest contact contrast, approaching moderate by Cliff’s delta (0.198) and small-to-moderate by Cramer’s V (0.139). In practical terms, direct or family-level exposure to psychiatric medication appears to improve trust, but it does not fully remove stigma.</w:t>
      </w:r>
    </w:p>
    <w:bookmarkEnd w:id="57"/>
    <w:bookmarkStart w:id="58" w:name="Xc7faf04ce0ea49b6d27645db816dd5463120bf5"/>
    <w:p>
      <w:pPr>
        <w:pStyle w:val="Heading2"/>
      </w:pPr>
      <w:r>
        <w:t xml:space="preserve">B. Comparison With Iraqi and Regional Literature</w:t>
      </w:r>
    </w:p>
    <w:p>
      <w:pPr>
        <w:pStyle w:val="FirstParagraph"/>
      </w:pPr>
      <w:r>
        <w:t xml:space="preserve">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pStyle w:val="BodyText"/>
      </w:pPr>
      <w:r>
        <w:t xml:space="preserve">Regional literature helps explain why concern about dependence and overprescribing remained strong in our models. Arab mental health literacy studies report persistent misconceptions about psychiatric disorders and treatment, including stigma-related beliefs and limited confidence in professional care in student and community groups (Elyamani et al., 2021). Our Q12 distribution, where 67.40% agreed with the statement that most psychiatric medications cause dependence, is consistent with that broader pattern. At the same time, the positive effect of Q13, confidence that modern psychiatric medications are safer than older ones, suggests that confidence in newer medications can partially offset this concern when communication is clear.</w:t>
      </w:r>
    </w:p>
    <w:p>
      <w:pPr>
        <w:pStyle w:val="BodyText"/>
      </w:pPr>
      <w:r>
        <w:t xml:space="preserve">The findings also fit Iraqi service-use realities. Iraqi clinicians have reported that many patients still visit faith healers before or alongside psychiatric care, with barriers linked to accessibility, cultural beliefs, and mistrust of formal services (Younis et al., 2020). This pathway helps interpret why recommendation willingness in our sample was higher than perceived safety and acceptability. People may approve treatment in principle but still delay formal care when risk perceptions and social narratives remain unresolved.</w:t>
      </w:r>
    </w:p>
    <w:p>
      <w:pPr>
        <w:pStyle w:val="BodyText"/>
      </w:pPr>
      <w:r>
        <w:t xml:space="preserve">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bookmarkEnd w:id="58"/>
    <w:bookmarkStart w:id="59" w:name="X708b807a52d51252131c23b60175ea12403fcd0"/>
    <w:p>
      <w:pPr>
        <w:pStyle w:val="Heading2"/>
      </w:pPr>
      <w:r>
        <w:t xml:space="preserve">C. Implications for Pharmacy Practice and Public Health</w:t>
      </w:r>
    </w:p>
    <w:p>
      <w:pPr>
        <w:pStyle w:val="FirstParagraph"/>
      </w:pPr>
      <w:r>
        <w:t xml:space="preserve">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pStyle w:val="BodyText"/>
      </w:pPr>
      <w:r>
        <w:t xml:space="preserve">The multinomial findings suggest a separate communication track for respondents who are uncertain rather than opposed. In practical counseling terms, the</w:t>
      </w:r>
      <w:r>
        <w:t xml:space="preserve"> </w:t>
      </w:r>
      <w:r>
        <w:t xml:space="preserve">“</w:t>
      </w:r>
      <w:r>
        <w:t xml:space="preserve">Not sure</w:t>
      </w:r>
      <w:r>
        <w:t xml:space="preserve">”</w:t>
      </w:r>
      <w:r>
        <w:t xml:space="preserve"> </w:t>
      </w:r>
      <w:r>
        <w:t xml:space="preserve">group should be approached as a confidence-building audience, because the model shows that common attitudinal predictors did not separate them from</w:t>
      </w:r>
      <w:r>
        <w:t xml:space="preserve"> </w:t>
      </w:r>
      <w:r>
        <w:t xml:space="preserve">“</w:t>
      </w:r>
      <w:r>
        <w:t xml:space="preserve">No</w:t>
      </w:r>
      <w:r>
        <w:t xml:space="preserve">”</w:t>
      </w:r>
      <w:r>
        <w:t xml:space="preserve"> </w:t>
      </w:r>
      <w:r>
        <w:t xml:space="preserve">as strongly as they did for</w:t>
      </w:r>
      <w:r>
        <w:t xml:space="preserve"> </w:t>
      </w:r>
      <w:r>
        <w:t xml:space="preserve">“</w:t>
      </w:r>
      <w:r>
        <w:t xml:space="preserve">Yes,</w:t>
      </w:r>
      <w:r>
        <w:t xml:space="preserve">”</w:t>
      </w:r>
      <w:r>
        <w:t xml:space="preserve"> </w:t>
      </w:r>
      <w:r>
        <w:t xml:space="preserve">while female gender remained associated with uncertainty. Pharmacists should therefore avoid treating uncertainty as hidden refusal and instead use short, structured conversations that verify what the person still does not understand about safety, expected benefit, and monitoring. By contrast, communication for respondents who say</w:t>
      </w:r>
      <w:r>
        <w:t xml:space="preserve"> </w:t>
      </w:r>
      <w:r>
        <w:t xml:space="preserve">“</w:t>
      </w:r>
      <w:r>
        <w:t xml:space="preserve">No</w:t>
      </w:r>
      <w:r>
        <w:t xml:space="preserve">”</w:t>
      </w:r>
      <w:r>
        <w:t xml:space="preserve"> </w:t>
      </w:r>
      <w:r>
        <w:t xml:space="preserve">should directly address the specific beliefs that distinguished acceptance from refusal in the model, especially Q12, the belief that most psychiatric medications cause psychological or physical dependence, and Q13, the belief that modern psychiatric medications are safer than older ones, with explicit explanation of how treatment plans are individualized and reviewed over time.</w:t>
      </w:r>
    </w:p>
    <w:p>
      <w:pPr>
        <w:pStyle w:val="BodyText"/>
      </w:pPr>
      <w:r>
        <w:t xml:space="preserve">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pStyle w:val="BodyText"/>
      </w:pPr>
      <w:r>
        <w:t xml:space="preserve">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bookmarkEnd w:id="59"/>
    <w:bookmarkStart w:id="60" w:name="X0236aa629744c5bf19badb523a121c263ce9e7d"/>
    <w:p>
      <w:pPr>
        <w:pStyle w:val="Heading2"/>
      </w:pPr>
      <w:r>
        <w:t xml:space="preserve">D. Strengths and Limitations of the Present Study</w:t>
      </w:r>
    </w:p>
    <w:p>
      <w:pPr>
        <w:pStyle w:val="FirstParagraph"/>
      </w:pPr>
      <w:r>
        <w:t xml:space="preserve">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pStyle w:val="BodyText"/>
      </w:pPr>
      <w:r>
        <w:t xml:space="preserve">The study also has limits. First, the cross-sectional design does not establish causality, so the reported associations should not be interpreted as directional effects over time. Second, complete-case modeling created model-specific analytic samples, with n=647 for the primary hierarchical model, n=406 for the sensitivity model, and n=837 for the multinomial model. This reduction from the full descriptive sample (N=877) can introduce selection bias if respondents with missing values differ systematically in stigma beliefs or medication experience, and it narrows how far the adjusted model estimates can be generalized to the wider Iraqi public. Third, the sample was mostly female and highly university-educated, so findings may not fully represent older, rural, or less educated Iraqi populations. Fourth, self-reported attitudes are vulnerable to social desirability bias and may either understate or overstate stigma.</w:t>
      </w:r>
    </w:p>
    <w:bookmarkEnd w:id="60"/>
    <w:bookmarkStart w:id="61" w:name="e.-priority-research-gaps"/>
    <w:p>
      <w:pPr>
        <w:pStyle w:val="Heading2"/>
      </w:pPr>
      <w:r>
        <w:t xml:space="preserve">E. Priority Research Gaps</w:t>
      </w:r>
    </w:p>
    <w:p>
      <w:pPr>
        <w:pStyle w:val="FirstParagraph"/>
      </w:pPr>
      <w:r>
        <w:t xml:space="preserve">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pStyle w:val="BodyText"/>
      </w:pPr>
      <w:r>
        <w:t xml:space="preserve">The exploratory stigma phenotypes identified in this study also need confirmatory work. These k-means profiles are data-driven exploratory groupings, and the silhouette values from k=2 to k=4 indicate relative fit only among the tested options rather than confirmed latent classes. Subsequent studies should validate these profiles with larger and more demographically balanced samples and apply confirmatory approaches before using profile labels as stable population categories,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pPr>
        <w:pStyle w:val="BodyText"/>
      </w:pPr>
      <w:r>
        <w:t xml:space="preserve">[[CHAPTER_TITLE:Chapter Five|||Conclusions and Suggestions]]</w:t>
      </w:r>
    </w:p>
    <w:bookmarkEnd w:id="61"/>
    <w:bookmarkEnd w:id="62"/>
    <w:bookmarkStart w:id="67" w:name="vi.-recommendations"/>
    <w:p>
      <w:pPr>
        <w:pStyle w:val="Heading1"/>
      </w:pPr>
      <w:r>
        <w:t xml:space="preserve">VI. RECOMMENDATIONS</w:t>
      </w:r>
    </w:p>
    <w:bookmarkStart w:id="63" w:name="a.-policy-level-recommendations"/>
    <w:p>
      <w:pPr>
        <w:pStyle w:val="Heading2"/>
      </w:pPr>
      <w:r>
        <w:t xml:space="preserve">A. Policy-Level Recommendations</w:t>
      </w:r>
    </w:p>
    <w:p>
      <w:pPr>
        <w:pStyle w:val="FirstParagraph"/>
      </w:pPr>
      <w:r>
        <w:t xml:space="preserve">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pStyle w:val="BodyText"/>
      </w:pPr>
      <w:r>
        <w:t xml:space="preserve">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pStyle w:val="BodyText"/>
      </w:pPr>
      <w:r>
        <w:t xml:space="preserve">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bookmarkEnd w:id="63"/>
    <w:bookmarkStart w:id="64" w:name="Xbb04a7f78fabb277e63f328f061b36ea2444fbd"/>
    <w:p>
      <w:pPr>
        <w:pStyle w:val="Heading2"/>
      </w:pPr>
      <w:r>
        <w:t xml:space="preserve">B. Practice-Level Recommendations (Pharmacists, Physicians, Primary Care)</w:t>
      </w:r>
    </w:p>
    <w:p>
      <w:pPr>
        <w:pStyle w:val="FirstParagraph"/>
      </w:pPr>
      <w:r>
        <w:t xml:space="preserve">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pStyle w:val="BodyText"/>
      </w:pPr>
      <w:r>
        <w:t xml:space="preserve">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pStyle w:val="BodyText"/>
      </w:pPr>
      <w:r>
        <w:t xml:space="preserve">Primary care teams should create a simple referral-feedback loop between clinics and community pharmacies so patients receive consistent messages. Inconsistency across providers can strengthen uncertainty, which remained visible in the multinomial model.</w:t>
      </w:r>
    </w:p>
    <w:bookmarkEnd w:id="64"/>
    <w:bookmarkStart w:id="65" w:name="X516fa5b3be313fe079cb12204a4a55092e4f8d5"/>
    <w:p>
      <w:pPr>
        <w:pStyle w:val="Heading2"/>
      </w:pPr>
      <w:r>
        <w:t xml:space="preserve">C. Education and Awareness Recommendations</w:t>
      </w:r>
    </w:p>
    <w:p>
      <w:pPr>
        <w:pStyle w:val="FirstParagraph"/>
      </w:pPr>
      <w:r>
        <w:t xml:space="preserve">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pStyle w:val="BodyText"/>
      </w:pPr>
      <w:r>
        <w:t xml:space="preserve">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bookmarkEnd w:id="65"/>
    <w:bookmarkStart w:id="66" w:name="d.-research-recommendations"/>
    <w:p>
      <w:pPr>
        <w:pStyle w:val="Heading2"/>
      </w:pPr>
      <w:r>
        <w:t xml:space="preserve">D. Research Recommendations</w:t>
      </w:r>
    </w:p>
    <w:p>
      <w:pPr>
        <w:pStyle w:val="FirstParagraph"/>
      </w:pPr>
      <w:r>
        <w:t xml:space="preserve">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pStyle w:val="BodyText"/>
      </w:pPr>
      <w:r>
        <w:t xml:space="preserve">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bookmarkEnd w:id="66"/>
    <w:bookmarkEnd w:id="67"/>
    <w:bookmarkStart w:id="71" w:name="vii.-conclusion"/>
    <w:p>
      <w:pPr>
        <w:pStyle w:val="Heading1"/>
      </w:pPr>
      <w:r>
        <w:t xml:space="preserve">VII. CONCLUSION</w:t>
      </w:r>
    </w:p>
    <w:bookmarkStart w:id="68" w:name="a.-what-the-cross-sectional-study-adds"/>
    <w:p>
      <w:pPr>
        <w:pStyle w:val="Heading2"/>
      </w:pPr>
      <w:r>
        <w:t xml:space="preserve">A. What the Cross-Sectional Study Adds</w:t>
      </w:r>
    </w:p>
    <w:p>
      <w:pPr>
        <w:pStyle w:val="FirstParagraph"/>
      </w:pPr>
      <w:r>
        <w:t xml:space="preserve">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bookmarkEnd w:id="68"/>
    <w:bookmarkStart w:id="69" w:name="X7b33f1d94d8ae95ffca3889b2ecb433a0287957"/>
    <w:p>
      <w:pPr>
        <w:pStyle w:val="Heading2"/>
      </w:pPr>
      <w:r>
        <w:t xml:space="preserve">B. What the Combined Evidence (Survey + Literature) Indicates for Iraq</w:t>
      </w:r>
    </w:p>
    <w:p>
      <w:pPr>
        <w:pStyle w:val="FirstParagraph"/>
      </w:pPr>
      <w:r>
        <w:t xml:space="preserve">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pStyle w:val="BodyText"/>
      </w:pPr>
      <w:r>
        <w:t xml:space="preserve">The evidence also indicates that pharmacists are positioned to close this gap. In a system with limited specialist capacity, pharmacist-led counseling and coordinated primary care communication can translate treatment availability into treatment acceptance.</w:t>
      </w:r>
    </w:p>
    <w:bookmarkEnd w:id="69"/>
    <w:bookmarkStart w:id="70" w:name="c.-closing-evidence-based-statement"/>
    <w:p>
      <w:pPr>
        <w:pStyle w:val="Heading2"/>
      </w:pPr>
      <w:r>
        <w:t xml:space="preserve">C. Closing Evidence-Based Statement</w:t>
      </w:r>
    </w:p>
    <w:p>
      <w:pPr>
        <w:pStyle w:val="FirstParagraph"/>
      </w:pPr>
      <w:r>
        <w:t xml:space="preserve">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bookmarkEnd w:id="70"/>
    <w:bookmarkEnd w:id="71"/>
    <w:bookmarkStart w:id="72" w:name="viii.-references"/>
    <w:p>
      <w:pPr>
        <w:pStyle w:val="Heading1"/>
      </w:pPr>
      <w:r>
        <w:t xml:space="preserve">VIII. REFERENCES</w:t>
      </w:r>
    </w:p>
    <w:p>
      <w:pPr>
        <w:pStyle w:val="FirstParagraph"/>
      </w:pPr>
      <w:r>
        <w:t xml:space="preserve">Abdisa, Eba, Ginenus Fekadu, Shimelis Girma, et al. </w:t>
      </w:r>
      <w:r>
        <w:t xml:space="preserve">“</w:t>
      </w:r>
      <w:r>
        <w:t xml:space="preserve">Self-Stigma and Medication Adherence among Patients with Mental Illness Treated at Jimma University Medical Center, Southwest Ethiopia.</w:t>
      </w:r>
      <w:r>
        <w:t xml:space="preserve">”</w:t>
      </w:r>
      <w:r>
        <w:t xml:space="preserve"> </w:t>
      </w:r>
      <w:r>
        <w:t xml:space="preserve">International Journal of Mental Health Systems 14, no. 1 (2020): 56. https://doi.org/10.1186/s13033-020-00391-6.</w:t>
      </w:r>
      <w:r>
        <w:t xml:space="preserve"> </w:t>
      </w:r>
      <w:r>
        <w:t xml:space="preserve">Abdul Kareem, Makwan, and Hezha Mahmood.</w:t>
      </w:r>
      <w:r>
        <w:t xml:space="preserve"> </w:t>
      </w:r>
      <w:r>
        <w:t xml:space="preserve">“</w:t>
      </w:r>
      <w:r>
        <w:t xml:space="preserve">Adherence to Pharmacological Treatment Among Patients with Schizophrenia: Adherence to Pharmacological Treatment Among Patients with Schizophrenia.</w:t>
      </w:r>
      <w:r>
        <w:t xml:space="preserve">”</w:t>
      </w:r>
      <w:r>
        <w:t xml:space="preserve"> </w:t>
      </w:r>
      <w:r>
        <w:t xml:space="preserve">Iraqi National Journal of Medicine 4, no. 1 (2022): 31–42. https://doi.org/10.37319/IQNJM.4.1.4.</w:t>
      </w:r>
      <w:r>
        <w:t xml:space="preserve"> </w:t>
      </w:r>
      <w:r>
        <w:t xml:space="preserve">Abi Hana, Racha, Maguy Arnous, Eva Heim, et al. </w:t>
      </w:r>
      <w:r>
        <w:t xml:space="preserve">“</w:t>
      </w:r>
      <w:r>
        <w:t xml:space="preserve">Mental Health Stigma at Primary Health Care Centres in Lebanon: Qualitative Study.</w:t>
      </w:r>
      <w:r>
        <w:t xml:space="preserve">”</w:t>
      </w:r>
      <w:r>
        <w:t xml:space="preserve"> </w:t>
      </w:r>
      <w:r>
        <w:t xml:space="preserve">International Journal of Mental Health Systems 16, no. 1 (2022): 23. https://doi.org/10.1186/s13033-022-00533-y.</w:t>
      </w:r>
      <w:r>
        <w:t xml:space="preserve"> </w:t>
      </w:r>
      <w:r>
        <w:t xml:space="preserve">Adewuya, Abiodun O., and Roger O. A. Makanjuola.</w:t>
      </w:r>
      <w:r>
        <w:t xml:space="preserve"> </w:t>
      </w:r>
      <w:r>
        <w:t xml:space="preserve">“</w:t>
      </w:r>
      <w:r>
        <w:t xml:space="preserve">Lay Beliefs Regarding Causes of Mental Illness in Nigeria: Pattern and Correlates.</w:t>
      </w:r>
      <w:r>
        <w:t xml:space="preserve">”</w:t>
      </w:r>
      <w:r>
        <w:t xml:space="preserve"> </w:t>
      </w:r>
      <w:r>
        <w:t xml:space="preserve">Social Psychiatry and Psychiatric Epidemiology 43, no. 4 (2008): 336–41. https://doi.org/10.1007/s00127-007-0305-x.</w:t>
      </w:r>
      <w:r>
        <w:t xml:space="preserve"> </w:t>
      </w:r>
      <w:r>
        <w:t xml:space="preserve">Al-Asadi, Jasim Naeem, and Zainab B. Hussein.</w:t>
      </w:r>
      <w:r>
        <w:t xml:space="preserve"> </w:t>
      </w:r>
      <w:r>
        <w:t xml:space="preserve">“</w:t>
      </w:r>
      <w:r>
        <w:t xml:space="preserve">Depression among Infertile Women in Basrah, Iraq: Prevalence and Risk Factors.</w:t>
      </w:r>
      <w:r>
        <w:t xml:space="preserve">”</w:t>
      </w:r>
      <w:r>
        <w:t xml:space="preserve"> </w:t>
      </w:r>
      <w:r>
        <w:t xml:space="preserve">Journal of the Chinese Medical Association: JCMA 78, no. 11 (2015): 673–77. https://doi.org/10.1016/j.jcma.2015.07.009.</w:t>
      </w:r>
      <w:r>
        <w:t xml:space="preserve"> </w:t>
      </w:r>
      <w:r>
        <w:t xml:space="preserve">Al-Awadhi, Anwar, Farid Atawneh, M. ZiadY Alalyan, AltafAhmad Shahid, Sulaiman Al-Alkhadhari, and MuhammadAjmal Zahid.</w:t>
      </w:r>
      <w:r>
        <w:t xml:space="preserve"> </w:t>
      </w:r>
      <w:r>
        <w:t xml:space="preserve">“</w:t>
      </w:r>
      <w:r>
        <w:t xml:space="preserve">Nurses’ Attitude towards Patients with Mental Illness in a General Hospital in Kuwait.</w:t>
      </w:r>
      <w:r>
        <w:t xml:space="preserve">”</w:t>
      </w:r>
      <w:r>
        <w:t xml:space="preserve"> </w:t>
      </w:r>
      <w:r>
        <w:t xml:space="preserve">Saudi Journal of Medicine and Medical Sciences 5, no. 1 (2017): 31. https://doi.org/10.4103/1658-631X.194249.</w:t>
      </w:r>
      <w:r>
        <w:t xml:space="preserve"> </w:t>
      </w:r>
      <w:r>
        <w:t xml:space="preserve">Albaroodi, Khansaa A. Ibrahim.</w:t>
      </w:r>
      <w:r>
        <w:t xml:space="preserve"> </w:t>
      </w:r>
      <w:r>
        <w:t xml:space="preserve">“</w:t>
      </w:r>
      <w:r>
        <w:t xml:space="preserve">Pharmacists’ Knowledge Regarding Drug Disposal in Karbala.</w:t>
      </w:r>
      <w:r>
        <w:t xml:space="preserve">”</w:t>
      </w:r>
      <w:r>
        <w:t xml:space="preserve"> </w:t>
      </w:r>
      <w:r>
        <w:t xml:space="preserve">Pharmacy 7, no. 2 (2019): 57. https://doi.org/10.3390/pharmacy7020057.</w:t>
      </w:r>
      <w:r>
        <w:t xml:space="preserve"> </w:t>
      </w:r>
      <w:r>
        <w:t xml:space="preserve">Al-Hemiary, Nesif J., Jawad K. Al-Diwan, Albert L. Hasson, and Richard A. Rawson.</w:t>
      </w:r>
      <w:r>
        <w:t xml:space="preserve"> </w:t>
      </w:r>
      <w:r>
        <w:t xml:space="preserve">“</w:t>
      </w:r>
      <w:r>
        <w:t xml:space="preserve">Drug and Alcohol Use in Iraq: Findings of the Inaugural Iraqi Community Epidemiological Workgroup.</w:t>
      </w:r>
      <w:r>
        <w:t xml:space="preserve">”</w:t>
      </w:r>
      <w:r>
        <w:t xml:space="preserve"> </w:t>
      </w:r>
      <w:r>
        <w:t xml:space="preserve">Substance Use &amp; Misuse 49, no. 13 (2014): 1759–63. https://doi.org/10.3109/10826084.2014.913633.</w:t>
      </w:r>
      <w:r>
        <w:t xml:space="preserve"> </w:t>
      </w:r>
      <w:r>
        <w:t xml:space="preserve">Al-Jawadi, Asma A., and Shatha Abdul-Rhman.</w:t>
      </w:r>
      <w:r>
        <w:t xml:space="preserve"> </w:t>
      </w:r>
      <w:r>
        <w:t xml:space="preserve">“</w:t>
      </w:r>
      <w:r>
        <w:t xml:space="preserve">Prevalence of Childhood and Early Adolescence Mental Disorders among Children Attending Primary Health Care Centers in Mosul, Iraq: A Cross-Sectional Study.</w:t>
      </w:r>
      <w:r>
        <w:t xml:space="preserve">”</w:t>
      </w:r>
      <w:r>
        <w:t xml:space="preserve"> </w:t>
      </w:r>
      <w:r>
        <w:t xml:space="preserve">BMC Public Health 7, no. 1 (2007): 274. https://doi.org/10.1186/1471-2458-7-274.</w:t>
      </w:r>
      <w:r>
        <w:t xml:space="preserve"> </w:t>
      </w:r>
      <w:r>
        <w:t xml:space="preserve">Almazeedi, Hind, and Mohammad T. Alsuwaidan.</w:t>
      </w:r>
      <w:r>
        <w:t xml:space="preserve"> </w:t>
      </w:r>
      <w:r>
        <w:t xml:space="preserve">“</w:t>
      </w:r>
      <w:r>
        <w:t xml:space="preserve">‘</w:t>
      </w:r>
      <w:r>
        <w:t xml:space="preserve">Integrating Kuwait’s Mental Health System to End Stigma: A Call to Action.</w:t>
      </w:r>
      <w:r>
        <w:t xml:space="preserve">’</w:t>
      </w:r>
      <w:r>
        <w:t xml:space="preserve">”</w:t>
      </w:r>
      <w:r>
        <w:t xml:space="preserve"> </w:t>
      </w:r>
      <w:r>
        <w:t xml:space="preserve">Journal of Mental Health 23, no. 1 (2014): 1–3. https://doi.org/10.3109/09638237.2013.775407.</w:t>
      </w:r>
      <w:r>
        <w:t xml:space="preserve"> </w:t>
      </w:r>
      <w:r>
        <w:t xml:space="preserve">Al Omari, Omar, Blessy Prabha Valsaraj, Moawiah Khatatbeh, et al. </w:t>
      </w:r>
      <w:r>
        <w:t xml:space="preserve">“</w:t>
      </w:r>
      <w:r>
        <w:t xml:space="preserve">Self and Public Stigma towards Mental Illnesses and Its Predictors among University Students in 11 Arabic‐speaking Countries: A Multi‐site Study.</w:t>
      </w:r>
      <w:r>
        <w:t xml:space="preserve">”</w:t>
      </w:r>
      <w:r>
        <w:t xml:space="preserve"> </w:t>
      </w:r>
      <w:r>
        <w:t xml:space="preserve">International Journal of Mental Health Nursing 32, no. 6 (2023): 1745–55. https://doi.org/10.1111/inm.13206.</w:t>
      </w:r>
      <w:r>
        <w:t xml:space="preserve"> </w:t>
      </w:r>
      <w:r>
        <w:t xml:space="preserve">Angermeyer, Matthias C., Sandra Van Der Auwera, Mauro G. Carta, and Georg Schomerus.</w:t>
      </w:r>
      <w:r>
        <w:t xml:space="preserve"> </w:t>
      </w:r>
      <w:r>
        <w:t xml:space="preserve">“</w:t>
      </w:r>
      <w:r>
        <w:t xml:space="preserve">Public Attitudes towards Psychiatry and Psychiatric Treatment at the Beginning of the 21st Century: A Systematic Review and Meta‐analysis of Population Surveys.</w:t>
      </w:r>
      <w:r>
        <w:t xml:space="preserve">”</w:t>
      </w:r>
      <w:r>
        <w:t xml:space="preserve"> </w:t>
      </w:r>
      <w:r>
        <w:t xml:space="preserve">World Psychiatry 16, no. 1 (2017): 50–61. https://doi.org/10.1002/wps.20383.</w:t>
      </w:r>
      <w:r>
        <w:t xml:space="preserve"> </w:t>
      </w:r>
      <w:r>
        <w:t xml:space="preserve">Berge, Erik Eng, Roger Hagen, and Joar Øveraas Halvorsen.</w:t>
      </w:r>
      <w:r>
        <w:t xml:space="preserve"> </w:t>
      </w:r>
      <w:r>
        <w:t xml:space="preserve">“</w:t>
      </w:r>
      <w:r>
        <w:t xml:space="preserve">PTSD Relapse in Veterans of Iraq and Afghanistan: A Systematic Review.</w:t>
      </w:r>
      <w:r>
        <w:t xml:space="preserve">”</w:t>
      </w:r>
      <w:r>
        <w:t xml:space="preserve"> </w:t>
      </w:r>
      <w:r>
        <w:t xml:space="preserve">Military Psychology 32, no. 4 (2020): 300–312. https://doi.org/10.1080/08995605.2020.1754123.</w:t>
      </w:r>
      <w:r>
        <w:t xml:space="preserve"> </w:t>
      </w:r>
      <w:r>
        <w:t xml:space="preserve">Booth, Wendy A., Mabrouka Abuhmida, and Felix Anyanwu.</w:t>
      </w:r>
      <w:r>
        <w:t xml:space="preserve"> </w:t>
      </w:r>
      <w:r>
        <w:t xml:space="preserve">“</w:t>
      </w:r>
      <w:r>
        <w:t xml:space="preserve">Mental Health Stigma: A Conundrum for Healthcare Practitioners in Conservative Communities.</w:t>
      </w:r>
      <w:r>
        <w:t xml:space="preserve">”</w:t>
      </w:r>
      <w:r>
        <w:t xml:space="preserve"> </w:t>
      </w:r>
      <w:r>
        <w:t xml:space="preserve">Frontiers in Public Health 12 (May 2024): 1384521. https://doi.org/10.3389/fpubh.2024.1384521.</w:t>
      </w:r>
      <w:r>
        <w:t xml:space="preserve"> </w:t>
      </w:r>
      <w:r>
        <w:t xml:space="preserve">Burnam, M. Audrey, Lisa S. Meredith, Terri Tanielian, and Lisa H. Jaycox.</w:t>
      </w:r>
      <w:r>
        <w:t xml:space="preserve"> </w:t>
      </w:r>
      <w:r>
        <w:t xml:space="preserve">“</w:t>
      </w:r>
      <w:r>
        <w:t xml:space="preserve">Mental Health Care For Iraq And Afghanistan War Veterans.</w:t>
      </w:r>
      <w:r>
        <w:t xml:space="preserve">”</w:t>
      </w:r>
      <w:r>
        <w:t xml:space="preserve"> </w:t>
      </w:r>
      <w:r>
        <w:t xml:space="preserve">Health Affairs 28, no. 3 (2009): 771–82. https://doi.org/10.1377/hlthaff.28.3.771.</w:t>
      </w:r>
      <w:r>
        <w:t xml:space="preserve"> </w:t>
      </w:r>
      <w:r>
        <w:t xml:space="preserve">Cubillos, Leonardo, Sophia M. Bartels, William C. Torrey, et al. </w:t>
      </w:r>
      <w:r>
        <w:t xml:space="preserve">“</w:t>
      </w:r>
      <w:r>
        <w:t xml:space="preserve">The Effectiveness and Cost-Effectiveness of Integrating Mental Health Services in Primary Care in Low- and Middle-Income Countries: Systematic Review.</w:t>
      </w:r>
      <w:r>
        <w:t xml:space="preserve">”</w:t>
      </w:r>
      <w:r>
        <w:t xml:space="preserve"> </w:t>
      </w:r>
      <w:r>
        <w:t xml:space="preserve">BJPsych Bulletin 45, no. 1 (2021): 40–52. https://doi.org/10.1192/bjb.2020.35.</w:t>
      </w:r>
      <w:r>
        <w:t xml:space="preserve"> </w:t>
      </w:r>
      <w:r>
        <w:t xml:space="preserve">Dikeç, Gül, and Kübra Timarcıoğlu.</w:t>
      </w:r>
      <w:r>
        <w:t xml:space="preserve"> </w:t>
      </w:r>
      <w:r>
        <w:t xml:space="preserve">“</w:t>
      </w:r>
      <w:r>
        <w:t xml:space="preserve">Medication Adherence to Psychotropic Medication and Relationship with Psychiatric Symptoms among Syrian Refugees in Turkey: A Pilot Study.</w:t>
      </w:r>
      <w:r>
        <w:t xml:space="preserve">”</w:t>
      </w:r>
      <w:r>
        <w:t xml:space="preserve"> </w:t>
      </w:r>
      <w:r>
        <w:t xml:space="preserve">Trauma Care 3, no. 1 (2023): 37–45. https://doi.org/10.3390/traumacare3010005.</w:t>
      </w:r>
      <w:r>
        <w:t xml:space="preserve"> </w:t>
      </w:r>
      <w:r>
        <w:t xml:space="preserve">Elyamani, Rowaida, Sarah Naja, Ayman Al-Dahshan, Hamed Hamoud, Mohammed Iheb Bougmiza, and Noora Alkubaisi.</w:t>
      </w:r>
      <w:r>
        <w:t xml:space="preserve"> </w:t>
      </w:r>
      <w:r>
        <w:t xml:space="preserve">“</w:t>
      </w:r>
      <w:r>
        <w:t xml:space="preserve">Mental Health Literacy in Arab States of the Gulf Cooperation Council: A Systematic Review.</w:t>
      </w:r>
      <w:r>
        <w:t xml:space="preserve">”</w:t>
      </w:r>
      <w:r>
        <w:t xml:space="preserve"> </w:t>
      </w:r>
      <w:r>
        <w:t xml:space="preserve">PLOS ONE 16, no. 1 (2021): e0245156. https://doi.org/10.1371/journal.pone.0245156.</w:t>
      </w:r>
      <w:r>
        <w:t xml:space="preserve"> </w:t>
      </w:r>
      <w:r>
        <w:t xml:space="preserve">Gast, Alina, and Tim Mathes.</w:t>
      </w:r>
      <w:r>
        <w:t xml:space="preserve"> </w:t>
      </w:r>
      <w:r>
        <w:t xml:space="preserve">“</w:t>
      </w:r>
      <w:r>
        <w:t xml:space="preserve">Medication Adherence Influencing Factors—an (Updated) Overview of Systematic Reviews.</w:t>
      </w:r>
      <w:r>
        <w:t xml:space="preserve">”</w:t>
      </w:r>
      <w:r>
        <w:t xml:space="preserve"> </w:t>
      </w:r>
      <w:r>
        <w:t xml:space="preserve">Systematic Reviews 8, no. 1 (2019): 112. https://doi.org/10.1186/s13643-019-1014-8.</w:t>
      </w:r>
      <w:r>
        <w:t xml:space="preserve"> </w:t>
      </w:r>
      <w:r>
        <w:t xml:space="preserve">Häge, Alexander, Lisa Weymann, Lucia Bliznak, Viktoria Märker, Konstantin Mechler, and Ralf W. Dittmann.</w:t>
      </w:r>
      <w:r>
        <w:t xml:space="preserve"> </w:t>
      </w:r>
      <w:r>
        <w:t xml:space="preserve">“</w:t>
      </w:r>
      <w:r>
        <w:t xml:space="preserve">Non-adherence to Psychotropic Medication Among Adolescents – A Systematic Review of the Literature.</w:t>
      </w:r>
      <w:r>
        <w:t xml:space="preserve">”</w:t>
      </w:r>
      <w:r>
        <w:t xml:space="preserve"> </w:t>
      </w:r>
      <w:r>
        <w:t xml:space="preserve">Zeitschrift für Kinder- und Jugendpsychiatrie und Psychotherapie 46, no. 1 (2018): 69–78. https://doi.org/10.1024/1422-4917/a000505.</w:t>
      </w:r>
      <w:r>
        <w:t xml:space="preserve"> </w:t>
      </w:r>
      <w:r>
        <w:t xml:space="preserve">Hamrin, Vanya, Erin M. McCarthy, and Veda Tyson.</w:t>
      </w:r>
      <w:r>
        <w:t xml:space="preserve"> </w:t>
      </w:r>
      <w:r>
        <w:t xml:space="preserve">“</w:t>
      </w:r>
      <w:r>
        <w:t xml:space="preserve">Pediatric Psychotropic Medication Initiation and Adherence: A Literature Review Based on Social Exchange Theory.</w:t>
      </w:r>
      <w:r>
        <w:t xml:space="preserve">”</w:t>
      </w:r>
      <w:r>
        <w:t xml:space="preserve"> </w:t>
      </w:r>
      <w:r>
        <w:t xml:space="preserve">Journal of Child and Adolescent Psychiatric Nursing 23, no. 3 (2010): 151–72. https://doi.org/10.1111/j.1744-6171.2010.00237.x.</w:t>
      </w:r>
      <w:r>
        <w:t xml:space="preserve"> </w:t>
      </w:r>
      <w:r>
        <w:t xml:space="preserve">Herbert, Sophia M. C., Joni C. Carroll, Kim C. Coley, Stephanie Harriman McGrath, and Melissa Somma McGivney.</w:t>
      </w:r>
      <w:r>
        <w:t xml:space="preserve"> </w:t>
      </w:r>
      <w:r>
        <w:t xml:space="preserve">“</w:t>
      </w:r>
      <w:r>
        <w:t xml:space="preserve">A Student Pharmacist Quality Engagement Team to Support Initial Implementation of Comprehensive Medication Management within Independent Community Pharmacies.</w:t>
      </w:r>
      <w:r>
        <w:t xml:space="preserve">”</w:t>
      </w:r>
      <w:r>
        <w:t xml:space="preserve"> </w:t>
      </w:r>
      <w:r>
        <w:t xml:space="preserve">Pharmacy 8, no. 3 (2020): 141. https://doi.org/10.3390/pharmacy8030141.</w:t>
      </w:r>
      <w:r>
        <w:t xml:space="preserve"> </w:t>
      </w:r>
      <w:r>
        <w:t xml:space="preserve">Hisle-Gorman, Elizabeth, Apryl Susi, and Gregory H. Gorman.</w:t>
      </w:r>
      <w:r>
        <w:t xml:space="preserve"> </w:t>
      </w:r>
      <w:r>
        <w:t xml:space="preserve">“</w:t>
      </w:r>
      <w:r>
        <w:t xml:space="preserve">Mental Health Trends in Military Pediatrics.</w:t>
      </w:r>
      <w:r>
        <w:t xml:space="preserve">”</w:t>
      </w:r>
      <w:r>
        <w:t xml:space="preserve"> </w:t>
      </w:r>
      <w:r>
        <w:t xml:space="preserve">Psychiatric Services 70, no. 8 (2019): 657–64. https://doi.org/10.1176/appi.ps.201800101.</w:t>
      </w:r>
      <w:r>
        <w:t xml:space="preserve"> </w:t>
      </w:r>
      <w:r>
        <w:t xml:space="preserve">Hoge, Charles W., Carl A. Castro, Stephen C. Messer, Dennis McGurk, Dave I. Cotting, and Robert L. Koffman.</w:t>
      </w:r>
      <w:r>
        <w:t xml:space="preserve"> </w:t>
      </w:r>
      <w:r>
        <w:t xml:space="preserve">“</w:t>
      </w:r>
      <w:r>
        <w:t xml:space="preserve">Combat Duty in Iraq and Afghanistan, Mental Health Problems, and Barriers to Care.</w:t>
      </w:r>
      <w:r>
        <w:t xml:space="preserve">”</w:t>
      </w:r>
      <w:r>
        <w:t xml:space="preserve"> </w:t>
      </w:r>
      <w:r>
        <w:t xml:space="preserve">New England Journal of Medicine 351, no. 1 (2004): 13–22. https://doi.org/10.1056/NEJMoa040603.</w:t>
      </w:r>
      <w:r>
        <w:t xml:space="preserve"> </w:t>
      </w:r>
      <w:r>
        <w:t xml:space="preserve">Hoge, Charles W., Christopher G. Ivany, Edward A. Brusher, et al. </w:t>
      </w:r>
      <w:r>
        <w:t xml:space="preserve">“</w:t>
      </w:r>
      <w:r>
        <w:t xml:space="preserve">Transformation of Mental Health Care for U.S. Soldiers and Families During the Iraq and Afghanistan Wars: Where Science and Politics Intersect.</w:t>
      </w:r>
      <w:r>
        <w:t xml:space="preserve">”</w:t>
      </w:r>
      <w:r>
        <w:t xml:space="preserve"> </w:t>
      </w:r>
      <w:r>
        <w:t xml:space="preserve">American Journal of Psychiatry 173, no. 4 (2016): 334–43. https://doi.org/10.1176/appi.ajp.2015.15040553.</w:t>
      </w:r>
      <w:r>
        <w:t xml:space="preserve"> </w:t>
      </w:r>
      <w:r>
        <w:t xml:space="preserve">Horne, Robert, John Weinman, and Maittew Hankins.</w:t>
      </w:r>
      <w:r>
        <w:t xml:space="preserve"> </w:t>
      </w:r>
      <w:r>
        <w:t xml:space="preserve">“</w:t>
      </w:r>
      <w:r>
        <w:t xml:space="preserve">The Beliefs about Medicines Questionnaire: The Development and Evaluation of a New Method for Assessing the Cognitive Representation of Medication.</w:t>
      </w:r>
      <w:r>
        <w:t xml:space="preserve">”</w:t>
      </w:r>
      <w:r>
        <w:t xml:space="preserve"> </w:t>
      </w:r>
      <w:r>
        <w:t xml:space="preserve">Psychology &amp; Health 14, no. 1 (1999): 1–24. https://doi.org/10.1080/08870449908407311.</w:t>
      </w:r>
      <w:r>
        <w:t xml:space="preserve"> </w:t>
      </w:r>
      <w:r>
        <w:t xml:space="preserve">Hussein Alwan, Iman, Mohammed Fadhil Ali, and Zeyad Tariq Madalla.</w:t>
      </w:r>
      <w:r>
        <w:t xml:space="preserve"> </w:t>
      </w:r>
      <w:r>
        <w:t xml:space="preserve">“</w:t>
      </w:r>
      <w:r>
        <w:t xml:space="preserve">Factors Influencing Stigma Toward Mental Illness Among Students at the University of Baghdad.</w:t>
      </w:r>
      <w:r>
        <w:t xml:space="preserve">”</w:t>
      </w:r>
      <w:r>
        <w:t xml:space="preserve"> </w:t>
      </w:r>
      <w:r>
        <w:t xml:space="preserve">International Journal of Body, Mind and Culture 12, no. 6 (2025): 161–70. https://doi.org/10.61838/ijbmc.v12i5.945.</w:t>
      </w:r>
      <w:r>
        <w:t xml:space="preserve"> </w:t>
      </w:r>
      <w:r>
        <w:t xml:space="preserve">Ibrahim, Hawkar, Verena Ertl, Claudia Catani, Azad Ali Ismail, and Frank Neuner.</w:t>
      </w:r>
      <w:r>
        <w:t xml:space="preserve"> </w:t>
      </w:r>
      <w:r>
        <w:t xml:space="preserve">“</w:t>
      </w:r>
      <w:r>
        <w:t xml:space="preserve">Trauma and Perceived Social Rejection among Yazidi Women and Girls Who Survived Enslavement and Genocide.</w:t>
      </w:r>
      <w:r>
        <w:t xml:space="preserve">”</w:t>
      </w:r>
      <w:r>
        <w:t xml:space="preserve"> </w:t>
      </w:r>
      <w:r>
        <w:t xml:space="preserve">BMC Medicine 16, no. 1 (2018): 154. https://doi.org/10.1186/s12916-018-1140-5.</w:t>
      </w:r>
      <w:r>
        <w:t xml:space="preserve"> </w:t>
      </w:r>
      <w:r>
        <w:t xml:space="preserve">Kadhim, Sheima Nadim, Zainab Haroon Ahmed, and Muntadher Luay Abdulsahib.</w:t>
      </w:r>
      <w:r>
        <w:t xml:space="preserve"> </w:t>
      </w:r>
      <w:r>
        <w:t xml:space="preserve">“</w:t>
      </w:r>
      <w:r>
        <w:t xml:space="preserve">ANXIETY, DEPRESSION, AND PSYCHOTROPIC DRUGS USAGE BY UNIVERSITY STUDENTS OF MEDICAL GROUP IN BASRA, IRAQ.</w:t>
      </w:r>
      <w:r>
        <w:t xml:space="preserve">”</w:t>
      </w:r>
      <w:r>
        <w:t xml:space="preserve"> </w:t>
      </w:r>
      <w:r>
        <w:t xml:space="preserve">Universal Journal of Pharmaceutical Research, ahead of print, May 15, 2024. https://doi.org/10.22270/ujpr.v9i2.1081.</w:t>
      </w:r>
      <w:r>
        <w:t xml:space="preserve"> </w:t>
      </w:r>
      <w:r>
        <w:t xml:space="preserve">Kalaman, Clarisse Roswini, Norhayati Ibrahim, Vinorra Shaker, et al. </w:t>
      </w:r>
      <w:r>
        <w:t xml:space="preserve">“</w:t>
      </w:r>
      <w:r>
        <w:t xml:space="preserve">Parental Factors Associated with Child or Adolescent Medication Adherence: A Systematic Review.</w:t>
      </w:r>
      <w:r>
        <w:t xml:space="preserve">”</w:t>
      </w:r>
      <w:r>
        <w:t xml:space="preserve"> </w:t>
      </w:r>
      <w:r>
        <w:t xml:space="preserve">Healthcare 11, no. 4 (2023): 501. https://doi.org/10.3390/healthcare11040501.</w:t>
      </w:r>
      <w:r>
        <w:t xml:space="preserve"> </w:t>
      </w:r>
      <w:r>
        <w:t xml:space="preserve">Kwan, Yu Heng, Si Dun Weng, Dionne Hui Fang Loh, et al. </w:t>
      </w:r>
      <w:r>
        <w:t xml:space="preserve">“</w:t>
      </w:r>
      <w:r>
        <w:t xml:space="preserve">Measurement Properties of Existing Patient-Reported Outcome Measures on Medication Adherence: Systematic Review.</w:t>
      </w:r>
      <w:r>
        <w:t xml:space="preserve">”</w:t>
      </w:r>
      <w:r>
        <w:t xml:space="preserve"> </w:t>
      </w:r>
      <w:r>
        <w:t xml:space="preserve">Journal of Medical Internet Research 22, no. 10 (2020): e19179. https://doi.org/10.2196/19179.</w:t>
      </w:r>
      <w:r>
        <w:t xml:space="preserve"> </w:t>
      </w:r>
      <w:r>
        <w:t xml:space="preserve">Leucht, S., T. Burkard, J. Henderson, M. Maj, and N. Sartorius.</w:t>
      </w:r>
      <w:r>
        <w:t xml:space="preserve"> </w:t>
      </w:r>
      <w:r>
        <w:t xml:space="preserve">“</w:t>
      </w:r>
      <w:r>
        <w:t xml:space="preserve">Physical Illness and Schizophrenia: A Review of the Literature.</w:t>
      </w:r>
      <w:r>
        <w:t xml:space="preserve">”</w:t>
      </w:r>
      <w:r>
        <w:t xml:space="preserve"> </w:t>
      </w:r>
      <w:r>
        <w:t xml:space="preserve">Acta Psychiatrica Scandinavica 116, no. 5 (2007): 317–33. https://doi.org/10.1111/j.1600-0447.2007.01095.x.</w:t>
      </w:r>
      <w:r>
        <w:t xml:space="preserve"> </w:t>
      </w:r>
      <w:r>
        <w:t xml:space="preserve">Leucht, Stefan, Andrea Cipriani, Loukia Spineli, et al. </w:t>
      </w:r>
      <w:r>
        <w:t xml:space="preserve">“</w:t>
      </w:r>
      <w:r>
        <w:t xml:space="preserve">Comparative Efficacy and Tolerability of 15 Antipsychotic Drugs in Schizophrenia: A Multiple-Treatments Meta-Analysis.</w:t>
      </w:r>
      <w:r>
        <w:t xml:space="preserve">”</w:t>
      </w:r>
      <w:r>
        <w:t xml:space="preserve"> </w:t>
      </w:r>
      <w:r>
        <w:t xml:space="preserve">The Lancet 382, no. 9896 (2013): 951–62. https://doi.org/10.1016/S0140-6736(13)60733-3.</w:t>
      </w:r>
      <w:r>
        <w:t xml:space="preserve"> </w:t>
      </w:r>
      <w:r>
        <w:t xml:space="preserve">Mohammed, Mrywan Abdulmajeed, and Konul Memmedova.</w:t>
      </w:r>
      <w:r>
        <w:t xml:space="preserve"> </w:t>
      </w:r>
      <w:r>
        <w:t xml:space="preserve">“</w:t>
      </w:r>
      <w:r>
        <w:t xml:space="preserve">Prevalence of Mental Health Problems among Iraqi University Students during the COVID-19 Pandemic.</w:t>
      </w:r>
      <w:r>
        <w:t xml:space="preserve">”</w:t>
      </w:r>
      <w:r>
        <w:t xml:space="preserve"> </w:t>
      </w:r>
      <w:r>
        <w:t xml:space="preserve">Sustainability 15, no. 3 (2023): 1746. https://doi.org/10.3390/su15031746.</w:t>
      </w:r>
      <w:r>
        <w:t xml:space="preserve"> </w:t>
      </w:r>
      <w:r>
        <w:t xml:space="preserve">Mojtabai, Ramin.</w:t>
      </w:r>
      <w:r>
        <w:t xml:space="preserve"> </w:t>
      </w:r>
      <w:r>
        <w:t xml:space="preserve">“</w:t>
      </w:r>
      <w:r>
        <w:t xml:space="preserve">Americans’ Attitudes Toward Psychiatric Medications: 1998–2006.</w:t>
      </w:r>
      <w:r>
        <w:t xml:space="preserve">”</w:t>
      </w:r>
      <w:r>
        <w:t xml:space="preserve"> </w:t>
      </w:r>
      <w:r>
        <w:t xml:space="preserve">Psychiatric Services 60, no. 8 (2009): 1015–23. https://doi.org/10.1176/ps.2009.60.8.1015.</w:t>
      </w:r>
      <w:r>
        <w:t xml:space="preserve"> </w:t>
      </w:r>
      <w:r>
        <w:t xml:space="preserve">Nassr, Ola A., and Raghad F.</w:t>
      </w:r>
      <w:r>
        <w:t xml:space="preserve"> </w:t>
      </w:r>
      <w:r>
        <w:t xml:space="preserve">“</w:t>
      </w:r>
      <w:r>
        <w:t xml:space="preserve">Prevalence and Predictors of High-Dose Antipsychotic Therapy among Adult Psychiatric Inpatients in Baghdad, Iraq.</w:t>
      </w:r>
      <w:r>
        <w:t xml:space="preserve">”</w:t>
      </w:r>
      <w:r>
        <w:t xml:space="preserve"> </w:t>
      </w:r>
      <w:r>
        <w:t xml:space="preserve">South African Journal of Psychiatry 32, no. 0 (2026): a2606. https://doi.org/10.4102/SAJPSYCHIATRY.v32i0.2606.</w:t>
      </w:r>
      <w:r>
        <w:t xml:space="preserve"> </w:t>
      </w:r>
      <w:r>
        <w:t xml:space="preserve">Okasha, Tarek, Nermin M. Shaker, and Dina Aly El-Gabry.</w:t>
      </w:r>
      <w:r>
        <w:t xml:space="preserve"> </w:t>
      </w:r>
      <w:r>
        <w:t xml:space="preserve">“</w:t>
      </w:r>
      <w:r>
        <w:t xml:space="preserve">Mental Health Services in Egypt, the Middle East, and North Africa.</w:t>
      </w:r>
      <w:r>
        <w:t xml:space="preserve">”</w:t>
      </w:r>
      <w:r>
        <w:t xml:space="preserve"> </w:t>
      </w:r>
      <w:r>
        <w:t xml:space="preserve">International Review of Psychiatry 37, nos. 3–4 (2025): 306–14. https://doi.org/10.1080/09540261.2024.2400143.</w:t>
      </w:r>
      <w:r>
        <w:t xml:space="preserve"> </w:t>
      </w:r>
      <w:r>
        <w:t xml:space="preserve">Ouanes, Sami, Imen Becetti, Suhaila Ghuloum, et al. </w:t>
      </w:r>
      <w:r>
        <w:t xml:space="preserve">“</w:t>
      </w:r>
      <w:r>
        <w:t xml:space="preserve">Patterns of Prescription of Antipsychotics in Qatar.</w:t>
      </w:r>
      <w:r>
        <w:t xml:space="preserve">”</w:t>
      </w:r>
      <w:r>
        <w:t xml:space="preserve"> </w:t>
      </w:r>
      <w:r>
        <w:t xml:space="preserve">PLOS ONE 15, no. 11 (2020): e0241986. https://doi.org/10.1371/journal.pone.0241986.</w:t>
      </w:r>
      <w:r>
        <w:t xml:space="preserve"> </w:t>
      </w:r>
      <w:r>
        <w:t xml:space="preserve">Rasheed, Sana, Eisha Kashif, Rida Arif, et al. </w:t>
      </w:r>
      <w:r>
        <w:t xml:space="preserve">“</w:t>
      </w:r>
      <w:r>
        <w:t xml:space="preserve">The Impact of Stigma on Health Care-Seeking Behavior in Military Personnel with Mental Health Challenges.</w:t>
      </w:r>
      <w:r>
        <w:t xml:space="preserve">”</w:t>
      </w:r>
      <w:r>
        <w:t xml:space="preserve"> </w:t>
      </w:r>
      <w:r>
        <w:t xml:space="preserve">Annals of Medicine and Surgery (2012) 88, no. 1 (2026): 630–36. https://doi.org/10.1097/MS9.0000000000004569.</w:t>
      </w:r>
      <w:r>
        <w:t xml:space="preserve"> </w:t>
      </w:r>
      <w:r>
        <w:t xml:space="preserve">Roder, V.</w:t>
      </w:r>
      <w:r>
        <w:t xml:space="preserve"> </w:t>
      </w:r>
      <w:r>
        <w:t xml:space="preserve">“</w:t>
      </w:r>
      <w:r>
        <w:t xml:space="preserve">Integrated Psychological Therapy (IPT) for Schizophrenia: Is It Effective?</w:t>
      </w:r>
      <w:r>
        <w:t xml:space="preserve">”</w:t>
      </w:r>
      <w:r>
        <w:t xml:space="preserve"> </w:t>
      </w:r>
      <w:r>
        <w:t xml:space="preserve">Schizophrenia Bulletin 32, no. Supplement 1 (2006): S81–93. https://doi.org/10.1093/schbul/sbl021.</w:t>
      </w:r>
      <w:r>
        <w:t xml:space="preserve"> </w:t>
      </w:r>
      <w:r>
        <w:t xml:space="preserve">Sadik, Sabah, Marie Bradley, Saad Al-Hasoon, and Rachel Jenkins.</w:t>
      </w:r>
      <w:r>
        <w:t xml:space="preserve"> </w:t>
      </w:r>
      <w:r>
        <w:t xml:space="preserve">“</w:t>
      </w:r>
      <w:r>
        <w:t xml:space="preserve">Public Perception of Mental Health in Iraq.</w:t>
      </w:r>
      <w:r>
        <w:t xml:space="preserve">”</w:t>
      </w:r>
      <w:r>
        <w:t xml:space="preserve"> </w:t>
      </w:r>
      <w:r>
        <w:t xml:space="preserve">International Journal of Mental Health Systems 4, no. 1 (2010): 26. https://doi.org/10.1186/1752-4458-4-26.</w:t>
      </w:r>
      <w:r>
        <w:t xml:space="preserve"> </w:t>
      </w:r>
      <w:r>
        <w:t xml:space="preserve">Saied, AbdulRahman A., Sirwan Khalid Ahmed, Asmaa A. Metwally, and Hani Aiash.</w:t>
      </w:r>
      <w:r>
        <w:t xml:space="preserve"> </w:t>
      </w:r>
      <w:r>
        <w:t xml:space="preserve">“</w:t>
      </w:r>
      <w:r>
        <w:t xml:space="preserve">Iraq’s Mental Health Crisis: A Way Forward?</w:t>
      </w:r>
      <w:r>
        <w:t xml:space="preserve">”</w:t>
      </w:r>
      <w:r>
        <w:t xml:space="preserve"> </w:t>
      </w:r>
      <w:r>
        <w:t xml:space="preserve">The Lancet 402, no. 10409 (2023): 1235–36. https://doi.org/10.1016/S0140-6736(23)01283-7.</w:t>
      </w:r>
      <w:r>
        <w:t xml:space="preserve"> </w:t>
      </w:r>
      <w:r>
        <w:t xml:space="preserve">Saied, AbdulRahman A., Asmaa A. Metwally, Sirwan Khalid Ahmed, Rukhsar Muhmmad Omar, and Salar Omar Abdulqadir.</w:t>
      </w:r>
      <w:r>
        <w:t xml:space="preserve"> </w:t>
      </w:r>
      <w:r>
        <w:t xml:space="preserve">“</w:t>
      </w:r>
      <w:r>
        <w:t xml:space="preserve">National Suicide Prevention Strategy in Iraq.</w:t>
      </w:r>
      <w:r>
        <w:t xml:space="preserve">”</w:t>
      </w:r>
      <w:r>
        <w:t xml:space="preserve"> </w:t>
      </w:r>
      <w:r>
        <w:t xml:space="preserve">Asian Journal of Psychiatry 82 (April 2023): 103486. https://doi.org/10.1016/j.ajp.2023.103486.</w:t>
      </w:r>
      <w:r>
        <w:t xml:space="preserve"> </w:t>
      </w:r>
      <w:r>
        <w:t xml:space="preserve">Slewa-Younan, Shameran, Jonathan Mond, Elise Bussion, et al. </w:t>
      </w:r>
      <w:r>
        <w:t xml:space="preserve">“</w:t>
      </w:r>
      <w:r>
        <w:t xml:space="preserve">Mental Health Literacy of Resettled Iraqi Refugees in Australia: Knowledge about Posttraumatic Stress Disorder and Beliefs about Helpfulness of Interventions.</w:t>
      </w:r>
      <w:r>
        <w:t xml:space="preserve">”</w:t>
      </w:r>
      <w:r>
        <w:t xml:space="preserve"> </w:t>
      </w:r>
      <w:r>
        <w:t xml:space="preserve">BMC Psychiatry 14, no. 1 (2014): 320. https://doi.org/10.1186/s12888-014-0320-x.</w:t>
      </w:r>
      <w:r>
        <w:t xml:space="preserve"> </w:t>
      </w:r>
      <w:r>
        <w:t xml:space="preserve">Uribe Guajardo, Maria Gabriela, Shameran Slewa-Younan, Betty Ann Kitchener, Haider Mannan, Yaser Mohammad, and Anthony Francis Jorm.</w:t>
      </w:r>
      <w:r>
        <w:t xml:space="preserve"> </w:t>
      </w:r>
      <w:r>
        <w:t xml:space="preserve">“</w:t>
      </w:r>
      <w:r>
        <w:t xml:space="preserve">Improving the Capacity of Community-Based Workers in Australia to Provide Initial Assistance to Iraqi Refugees with Mental Health Problems: An Uncontrolled Evaluation of a Mental Health Literacy Course.</w:t>
      </w:r>
      <w:r>
        <w:t xml:space="preserve">”</w:t>
      </w:r>
      <w:r>
        <w:t xml:space="preserve"> </w:t>
      </w:r>
      <w:r>
        <w:t xml:space="preserve">International Journal of Mental Health Systems 12, no. 1 (2018): 2. https://doi.org/10.1186/s13033-018-0180-8.</w:t>
      </w:r>
      <w:r>
        <w:t xml:space="preserve"> </w:t>
      </w:r>
      <w:r>
        <w:t xml:space="preserve">Van, Connie, Daniel Costa, Penny Abbott, Bernadette Mitchell, and Ines Krass.</w:t>
      </w:r>
      <w:r>
        <w:t xml:space="preserve"> </w:t>
      </w:r>
      <w:r>
        <w:t xml:space="preserve">“</w:t>
      </w:r>
      <w:r>
        <w:t xml:space="preserve">Community Pharmacist Attitudes towards Collaboration with General Practitioners: Development and Validation of a Measure and a Model.</w:t>
      </w:r>
      <w:r>
        <w:t xml:space="preserve">”</w:t>
      </w:r>
      <w:r>
        <w:t xml:space="preserve"> </w:t>
      </w:r>
      <w:r>
        <w:t xml:space="preserve">BMC Health Services Research 12, no. 1 (2012): 320. https://doi.org/10.1186/1472-6963-12-320.</w:t>
      </w:r>
      <w:r>
        <w:t xml:space="preserve"> </w:t>
      </w:r>
      <w:r>
        <w:t xml:space="preserve">Younis, Maha S.</w:t>
      </w:r>
      <w:r>
        <w:t xml:space="preserve"> </w:t>
      </w:r>
      <w:r>
        <w:t xml:space="preserve">“</w:t>
      </w:r>
      <w:r>
        <w:t xml:space="preserve">Tears of Ishtar: Women’s Mental Health in Iraq.</w:t>
      </w:r>
      <w:r>
        <w:t xml:space="preserve">”</w:t>
      </w:r>
      <w:r>
        <w:t xml:space="preserve"> </w:t>
      </w:r>
      <w:r>
        <w:t xml:space="preserve">The Lancet. Psychiatry 2, no. 2 (2015): 119–21. https://doi.org/10.1016/S2215-0366(14)00061-3.</w:t>
      </w:r>
      <w:r>
        <w:t xml:space="preserve"> </w:t>
      </w:r>
      <w:r>
        <w:t xml:space="preserve">Younis, Maha S., and Deema Khunda.</w:t>
      </w:r>
      <w:r>
        <w:t xml:space="preserve"> </w:t>
      </w:r>
      <w:r>
        <w:t xml:space="preserve">“</w:t>
      </w:r>
      <w:r>
        <w:t xml:space="preserve">Maha Sulaiman Younis: A Personal History of Psychiatry in Iraq through War and Conflict.</w:t>
      </w:r>
      <w:r>
        <w:t xml:space="preserve">”</w:t>
      </w:r>
      <w:r>
        <w:t xml:space="preserve"> </w:t>
      </w:r>
      <w:r>
        <w:t xml:space="preserve">GLOBAL PSYCHIATRY ARCHIVES 3, no. 2 (2020): 113–18. https://doi.org/10.52095/gpa.2020.1355.</w:t>
      </w:r>
      <w:r>
        <w:t xml:space="preserve"> </w:t>
      </w:r>
      <w:r>
        <w:t xml:space="preserve">Younis, Maha S., Riyadh K. Lafta, and Saba Dhiaa.</w:t>
      </w:r>
      <w:r>
        <w:t xml:space="preserve"> </w:t>
      </w:r>
      <w:r>
        <w:t xml:space="preserve">“</w:t>
      </w:r>
      <w:r>
        <w:t xml:space="preserve">Faith Healers Are Taking over the Role of Psychiatrists in Iraq.</w:t>
      </w:r>
      <w:r>
        <w:t xml:space="preserve">”</w:t>
      </w:r>
      <w:r>
        <w:t xml:space="preserve"> </w:t>
      </w:r>
      <w:r>
        <w:t xml:space="preserve">Qatar Medical Journal 2019, no. 3 (2020). https://doi.org/10.5339/qmj.2019.13.</w:t>
      </w:r>
      <w:r>
        <w:t xml:space="preserve"> </w:t>
      </w:r>
      <w:r>
        <w:t xml:space="preserve">Younis, Maha Sulaiman, and Riyadh Khudhiar Lafta.</w:t>
      </w:r>
      <w:r>
        <w:t xml:space="preserve"> </w:t>
      </w:r>
      <w:r>
        <w:t xml:space="preserve">“</w:t>
      </w:r>
      <w:r>
        <w:t xml:space="preserve">The Plight of Women in Iraq: Gender Disparity, Violence, and Mental Health.</w:t>
      </w:r>
      <w:r>
        <w:t xml:space="preserve">”</w:t>
      </w:r>
      <w:r>
        <w:t xml:space="preserve"> </w:t>
      </w:r>
      <w:r>
        <w:t xml:space="preserve">International Journal of Social Psychiatry 67, no. 8 (2021): 977–83. https://doi.org/10.1177/00207640211003602.</w:t>
      </w:r>
      <w:r>
        <w:t xml:space="preserve"> </w:t>
      </w:r>
      <w:r>
        <w:t xml:space="preserve">Zolezzi, Monica, Maha Alamri, Shahd Shaar, and Daniel Rainkie.</w:t>
      </w:r>
      <w:r>
        <w:t xml:space="preserve"> </w:t>
      </w:r>
      <w:r>
        <w:t xml:space="preserve">“</w:t>
      </w:r>
      <w:r>
        <w:t xml:space="preserve">Stigma Associated with Mental Illness and Its Treatment in the Arab Culture: A Systematic Review.</w:t>
      </w:r>
      <w:r>
        <w:t xml:space="preserve">”</w:t>
      </w:r>
      <w:r>
        <w:t xml:space="preserve"> </w:t>
      </w:r>
      <w:r>
        <w:t xml:space="preserve">International Journal of Social Psychiatry 64, no. 6 (2018): 597–609. https://doi.org/10.1177/0020764018789200.</w:t>
      </w:r>
      <w:r>
        <w:t xml:space="preserve"> </w:t>
      </w:r>
      <w:r>
        <w:t xml:space="preserve">Zygmunt, Annette, Mark Olfson, Carol A. Boyer, and David Mechanic.</w:t>
      </w:r>
      <w:r>
        <w:t xml:space="preserve"> </w:t>
      </w:r>
      <w:r>
        <w:t xml:space="preserve">“</w:t>
      </w:r>
      <w:r>
        <w:t xml:space="preserve">Interventions to Improve Medication Adherence in Schizophrenia.</w:t>
      </w:r>
      <w:r>
        <w:t xml:space="preserve">”</w:t>
      </w:r>
      <w:r>
        <w:t xml:space="preserve"> </w:t>
      </w:r>
      <w:r>
        <w:t xml:space="preserve">American Journal of Psychiatry 159, no. 10 (2002): 1653–64. https://doi.org/10.1176/appi.ajp.159.10.1653.</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2026-05-08T01:20:33Z</dcterms:created>
  <dcterms:modified xsi:type="dcterms:W3CDTF">2026-05-08T01:20:33Z</dcterms:modified>
</cp:coreProperties>
</file>

<file path=docProps/custom.xml><?xml version="1.0" encoding="utf-8"?>
<Properties xmlns="http://schemas.openxmlformats.org/officeDocument/2006/custom-properties" xmlns:vt="http://schemas.openxmlformats.org/officeDocument/2006/docPropsVTypes"/>
</file>