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t>ABSTRACT</w:t>
      </w:r>
    </w:p>
    <w:p>
      <w:pPr>
        <w:spacing w:line="360" w:lineRule="auto"/>
        <w:ind w:firstLine="720"/>
      </w:pPr>
      <w:r>
        <w:t>Psychiatric medication acceptance in Iraq remains a public health challenge because mental health need is high while treatment hesitation persists. This study examined psychiatric medication use and public acceptance in Iraq using an original cross-sectional survey and literature review. We analyzed responses from 877 participants. The analysis used descriptive statistics, hierarchical logistic regression, multinomial logistic regression, and exploratory Users vs Non-Users and stigma-phenotype analyses.</w:t>
      </w:r>
    </w:p>
    <w:p>
      <w:pPr>
        <w:spacing w:line="360" w:lineRule="auto"/>
        <w:ind w:firstLine="720"/>
      </w:pPr>
      <w:r>
        <w:t>The sample was mostly female (about 72%), aged 18–25 years (about 75%), and university educated (about 79%). Recommendation willingness was 57.65%, with 11.62% not sure and 30.72% unwilling. Safety and acceptability were lower: only 23.65% viewed psychiatric medication as safe and 30.80% as acceptable, while unsafe and unacceptable responses were 45.12% and 51.49%, respectively. In the primary hierarchical model (complete-case n=647), recommendation was positively associated with female gender (adjusted OR 1.516) and belief that modern medications are safer than older ones (Q13: adjusted OR 1.507). Recommendation was negatively associated with fear (adjusted OR 0.504) and belief that doctors prescribe more than necessary (Q11: adjusted OR 0.830). In multinomial analysis (n=837), dependence concern (Q12) was associated with an RRR below 1 for “Yes” vs “No” recommendation (RRR 0.794). In the Users vs Non-Users analysis, users showed more favorable beliefs than non-users, especially on modern medication safety.</w:t>
      </w:r>
    </w:p>
    <w:p>
      <w:pPr>
        <w:spacing w:line="360" w:lineRule="auto"/>
        <w:ind w:firstLine="720"/>
      </w:pPr>
      <w:r>
        <w:t>These findings indicate ambivalent public attitudes rather than uniform rejection. The main barriers are fear, mistrust, and dependence concerns, more than demographics.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Heading1"/>
        <w:ind w:firstLine="0"/>
      </w:pPr>
      <w:r>
        <w:t>I. INTRODUCTION</w:t>
      </w:r>
    </w:p>
    <w:p>
      <w:pPr>
        <w:pStyle w:val="Heading2"/>
        <w:ind w:firstLine="0"/>
      </w:pPr>
      <w:r>
        <w:t>A. Background and Context</w:t>
      </w:r>
    </w:p>
    <w:p>
      <w:pPr>
        <w:spacing w:line="360" w:lineRule="auto"/>
        <w:ind w:firstLine="720"/>
      </w:pPr>
      <w:r>
        <w:t>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spacing w:line="360" w:lineRule="auto"/>
        <w:ind w:firstLine="720"/>
      </w:pPr>
      <w:r>
        <w:t>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spacing w:line="360" w:lineRule="auto"/>
        <w:ind w:firstLine="720"/>
      </w:pPr>
      <w:r>
        <w:t>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spacing w:line="360" w:lineRule="auto"/>
        <w:ind w:firstLine="720"/>
      </w:pPr>
      <w:r>
        <w:t>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p>
      <w:pPr>
        <w:pStyle w:val="Heading2"/>
        <w:ind w:firstLine="0"/>
      </w:pPr>
      <w:r>
        <w:t>B. Problem Statement</w:t>
      </w:r>
    </w:p>
    <w:p>
      <w:pPr>
        <w:spacing w:line="360" w:lineRule="auto"/>
        <w:ind w:firstLine="720"/>
      </w:pPr>
      <w:r>
        <w:t>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spacing w:line="360" w:lineRule="auto"/>
        <w:ind w:firstLine="720"/>
      </w:pPr>
      <w:r>
        <w:t>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p>
      <w:pPr>
        <w:pStyle w:val="Heading2"/>
        <w:ind w:firstLine="0"/>
      </w:pPr>
      <w:r>
        <w:t>C. Study Aim and Research Questions</w:t>
      </w:r>
    </w:p>
    <w:p>
      <w:pPr>
        <w:spacing w:line="360" w:lineRule="auto"/>
        <w:ind w:firstLine="720"/>
      </w:pPr>
      <w:r>
        <w:t>This study aims to measure psychiatric medication acceptance in Iraq and identify factors associated with willingness to recommend psychiatric medication when needed.</w:t>
      </w:r>
    </w:p>
    <w:p>
      <w:pPr>
        <w:spacing w:line="360" w:lineRule="auto"/>
        <w:ind w:firstLine="720"/>
      </w:pPr>
      <w:r>
        <w:t>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p>
      <w:pPr>
        <w:pStyle w:val="Heading2"/>
        <w:ind w:firstLine="0"/>
      </w:pPr>
      <w:r>
        <w:t>D. Study Significance</w:t>
      </w:r>
    </w:p>
    <w:p>
      <w:pPr>
        <w:spacing w:line="360" w:lineRule="auto"/>
        <w:ind w:firstLine="720"/>
      </w:pPr>
      <w:r>
        <w:t>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spacing w:line="360" w:lineRule="auto"/>
        <w:ind w:firstLine="720"/>
      </w:pPr>
      <w:r>
        <w:t>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p>
      <w:pPr>
        <w:pStyle w:val="Heading1"/>
        <w:ind w:firstLine="0"/>
      </w:pPr>
      <w:r>
        <w:t>II. LITERATURE REVIEW (SUPPORTIVE CONTEXT)</w:t>
      </w:r>
    </w:p>
    <w:p>
      <w:pPr>
        <w:pStyle w:val="Heading2"/>
        <w:ind w:firstLine="0"/>
      </w:pPr>
      <w:r>
        <w:t>A. Stigma and Public Attitudes</w:t>
      </w:r>
    </w:p>
    <w:p>
      <w:pPr>
        <w:spacing w:line="360" w:lineRule="auto"/>
        <w:ind w:firstLine="720"/>
      </w:pPr>
      <w:r>
        <w:t>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spacing w:line="360" w:lineRule="auto"/>
        <w:ind w:firstLine="720"/>
      </w:pPr>
      <w:r>
        <w:t>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spacing w:line="360" w:lineRule="auto"/>
        <w:ind w:firstLine="720"/>
      </w:pPr>
      <w:r>
        <w:t>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spacing w:line="360" w:lineRule="auto"/>
        <w:ind w:firstLine="720"/>
      </w:pPr>
      <w:r>
        <w:t>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p>
      <w:pPr>
        <w:pStyle w:val="Heading2"/>
        <w:ind w:firstLine="0"/>
      </w:pPr>
      <w:r>
        <w:t>B. Medication Beliefs and Acceptance</w:t>
      </w:r>
    </w:p>
    <w:p>
      <w:pPr>
        <w:spacing w:line="360" w:lineRule="auto"/>
        <w:ind w:firstLine="720"/>
      </w:pPr>
      <w:r>
        <w:t>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spacing w:line="360" w:lineRule="auto"/>
        <w:ind w:firstLine="720"/>
      </w:pPr>
      <w:r>
        <w:t>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spacing w:line="360" w:lineRule="auto"/>
        <w:ind w:firstLine="720"/>
      </w:pPr>
      <w:r>
        <w:t>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p>
      <w:pPr>
        <w:pStyle w:val="Heading2"/>
        <w:ind w:firstLine="0"/>
      </w:pPr>
      <w:r>
        <w:t>C. Adherence and Determinants</w:t>
      </w:r>
    </w:p>
    <w:p>
      <w:pPr>
        <w:spacing w:line="360" w:lineRule="auto"/>
        <w:ind w:firstLine="720"/>
      </w:pPr>
      <w:r>
        <w:t>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spacing w:line="360" w:lineRule="auto"/>
        <w:ind w:firstLine="720"/>
      </w:pPr>
      <w:r>
        <w:t>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spacing w:line="360" w:lineRule="auto"/>
        <w:ind w:firstLine="720"/>
      </w:pPr>
      <w:r>
        <w:t>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p>
      <w:pPr>
        <w:pStyle w:val="Heading2"/>
        <w:ind w:firstLine="0"/>
      </w:pPr>
      <w:r>
        <w:t>D. Iraqi and Regional Service Realities</w:t>
      </w:r>
    </w:p>
    <w:p>
      <w:pPr>
        <w:spacing w:line="360" w:lineRule="auto"/>
        <w:ind w:firstLine="720"/>
      </w:pPr>
      <w:r>
        <w:t>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spacing w:line="360" w:lineRule="auto"/>
        <w:ind w:firstLine="720"/>
      </w:pPr>
      <w:r>
        <w:t>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spacing w:line="360" w:lineRule="auto"/>
        <w:ind w:firstLine="720"/>
      </w:pPr>
      <w:r>
        <w:t>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Heading1"/>
        <w:ind w:firstLine="0"/>
      </w:pPr>
      <w:r>
        <w:t>III. METHODOLOGY (ORIGINAL CROSS-SECTIONAL STUDY)</w:t>
      </w:r>
    </w:p>
    <w:p>
      <w:pPr>
        <w:pStyle w:val="Heading2"/>
        <w:ind w:firstLine="0"/>
      </w:pPr>
      <w:r>
        <w:t>A. Study Design and Setting</w:t>
      </w:r>
    </w:p>
    <w:p>
      <w:pPr>
        <w:spacing w:line="360" w:lineRule="auto"/>
        <w:ind w:firstLine="720"/>
      </w:pPr>
      <w:r>
        <w:t>This study used an original cross-sectional survey design to examine psychiatric medication use and public acceptance in Iraq. The analytic dataset included 877 respondent records after questionnaire cleaning and standardization, as documented in the study’s unified analysis outputs and preprocessing workflow. The design was observational and non-interventional, and all analyses were conducted on de-identified survey records. The available study files did not report a defined study location or a clearly dated data-collection period.</w:t>
      </w:r>
    </w:p>
    <w:p>
      <w:pPr>
        <w:pStyle w:val="Heading2"/>
        <w:ind w:firstLine="0"/>
      </w:pPr>
      <w:r>
        <w:t>B. Participants and Sampling</w:t>
      </w:r>
    </w:p>
    <w:p>
      <w:pPr>
        <w:spacing w:line="360" w:lineRule="auto"/>
        <w:ind w:firstLine="720"/>
      </w:pPr>
      <w:r>
        <w:t>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 The available source documents did not include explicit participant eligibility criteria or recruitment methods. Therefore, this section reports the achieved analytic sample rather than a protocol-level enrollment flow.</w:t>
      </w:r>
    </w:p>
    <w:p>
      <w:pPr>
        <w:pStyle w:val="Heading2"/>
        <w:ind w:firstLine="0"/>
      </w:pPr>
      <w:r>
        <w:t>C. Survey Instrument</w:t>
      </w:r>
    </w:p>
    <w:p>
      <w:pPr>
        <w:spacing w:line="360" w:lineRule="auto"/>
        <w:ind w:firstLine="720"/>
      </w:pPr>
      <w:r>
        <w:t>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spacing w:line="360" w:lineRule="auto"/>
        <w:ind w:firstLine="720"/>
      </w:pPr>
      <w:r>
        <w:t>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Heading2"/>
        <w:ind w:firstLine="0"/>
      </w:pPr>
      <w:r>
        <w:t>D. Variables and Operational Definitions</w:t>
      </w:r>
    </w:p>
    <w:p>
      <w:pPr>
        <w:spacing w:line="360" w:lineRule="auto"/>
        <w:ind w:firstLine="720"/>
      </w:pPr>
      <w:r>
        <w:t>The primary outcome for the main binary logistic models was recommendation willingness, coded from the recommendation item as yes versus no. In the multinomial model, the same outcome preserved three response categories: no, yes, and not sure.</w:t>
      </w:r>
    </w:p>
    <w:p>
      <w:pPr>
        <w:spacing w:line="360" w:lineRule="auto"/>
        <w:ind w:firstLine="720"/>
      </w:pPr>
      <w:r>
        <w:t>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spacing w:line="360" w:lineRule="auto"/>
        <w:ind w:firstLine="720"/>
      </w:pPr>
      <w:r>
        <w:t>To avoid conceptual overlap with the recommendation outcome, two proximal items, perceived safety and disease-model acceptability, were excluded from the primary hierarchical model and tested separately in a sensitivity model.</w:t>
      </w:r>
    </w:p>
    <w:p>
      <w:pPr>
        <w:pStyle w:val="Heading2"/>
        <w:ind w:firstLine="0"/>
      </w:pPr>
      <w:r>
        <w:t>E. Data Management and Statistical Analysis</w:t>
      </w:r>
    </w:p>
    <w:p>
      <w:pPr>
        <w:spacing w:line="360" w:lineRule="auto"/>
        <w:ind w:firstLine="720"/>
      </w:pPr>
      <w:r>
        <w:t>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spacing w:line="360" w:lineRule="auto"/>
        <w:ind w:firstLine="720"/>
      </w:pPr>
      <w:r>
        <w:t>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w:t>
      </w:r>
    </w:p>
    <w:p>
      <w:pPr>
        <w:spacing w:line="360" w:lineRule="auto"/>
        <w:ind w:firstLine="720"/>
      </w:pPr>
      <w:r>
        <w:t>The analysis sequence followed the project’s documented analysis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spacing w:line="360" w:lineRule="auto"/>
        <w:ind w:firstLine="720"/>
      </w:pPr>
      <w:r>
        <w:t>Second, we estimated a sensitivity logistic model that added perceived safety and acceptability items to test robustness while acknowledging their conceptual proximity to the recommendation outcome. The sensitivity complete-case sample was 406 respondents.</w:t>
      </w:r>
    </w:p>
    <w:p>
      <w:pPr>
        <w:spacing w:line="360" w:lineRule="auto"/>
        <w:ind w:firstLine="720"/>
      </w:pPr>
      <w:r>
        <w:t>Third, we estimated multinomial logistic regression to preserve the no, yes, and not sure structure of recommendation responses and reported relative risk ratios with 95% confidence intervals. The multinomial complete-case sample was 837 respondents.</w:t>
      </w:r>
    </w:p>
    <w:p>
      <w:pPr>
        <w:spacing w:line="360" w:lineRule="auto"/>
        <w:ind w:firstLine="720"/>
      </w:pPr>
      <w:r>
        <w:t>Fourth, we tested the contact hypothesis as Users vs Non-Users by comparing core belief items with Mann-Whitney U tests and Cliff’s delta effect sizes, with supplementary chi-square and Cramer’s V statistics for association structure.</w:t>
      </w:r>
    </w:p>
    <w:p>
      <w:pPr>
        <w:spacing w:line="360" w:lineRule="auto"/>
        <w:ind w:firstLine="720"/>
      </w:pPr>
      <w:r>
        <w:t>Fifth, we conducted exploratory stigma-phenotype profiling using k-means clustering on standardized core belief items, selected cluster number by silhouette score, and reported cluster means and sizes as exploratory findings.</w:t>
      </w:r>
    </w:p>
    <w:p>
      <w:pPr>
        <w:pStyle w:val="Heading2"/>
        <w:ind w:firstLine="0"/>
      </w:pPr>
      <w:r>
        <w:t>F. Ethical Considerations</w:t>
      </w:r>
    </w:p>
    <w:p>
      <w:pPr>
        <w:spacing w:line="360" w:lineRule="auto"/>
        <w:ind w:firstLine="720"/>
      </w:pPr>
      <w:r>
        <w:t>The analysis used de-identified survey data and reported aggregate findings only. No personal identifiers were used in the analytic outputs. The available dataset was handled as anonymized observational data for academic research use. Formal ethics-approval metadata and explicit participant-consent documentation were not included in the available study files. Despite this documentation gap, the analysis followed ethical principles for anonymized secondary-data use and aggregate-only reporting.</w:t>
      </w:r>
    </w:p>
    <w:p>
      <w:pPr>
        <w:pStyle w:val="Heading2"/>
        <w:ind w:firstLine="0"/>
      </w:pPr>
      <w:r>
        <w:t>G. Methodological Limitations</w:t>
      </w:r>
    </w:p>
    <w:p>
      <w:pPr>
        <w:spacing w:line="360" w:lineRule="auto"/>
        <w:ind w:firstLine="720"/>
      </w:pPr>
      <w:r>
        <w:t>Because the design is cross-sectional, associations should not be interpreted as causal effects. Complete-case modeling can reduce sample size for specific analyses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Heading1"/>
        <w:ind w:firstLine="0"/>
      </w:pPr>
      <w:r>
        <w:t>IV. RESULTS</w:t>
      </w:r>
    </w:p>
    <w:p>
      <w:pPr>
        <w:pStyle w:val="Heading2"/>
        <w:ind w:firstLine="0"/>
      </w:pPr>
      <w:r>
        <w:t>IV.A Sample Profile and Descriptive Statistics</w:t>
      </w:r>
    </w:p>
    <w:p>
      <w:pPr>
        <w:spacing w:line="360" w:lineRule="auto"/>
        <w:ind w:firstLine="720"/>
      </w:pPr>
      <w:r>
        <w:t>The final survey dataset included 877 respondents. Demographic percentages were calculated from valid responses for each variable, not from the full sample in all cases (gender n=870, age n=873, educational level n=873, marital status n=872). Gender distribution was 71.95% female (n=626) and 28.05% male (n=244). Age distribution was concentrated in younger participants, with 74.57% aged 18–25 years (n=651), 17.53% aged 26–35 years (n=153), 5.04% aged 36–45 years (n=44), 2.75% aged 46–60 years (n=24), and 0.11% older than 60 years (n=1). Educational level was primarily university or postgraduate, with 78.92% university (n=689) and 13.52% postgraduate (n=118), while high school represented 6.99% (n=61) and primary represented 0.57% (n=5). Marital status was 78.44% single (n=684), 20.99% married (n=183), 0.34% divorced (n=3), and 0.23% widowed (n=2).</w:t>
      </w:r>
    </w:p>
    <w:p>
      <w:pPr>
        <w:spacing w:line="360" w:lineRule="auto"/>
        <w:ind w:firstLine="720"/>
      </w:pPr>
      <w:r>
        <w:t>Across core belief items, agreement levels were high for two statements and moderate for one statement. For Q11, 51.55% agreed, 34.67% were neutral, and 13.78% disagreed. For Q12, 67.40% agreed, 27.65% were neutral, and 4.95% disagreed. For Q13, 51.95% agreed, 35.86% were neutral, and 12.18% disagreed. The main question structure is shown in [figures/27_donut_main_questions.png](../figures/27_donut_main_questions.png). The gender-stratified recommendation pattern is shown in [figures/31_gender_recommendation_breakdown.png](../figures/31_gender_recommendation_breakdown.png). The diverging Likert distribution for Q11 and Q13 is shown in [figures/19_likert_diverging_q11_q13.png](../figures/19_likert_diverging_q11_q13.png).</w:t>
      </w:r>
    </w:p>
    <w:p>
      <w:pPr>
        <w:pStyle w:val="Heading2"/>
        <w:ind w:firstLine="0"/>
      </w:pPr>
      <w:r>
        <w:t>IV.B Main Outcome Distributions</w:t>
      </w:r>
    </w:p>
    <w:p>
      <w:pPr>
        <w:spacing w:line="360" w:lineRule="auto"/>
        <w:ind w:firstLine="720"/>
      </w:pPr>
      <w:r>
        <w:t>The primary attitude outcomes showed mixed acceptance patterns. For safety perception, 23.65% answered yes, 31.23% answered not sure, and 45.12% answered no. For acceptability, 30.80% answered yes, 17.70% answered not sure, and 51.49% answered no. For recommendation willingness, 57.65% answered yes, 11.62% answered not sure, and 30.72% answered no. For social concerns, 37.77% answered yes, 13.09% answered not sure, and 49.14% answered no.</w:t>
      </w:r>
    </w:p>
    <w:p>
      <w:pPr>
        <w:spacing w:line="360" w:lineRule="auto"/>
        <w:ind w:firstLine="720"/>
      </w:pPr>
      <w:r>
        <w:t>Bivariate correlations among core variables were as follows: Q11 with Q12, r=0.269; Q13 with Q11, r=-0.066; Q13 with Q12, r=-0.038; recommendation with Q11, r=-0.086; recommendation with Q12, r=-0.087; recommendation with Q13, r=0.077; acceptance with recommendation, r=0.232; and concern with recommendation, r=-0.042.</w:t>
      </w:r>
    </w:p>
    <w:p>
      <w:pPr>
        <w:pStyle w:val="Heading2"/>
        <w:ind w:firstLine="0"/>
      </w:pPr>
      <w:r>
        <w:t>IV.C Hierarchical Logistic Regression (Primary Model)</w:t>
      </w:r>
    </w:p>
    <w:p>
      <w:pPr>
        <w:spacing w:line="360" w:lineRule="auto"/>
        <w:ind w:firstLine="720"/>
      </w:pPr>
      <w:r>
        <w:t>The primary hierarchical logistic regression used a binary recommendation outcome (Q8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spacing w:line="360" w:lineRule="auto"/>
        <w:ind w:firstLine="720"/>
      </w:pPr>
      <w:r>
        <w:t>In the final primary block, gender, Q11, Q13, and fear were statistically significant predictors. Gender had adjusted OR 1.516 (95% CI 1.043 to 2.205, p=0.0294). Q11 had adjusted OR 0.830 (95% CI 0.696 to 0.991, p=0.0396). Q13 had adjusted OR 1.507 (95% CI 1.248 to 1.820, p&lt;0.0001). Fear had adjusted OR 0.504 (95% CI 0.358 to 0.711, p&lt;0.0001). Age, educational level, marital status, prior use, and Q12 were not statistically significant in this final block. The adjusted effect profile is visualized in [figures/03_primary_adjusted_or_forest.png](../figures/03_primary_adjusted_or_forest.png).</w:t>
      </w:r>
    </w:p>
    <w:p>
      <w:pPr>
        <w:spacing w:line="360" w:lineRule="auto"/>
        <w:ind w:firstLine="720"/>
      </w:pPr>
      <w:r>
        <w:t>A separate sensitivity model that added Q6 and Q7 used complete-case n=406 and produced McFadden pseudo R² of 0.2440 (fit type: mle). This model was reported as a sensitivity analysis because Q6 and Q7 are proximal to the recommendation outcome.</w:t>
      </w:r>
    </w:p>
    <w:p>
      <w:pPr>
        <w:pStyle w:val="Heading2"/>
        <w:ind w:firstLine="0"/>
      </w:pPr>
      <w:r>
        <w:t>IV.D Multinomial Logistic Regression (No/Yes/Not Sure Structure)</w:t>
      </w:r>
    </w:p>
    <w:p>
      <w:pPr>
        <w:spacing w:line="360" w:lineRule="auto"/>
        <w:ind w:firstLine="720"/>
      </w:pPr>
      <w:r>
        <w:t>Multinomial logistic regression preserved the three-category recommendation structure with complete-case n=837 and model log-likelihood -748.910 (fit type: mle). The outcome categories were coded as No (reference), Yes, and Not sure, corresponding to Q8=0, Q8=1, and Q8=2.</w:t>
      </w:r>
    </w:p>
    <w:p>
      <w:pPr>
        <w:spacing w:line="360" w:lineRule="auto"/>
        <w:ind w:firstLine="720"/>
      </w:pPr>
      <w:r>
        <w:t>For the first non-reference equation (Q8=1 Yes vs reference No), gender was positively associated with response likelihood (RRR 1.558, 95% CI 1.097 to 2.214, p=0.0133), Q12 was inversely associated (RRR 0.794, 95% CI 0.651 to 0.970, p=0.0239), and Q13 was positively associated (RRR 1.585, 95% CI 1.328 to 1.892, p&lt;0.0001). Other predictors in this equation were not statistically significant.</w:t>
      </w:r>
    </w:p>
    <w:p>
      <w:pPr>
        <w:spacing w:line="360" w:lineRule="auto"/>
        <w:ind w:firstLine="720"/>
      </w:pPr>
      <w:r>
        <w:t>For the second non-reference equation (Q8=2 Not sure vs reference No), gender remained statistically significant (RRR 2.171, 95% CI 1.211 to 3.894, p=0.0093), while age, education, marital status, prior use, Q11, Q12, and Q13 were not statistically significant. The comparative predictor pattern is displayed in [figures/08_multinomial_key_predictor_comparison.png](../figures/08_multinomial_key_predictor_comparison.png).</w:t>
      </w:r>
    </w:p>
    <w:p>
      <w:pPr>
        <w:pStyle w:val="Heading2"/>
        <w:ind w:firstLine="0"/>
      </w:pPr>
      <w:r>
        <w:t>IV.E The Contact Hypothesis (Users vs Non-Users)</w:t>
      </w:r>
    </w:p>
    <w:p>
      <w:pPr>
        <w:spacing w:line="360" w:lineRule="auto"/>
        <w:ind w:firstLine="720"/>
      </w:pPr>
      <w:r>
        <w:t>The contact analysis compared Users vs Non-Users using prior use status (Users n=127, Non-Users n=716). Mann-Whitney U tests were statistically significant for Q11, Q12, and Q13, while chi-square tests were statistically significant for Q12 and Q13 but not for Q11.</w:t>
      </w:r>
    </w:p>
    <w:p>
      <w:pPr>
        <w:spacing w:line="360" w:lineRule="auto"/>
        <w:ind w:firstLine="720"/>
      </w:pPr>
      <w:r>
        <w:t>For Q11, the Users median was 3.00 and the Non-Users median was 4.00, with Mann-Whitney U p=0.0428, Cliff’s delta -0.108, chi-square p=0.1170, Cramer’s V=0.094, and N=843. For Q12, both medians were 4.00, with Mann-Whitney U p=0.0317, Cliff’s delta -0.112, chi-square p=0.0428, Cramer’s V=0.108, and N=840. For Q13, the Users median was 4.00 and the Non-Users median was 3.00, with Mann-Whitney U p=0.0002, Cliff’s delta 0.198, chi-square p=0.0027, Cramer’s V=0.139, and N=842.</w:t>
      </w:r>
    </w:p>
    <w:p>
      <w:pPr>
        <w:pStyle w:val="Heading2"/>
        <w:ind w:firstLine="0"/>
      </w:pPr>
      <w:r>
        <w:t>IV.F Exploratory Stigma Phenotypes (Clearly Labeled)</w:t>
      </w:r>
    </w:p>
    <w:p>
      <w:pPr>
        <w:spacing w:line="360" w:lineRule="auto"/>
        <w:ind w:firstLine="720"/>
      </w:pPr>
      <w:r>
        <w:t>Exploratory k-means clustering on standardized Q11–Q13 evaluated k=2, k=3, and k=4. Silhouette scores were 0.274 for k=2, 0.272 for k=3, and 0.303 for k=4, so k=4 was selected by maximum silhouette criterion.</w:t>
      </w:r>
    </w:p>
    <w:p>
      <w:pPr>
        <w:spacing w:line="360" w:lineRule="auto"/>
        <w:ind w:firstLine="720"/>
      </w:pPr>
      <w:r>
        <w:t>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[figures/14_profile_means_heatmap.png](../figures/14_profile_means_heatmap.png).</w:t>
      </w:r>
    </w:p>
    <w:p>
      <w:pPr>
        <w:pStyle w:val="Heading2"/>
        <w:ind w:firstLine="0"/>
      </w:pPr>
      <w:r>
        <w:t>IV.G Results Summary</w:t>
      </w:r>
    </w:p>
    <w:p>
      <w:pPr>
        <w:spacing w:line="360" w:lineRule="auto"/>
        <w:ind w:firstLine="720"/>
      </w:pPr>
      <w:r>
        <w:t>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r>
        <w:br w:type="page"/>
      </w:r>
    </w:p>
    <w:p>
      <w:pPr>
        <w:pStyle w:val="Heading1"/>
        <w:ind w:firstLine="0"/>
      </w:pPr>
      <w:r>
        <w:t>V. DISCUSSION</w:t>
      </w:r>
    </w:p>
    <w:p>
      <w:pPr>
        <w:pStyle w:val="Heading2"/>
        <w:ind w:firstLine="0"/>
      </w:pPr>
      <w:r>
        <w:t>A. Interpretation of Primary Findings</w:t>
      </w:r>
    </w:p>
    <w:p>
      <w:pPr>
        <w:spacing w:line="360" w:lineRule="auto"/>
        <w:ind w:firstLine="720"/>
      </w:pPr>
      <w:r>
        <w:t>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spacing w:line="360" w:lineRule="auto"/>
        <w:ind w:firstLine="720"/>
      </w:pPr>
      <w:r>
        <w:t>The primary regression results clarify which beliefs matter most in this ambivalence. In the hierarchical logistic model, female gender increased the odds of recommending medication (adjusted OR 1.516, p=0.0294). Agreement that modern psychiatric medicines are safer than older ones (Q13) showed a strong positive association (adjusted OR 1.507, p&lt;0.0001). By contrast, fear reduced recommendation odds (adjusted OR 0.504, p&lt;0.0001), and stronger belief that doctors overprescribe (Q11) also reduced recommendation (adjusted OR 0.830, p=0.0396). These findings show that recommendation behavior in Iraq is shaped more by trust and safety perception than by basic demographics.</w:t>
      </w:r>
    </w:p>
    <w:p>
      <w:pPr>
        <w:spacing w:line="360" w:lineRule="auto"/>
        <w:ind w:firstLine="720"/>
      </w:pPr>
      <w:r>
        <w:t>The multinomial model adds useful detail for hesitant respondents. For recommendation “Yes” vs “No” (reference category), Q13 remained a strong positive predictor (RRR 1.585, p&lt;0.0001), while dependence concerns (Q12) were associated with an RRR below 1 for “Yes” vs “No” (RRR 0.794, p=0.0239). For the “Not sure” category, gender remained significant (RRR 2.171, p=0.0093), but most attitudinal predictors were weaker. This indicates that uncertainty is not only a neutral midpoint; it reflects unresolved risk beliefs that require targeted communication.</w:t>
      </w:r>
    </w:p>
    <w:p>
      <w:pPr>
        <w:spacing w:line="360" w:lineRule="auto"/>
        <w:ind w:firstLine="720"/>
      </w:pPr>
      <w:r>
        <w:t>The Users vs Non-Users analysis supports a contact effect. Compared with non-users, users reported lower overprescribing concerns (Q11 median 3 vs 4, p=0.0428) and lower dependence concern intensity (Q12 p=0.0317), and they were more likely to agree that modern medications are safer (Q13 median 4 vs 3, p=0.0002). Effect sizes were small overall, with the largest difference on Q13 (Cliff’s delta 0.198, a small-to-moderate effect showing more positive safety beliefs among users). In practical terms, direct or family-level exposure to psychiatric medication appears to improve trust, but it does not fully remove stigma.</w:t>
      </w:r>
    </w:p>
    <w:p>
      <w:pPr>
        <w:pStyle w:val="Heading2"/>
        <w:ind w:firstLine="0"/>
      </w:pPr>
      <w:r>
        <w:t>B. Comparison With Iraqi and Regional Literature</w:t>
      </w:r>
    </w:p>
    <w:p>
      <w:pPr>
        <w:spacing w:line="360" w:lineRule="auto"/>
        <w:ind w:firstLine="720"/>
      </w:pPr>
      <w:r>
        <w:t>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spacing w:line="360" w:lineRule="auto"/>
        <w:ind w:firstLine="720"/>
      </w:pPr>
      <w:r>
        <w:t>Regional literature helps explain why concern about dependence and overprescribing remained strong in our models. Arab mental health literacy studies report that misconceptions about psychiatric treatment, including fears of addiction and social harm, remain common even among healthcare trainees (Elyamani et al., 2021). Our Q12 distribution, where 67.40% agreed that most psychiatric medications cause dependence, matches this regional pattern. At the same time, the positive effect of Q13 suggests that confidence in newer medications can partially offset this concern when communication is clear.</w:t>
      </w:r>
    </w:p>
    <w:p>
      <w:pPr>
        <w:spacing w:line="360" w:lineRule="auto"/>
        <w:ind w:firstLine="720"/>
      </w:pPr>
      <w:r>
        <w:t>The findings also fit Iraqi service-use realities. In Baghdad clinical settings, many patients still visit faith healers before or alongside psychiatric care, often due to accessibility, cultural beliefs, and treatment mistrust (Younis et al., 2020). This social pathway helps interpret why recommendation willingness in our sample was higher than perceived safety and acceptability. People may approve treatment in principle but continue to delay formal care when risk perceptions and cultural narratives remain unresolved.</w:t>
      </w:r>
    </w:p>
    <w:p>
      <w:pPr>
        <w:spacing w:line="360" w:lineRule="auto"/>
        <w:ind w:firstLine="720"/>
      </w:pPr>
      <w:r>
        <w:t>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p>
      <w:pPr>
        <w:pStyle w:val="Heading2"/>
        <w:ind w:firstLine="0"/>
      </w:pPr>
      <w:r>
        <w:t>C. Implications for Pharmacy Practice and Public Health</w:t>
      </w:r>
    </w:p>
    <w:p>
      <w:pPr>
        <w:spacing w:line="360" w:lineRule="auto"/>
        <w:ind w:firstLine="720"/>
      </w:pPr>
      <w:r>
        <w:t>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spacing w:line="360" w:lineRule="auto"/>
        <w:ind w:firstLine="720"/>
      </w:pPr>
      <w:r>
        <w:t>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spacing w:line="360" w:lineRule="auto"/>
        <w:ind w:firstLine="720"/>
      </w:pPr>
      <w:r>
        <w:t>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p>
      <w:pPr>
        <w:pStyle w:val="Heading2"/>
        <w:ind w:firstLine="0"/>
      </w:pPr>
      <w:r>
        <w:t>D. Strengths and Limitations of the Present Study</w:t>
      </w:r>
    </w:p>
    <w:p>
      <w:pPr>
        <w:spacing w:line="360" w:lineRule="auto"/>
        <w:ind w:firstLine="720"/>
      </w:pPr>
      <w:r>
        <w:t>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spacing w:line="360" w:lineRule="auto"/>
        <w:ind w:firstLine="720"/>
      </w:pPr>
      <w:r>
        <w:t>The study also has limits. First, the cross-sectional design does not establish causality, so the reported associations should not be interpreted as directional effects over time. Second, complete-case modeling reduced analytic sample size in some models, which may limit generalizability. Third, the sample was mostly female and highly university-educated, so findings may not fully represent older, rural, or less educated Iraqi populations. Fourth, self-reported attitudes are vulnerable to social desirability bias and may either understate or overstate stigma.</w:t>
      </w:r>
    </w:p>
    <w:p>
      <w:pPr>
        <w:pStyle w:val="Heading2"/>
        <w:ind w:firstLine="0"/>
      </w:pPr>
      <w:r>
        <w:t>E. Priority Research Gaps</w:t>
      </w:r>
    </w:p>
    <w:p>
      <w:pPr>
        <w:spacing w:line="360" w:lineRule="auto"/>
        <w:ind w:firstLine="720"/>
      </w:pPr>
      <w:r>
        <w:t>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spacing w:line="360" w:lineRule="auto"/>
        <w:ind w:firstLine="720"/>
      </w:pPr>
      <w:r>
        <w:t>The exploratory stigma phenotypes identified in this study also need confirmatory work. Subsequent studies should validate these profiles with larger and more demographically balanced samples,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r>
        <w:br w:type="page"/>
      </w:r>
    </w:p>
    <w:p>
      <w:pPr>
        <w:pStyle w:val="Heading1"/>
        <w:ind w:firstLine="0"/>
      </w:pPr>
      <w:r>
        <w:t>VI. RECOMMENDATIONS</w:t>
      </w:r>
    </w:p>
    <w:p>
      <w:pPr>
        <w:pStyle w:val="Heading2"/>
        <w:ind w:firstLine="0"/>
      </w:pPr>
      <w:r>
        <w:t>A. Policy-Level Recommendations</w:t>
      </w:r>
    </w:p>
    <w:p>
      <w:pPr>
        <w:spacing w:line="360" w:lineRule="auto"/>
        <w:ind w:firstLine="720"/>
      </w:pPr>
      <w:r>
        <w:t>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spacing w:line="360" w:lineRule="auto"/>
        <w:ind w:firstLine="720"/>
      </w:pPr>
      <w:r>
        <w:t>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spacing w:line="360" w:lineRule="auto"/>
        <w:ind w:firstLine="720"/>
      </w:pPr>
      <w:r>
        <w:t>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p>
      <w:pPr>
        <w:pStyle w:val="Heading2"/>
        <w:ind w:firstLine="0"/>
      </w:pPr>
      <w:r>
        <w:t>B. Practice-Level Recommendations (Pharmacists, Physicians, Primary Care)</w:t>
      </w:r>
    </w:p>
    <w:p>
      <w:pPr>
        <w:spacing w:line="360" w:lineRule="auto"/>
        <w:ind w:firstLine="720"/>
      </w:pPr>
      <w:r>
        <w:t>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spacing w:line="360" w:lineRule="auto"/>
        <w:ind w:firstLine="720"/>
      </w:pPr>
      <w:r>
        <w:t>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spacing w:line="360" w:lineRule="auto"/>
        <w:ind w:firstLine="720"/>
      </w:pPr>
      <w:r>
        <w:t>Primary care teams should create a simple referral-feedback loop between clinics and community pharmacies so patients receive consistent messages. Inconsistency across providers can strengthen uncertainty, which remained visible in the multinomial model.</w:t>
      </w:r>
    </w:p>
    <w:p>
      <w:pPr>
        <w:pStyle w:val="Heading2"/>
        <w:ind w:firstLine="0"/>
      </w:pPr>
      <w:r>
        <w:t>C. Education and Awareness Recommendations</w:t>
      </w:r>
    </w:p>
    <w:p>
      <w:pPr>
        <w:spacing w:line="360" w:lineRule="auto"/>
        <w:ind w:firstLine="720"/>
      </w:pPr>
      <w:r>
        <w:t>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spacing w:line="360" w:lineRule="auto"/>
        <w:ind w:firstLine="720"/>
      </w:pPr>
      <w:r>
        <w:t>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p>
      <w:pPr>
        <w:pStyle w:val="Heading2"/>
        <w:ind w:firstLine="0"/>
      </w:pPr>
      <w:r>
        <w:t>D. Research Recommendations</w:t>
      </w:r>
    </w:p>
    <w:p>
      <w:pPr>
        <w:spacing w:line="360" w:lineRule="auto"/>
        <w:ind w:firstLine="720"/>
      </w:pPr>
      <w:r>
        <w:t>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spacing w:line="360" w:lineRule="auto"/>
        <w:ind w:firstLine="720"/>
      </w:pPr>
      <w:r>
        <w:t>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p>
      <w:pPr>
        <w:pStyle w:val="Heading1"/>
        <w:ind w:firstLine="0"/>
      </w:pPr>
      <w:r>
        <w:t>VII. CONCLUSION</w:t>
      </w:r>
    </w:p>
    <w:p>
      <w:pPr>
        <w:pStyle w:val="Heading2"/>
        <w:ind w:firstLine="0"/>
      </w:pPr>
      <w:r>
        <w:t>A. What the Cross-Sectional Study Adds</w:t>
      </w:r>
    </w:p>
    <w:p>
      <w:pPr>
        <w:spacing w:line="360" w:lineRule="auto"/>
        <w:ind w:firstLine="720"/>
      </w:pPr>
      <w:r>
        <w:t>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p>
      <w:pPr>
        <w:pStyle w:val="Heading2"/>
        <w:ind w:firstLine="0"/>
      </w:pPr>
      <w:r>
        <w:t>B. What the Combined Evidence (Survey + Literature) Indicates for Iraq</w:t>
      </w:r>
    </w:p>
    <w:p>
      <w:pPr>
        <w:spacing w:line="360" w:lineRule="auto"/>
        <w:ind w:firstLine="720"/>
      </w:pPr>
      <w:r>
        <w:t>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spacing w:line="360" w:lineRule="auto"/>
        <w:ind w:firstLine="720"/>
      </w:pPr>
      <w:r>
        <w:t>The evidence also indicates that pharmacists are positioned to close this gap. In a system with limited specialist capacity, pharmacist-led counseling and coordinated primary care communication can translate treatment availability into treatment acceptance.</w:t>
      </w:r>
    </w:p>
    <w:p>
      <w:pPr>
        <w:pStyle w:val="Heading2"/>
        <w:ind w:firstLine="0"/>
      </w:pPr>
      <w:r>
        <w:t>C. Closing Evidence-Based Statement</w:t>
      </w:r>
    </w:p>
    <w:p>
      <w:pPr>
        <w:spacing w:line="360" w:lineRule="auto"/>
        <w:ind w:firstLine="720"/>
      </w:pPr>
      <w:r>
        <w:t>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p>
      <w:r>
        <w:br w:type="page"/>
      </w:r>
    </w:p>
    <w:p>
      <w:pPr>
        <w:pStyle w:val="Heading1"/>
        <w:ind w:firstLine="0"/>
      </w:pPr>
      <w:r>
        <w:t>VIII. REFERENCES</w:t>
      </w:r>
    </w:p>
    <w:p>
      <w:pPr>
        <w:spacing w:line="360" w:lineRule="auto"/>
        <w:ind w:firstLine="720"/>
      </w:pPr>
      <w:r>
        <w:t>Abdisa, Eba, Ginenus Fekadu, Shimelis Girma, et al. “Self-Stigma and Medication Adherence among Patients with Mental Illness Treated at Jimma University Medical Center, Southwest Ethiopia.” International Journal of Mental Health Systems 14, no. 1 (2020): 56. https://doi.org/10.1186/s13033-020-00391-6. Abdul Kareem, Makwan, and Hezha Mahmood. “Adherence to Pharmacological Treatment Among Patients with Schizophrenia: Adherence to Pharmacological Treatment Among Patients with Schizophrenia.” Iraqi National Journal of Medicine 4, no. 1 (2022): 31–42. https://doi.org/10.37319/IQNJM.4.1.4. Abi Hana, Racha, Maguy Arnous, Eva Heim, et al. “Mental Health Stigma at Primary Health Care Centres in Lebanon: Qualitative Study.” International Journal of Mental Health Systems 16, no. 1 (2022): 23. https://doi.org/10.1186/s13033-022-00533-y. Adewuya, Abiodun O., and Roger O. A. Makanjuola. “Lay Beliefs Regarding Causes of Mental Illness in Nigeria: Pattern and Correlates.” Social Psychiatry and Psychiatric Epidemiology 43, no. 4 (2008): 336–41. https://doi.org/10.1007/s00127-007-0305-x. Al-Asadi, Jasim Naeem, and Zainab B. Hussein. “Depression among Infertile Women in Basrah, Iraq: Prevalence and Risk Factors.” Journal of the Chinese Medical Association: JCMA 78, no. 11 (2015): 673–77. https://doi.org/10.1016/j.jcma.2015.07.009. Al-Awadhi, Anwar, Farid Atawneh, M. ZiadY Alalyan, AltafAhmad Shahid, Sulaiman Al-Alkhadhari, and MuhammadAjmal Zahid. “Nurses’ Attitude towards Patients with Mental Illness in a General Hospital in Kuwait.” Saudi Journal of Medicine and Medical Sciences 5, no. 1 (2017): 31. https://doi.org/10.4103/1658-631X.194249. Albaroodi, Khansaa A. Ibrahim. “Pharmacists’ Knowledge Regarding Drug Disposal in Karbala.” Pharmacy 7, no. 2 (2019): 57. https://doi.org/10.3390/pharmacy7020057. Al-Hemiary, Nesif J., Jawad K. Al-Diwan, Albert L. Hasson, and Richard A. Rawson. “Drug and Alcohol Use in Iraq: Findings of the Inaugural Iraqi Community Epidemiological Workgroup.” Substance Use &amp; Misuse 49, no. 13 (2014): 1759–63. https://doi.org/10.3109/10826084.2014.913633. Al-Jawadi, Asma A., and Shatha Abdul-Rhman. “Prevalence of Childhood and Early Adolescence Mental Disorders among Children Attending Primary Health Care Centers in Mosul, Iraq: A Cross-Sectional Study.” BMC Public Health 7, no. 1 (2007): 274. https://doi.org/10.1186/1471-2458-7-274. Almazeedi, Hind, and Mohammad T. Alsuwaidan. “‘Integrating Kuwait’s Mental Health System to End Stigma: A Call to Action.’” Journal of Mental Health 23, no. 1 (2014): 1–3. https://doi.org/10.3109/09638237.2013.775407. Al Omari, Omar, Blessy Prabha Valsaraj, Moawiah Khatatbeh, et al. “Self and Public Stigma towards Mental Illnesses and Its Predictors among University Students in 11 Arabic‐speaking Countries: A Multi‐site Study.” International Journal of Mental Health Nursing 32, no. 6 (2023): 1745–55. https://doi.org/10.1111/inm.13206. Angermeyer, Matthias C., Sandra Van Der Auwera, Mauro G. Carta, and Georg Schomerus. “Public Attitudes towards Psychiatry and Psychiatric Treatment at the Beginning of the 21st Century: A Systematic Review and Meta‐analysis of Population Surveys.” World Psychiatry 16, no. 1 (2017): 50–61. https://doi.org/10.1002/wps.20383. Berge, Erik Eng, Roger Hagen, and Joar Øveraas Halvorsen. “PTSD Relapse in Veterans of Iraq and Afghanistan: A Systematic Review.” Military Psychology 32, no. 4 (2020): 300–312. https://doi.org/10.1080/08995605.2020.1754123. Booth, Wendy A., Mabrouka Abuhmida, and Felix Anyanwu. “Mental Health Stigma: A Conundrum for Healthcare Practitioners in Conservative Communities.” Frontiers in Public Health 12 (May 2024): 1384521. https://doi.org/10.3389/fpubh.2024.1384521. Burnam, M. Audrey, Lisa S. Meredith, Terri Tanielian, and Lisa H. Jaycox. “Mental Health Care For Iraq And Afghanistan War Veterans.” Health Affairs 28, no. 3 (2009): 771–82. https://doi.org/10.1377/hlthaff.28.3.771. Cubillos, Leonardo, Sophia M. Bartels, William C. Torrey, et al. “The Effectiveness and Cost-Effectiveness of Integrating Mental Health Services in Primary Care in Low- and Middle-Income Countries: Systematic Review.” BJPsych Bulletin 45, no. 1 (2021): 40–52. https://doi.org/10.1192/bjb.2020.35. Dikeç, Gül, and Kübra Timarcıoğlu. “Medication Adherence to Psychotropic Medication and Relationship with Psychiatric Symptoms among Syrian Refugees in Turkey: A Pilot Study.” Trauma Care 3, no. 1 (2023): 37–45. https://doi.org/10.3390/traumacare3010005. Elyamani, Rowaida, Sarah Naja, Ayman Al-Dahshan, Hamed Hamoud, Mohammed Iheb Bougmiza, and Noora Alkubaisi. “Mental Health Literacy in Arab States of the Gulf Cooperation Council: A Systematic Review.” PLOS ONE 16, no. 1 (2021): e0245156. https://doi.org/10.1371/journal.pone.0245156. Gast, Alina, and Tim Mathes. “Medication Adherence Influencing Factors—an (Updated) Overview of Systematic Reviews.” Systematic Reviews 8, no. 1 (2019): 112. https://doi.org/10.1186/s13643-019-1014-8. Häge, Alexander, Lisa Weymann, Lucia Bliznak, Viktoria Märker, Konstantin Mechler, and Ralf W. Dittmann. “Non-adherence to Psychotropic Medication Among Adolescents – A Systematic Review of the Literature.” Zeitschrift für Kinder- und Jugendpsychiatrie und Psychotherapie 46, no. 1 (2018): 69–78. https://doi.org/10.1024/1422-4917/a000505. Hamrin, Vanya, Erin M. McCarthy, and Veda Tyson. “Pediatric Psychotropic Medication Initiation and Adherence: A Literature Review Based on Social Exchange Theory.” Journal of Child and Adolescent Psychiatric Nursing 23, no. 3 (2010): 151–72. https://doi.org/10.1111/j.1744-6171.2010.00237.x. Herbert, Sophia M. C., Joni C. Carroll, Kim C. Coley, Stephanie Harriman McGrath, and Melissa Somma McGivney. “A Student Pharmacist Quality Engagement Team to Support Initial Implementation of Comprehensive Medication Management within Independent Community Pharmacies.” Pharmacy 8, no. 3 (2020): 141. https://doi.org/10.3390/pharmacy8030141. Hisle-Gorman, Elizabeth, Apryl Susi, and Gregory H. Gorman. “Mental Health Trends in Military Pediatrics.” Psychiatric Services 70, no. 8 (2019): 657–64. https://doi.org/10.1176/appi.ps.201800101. Hoge, Charles W., Carl A. Castro, Stephen C. Messer, Dennis McGurk, Dave I. Cotting, and Robert L. Koffman. “Combat Duty in Iraq and Afghanistan, Mental Health Problems, and Barriers to Care.” New England Journal of Medicine 351, no. 1 (2004): 13–22. https://doi.org/10.1056/NEJMoa040603. Hoge, Charles W., Christopher G. Ivany, Edward A. Brusher, et al. “Transformation of Mental Health Care for U.S. Soldiers and Families During the Iraq and Afghanistan Wars: Where Science and Politics Intersect.” American Journal of Psychiatry 173, no. 4 (2016): 334–43. https://doi.org/10.1176/appi.ajp.2015.15040553. Horne, Robert, John Weinman, and Maittew Hankins. “The Beliefs about Medicines Questionnaire: The Development and Evaluation of a New Method for Assessing the Cognitive Representation of Medication.” Psychology &amp; Health 14, no. 1 (1999): 1–24. https://doi.org/10.1080/08870449908407311. Hussein Alwan, Iman, Mohammed Fadhil Ali, and Zeyad Tariq Madalla. “Factors Influencing Stigma Toward Mental Illness Among Students at the University of Baghdad.” International Journal of Body, Mind and Culture 12, no. 6 (2025): 161–70. https://doi.org/10.61838/ijbmc.v12i5.945. Ibrahim, Hawkar, Verena Ertl, Claudia Catani, Azad Ali Ismail, and Frank Neuner. “Trauma and Perceived Social Rejection among Yazidi Women and Girls Who Survived Enslavement and Genocide.” BMC Medicine 16, no. 1 (2018): 154. https://doi.org/10.1186/s12916-018-1140-5. Kadhim, Sheima Nadim, Zainab Haroon Ahmed, and Muntadher Luay Abdulsahib. “ANXIETY, DEPRESSION, AND PSYCHOTROPIC DRUGS USAGE BY UNIVERSITY STUDENTS OF MEDICAL GROUP IN BASRA, IRAQ.” Universal Journal of Pharmaceutical Research, ahead of print, May 15, 2024. https://doi.org/10.22270/ujpr.v9i2.1081. Kalaman, Clarisse Roswini, Norhayati Ibrahim, Vinorra Shaker, et al. “Parental Factors Associated with Child or Adolescent Medication Adherence: A Systematic Review.” Healthcare 11, no. 4 (2023): 501. https://doi.org/10.3390/healthcare11040501. Kwan, Yu Heng, Si Dun Weng, Dionne Hui Fang Loh, et al. “Measurement Properties of Existing Patient-Reported Outcome Measures on Medication Adherence: Systematic Review.” Journal of Medical Internet Research 22, no. 10 (2020): e19179. https://doi.org/10.2196/19179. Leucht, S., T. Burkard, J. Henderson, M. Maj, and N. Sartorius. “Physical Illness and Schizophrenia: A Review of the Literature.” Acta Psychiatrica Scandinavica 116, no. 5 (2007): 317–33. https://doi.org/10.1111/j.1600-0447.2007.01095.x. Leucht, Stefan, Andrea Cipriani, Loukia Spineli, et al. “Comparative Efficacy and Tolerability of 15 Antipsychotic Drugs in Schizophrenia: A Multiple-Treatments Meta-Analysis.” The Lancet 382, no. 9896 (2013): 951–62. https://doi.org/10.1016/S0140-6736(13)60733-3. Mohammed, Mrywan Abdulmajeed, and Konul Memmedova. “Prevalence of Mental Health Problems among Iraqi University Students during the COVID-19 Pandemic.” Sustainability 15, no. 3 (2023): 1746. https://doi.org/10.3390/su15031746. Mojtabai, Ramin. “Americans’ Attitudes Toward Psychiatric Medications: 1998–2006.” Psychiatric Services 60, no. 8 (2009): 1015–23. https://doi.org/10.1176/ps.2009.60.8.1015. Nassr, Ola A., and Raghad F. “Prevalence and Predictors of High-Dose Antipsychotic Therapy among Adult Psychiatric Inpatients in Baghdad, Iraq.” South African Journal of Psychiatry 32, no. 0 (2026): a2606. https://doi.org/10.4102/SAJPSYCHIATRY.v32i0.2606. Okasha, Tarek, Nermin M. Shaker, and Dina Aly El-Gabry. “Mental Health Services in Egypt, the Middle East, and North Africa.” International Review of Psychiatry 37, nos. 3–4 (2025): 306–14. https://doi.org/10.1080/09540261.2024.2400143. Ouanes, Sami, Imen Becetti, Suhaila Ghuloum, et al. “Patterns of Prescription of Antipsychotics in Qatar.” PLOS ONE 15, no. 11 (2020): e0241986. https://doi.org/10.1371/journal.pone.0241986. Rasheed, Sana, Eisha Kashif, Rida Arif, et al. “The Impact of Stigma on Health Care-Seeking Behavior in Military Personnel with Mental Health Challenges.” Annals of Medicine and Surgery (2012) 88, no. 1 (2026): 630–36. https://doi.org/10.1097/MS9.0000000000004569. Roder, V. “Integrated Psychological Therapy (IPT) for Schizophrenia: Is It Effective?” Schizophrenia Bulletin 32, no. Supplement 1 (2006): S81–93. https://doi.org/10.1093/schbul/sbl021. Sadik, Sabah, Marie Bradley, Saad Al-Hasoon, and Rachel Jenkins. “Public Perception of Mental Health in Iraq.” International Journal of Mental Health Systems 4, no. 1 (2010): 26. https://doi.org/10.1186/1752-4458-4-26. Saied, AbdulRahman A., Sirwan Khalid Ahmed, Asmaa A. Metwally, and Hani Aiash. “Iraq’s Mental Health Crisis: A Way Forward?” The Lancet 402, no. 10409 (2023): 1235–36. https://doi.org/10.1016/S0140-6736(23)01283-7. Saied, AbdulRahman A., Asmaa A. Metwally, Sirwan Khalid Ahmed, Rukhsar Muhmmad Omar, and Salar Omar Abdulqadir. “National Suicide Prevention Strategy in Iraq.” Asian Journal of Psychiatry 82 (April 2023): 103486. https://doi.org/10.1016/j.ajp.2023.103486. Slewa-Younan, Shameran, Jonathan Mond, Elise Bussion, et al. “Mental Health Literacy of Resettled Iraqi Refugees in Australia: Knowledge about Posttraumatic Stress Disorder and Beliefs about Helpfulness of Interventions.” BMC Psychiatry 14, no. 1 (2014): 320. https://doi.org/10.1186/s12888-014-0320-x. Uribe Guajardo, Maria Gabriela, Shameran Slewa-Younan, Betty Ann Kitchener, Haider Mannan, Yaser Mohammad, and Anthony Francis Jorm. “Improving the Capacity of Community-Based Workers in Australia to Provide Initial Assistance to Iraqi Refugees with Mental Health Problems: An Uncontrolled Evaluation of a Mental Health Literacy Course.” International Journal of Mental Health Systems 12, no. 1 (2018): 2. https://doi.org/10.1186/s13033-018-0180-8. Van, Connie, Daniel Costa, Penny Abbott, Bernadette Mitchell, and Ines Krass. “Community Pharmacist Attitudes towards Collaboration with General Practitioners: Development and Validation of a Measure and a Model.” BMC Health Services Research 12, no. 1 (2012): 320. https://doi.org/10.1186/1472-6963-12-320. Younis, Maha S. “Tears of Ishtar: Women’s Mental Health in Iraq.” The Lancet. Psychiatry 2, no. 2 (2015): 119–21. https://doi.org/10.1016/S2215-0366(14)00061-3. Younis, Maha S., and Deema Khunda. “Maha Sulaiman Younis: A Personal History of Psychiatry in Iraq through War and Conflict.” GLOBAL PSYCHIATRY ARCHIVES 3, no. 2 (2020): 113–18. https://doi.org/10.52095/gpa.2020.1355. Younis, Maha S., Riyadh K. Lafta, and Saba Dhiaa. “Faith Healers Are Taking over the Role of Psychiatrists in Iraq.” Qatar Medical Journal 2019, no. 3 (2020). https://doi.org/10.5339/qmj.2019.13. Younis, Maha Sulaiman, and Riyadh Khudhiar Lafta. “The Plight of Women in Iraq: Gender Disparity, Violence, and Mental Health.” International Journal of Social Psychiatry 67, no. 8 (2021): 977–83. https://doi.org/10.1177/00207640211003602. Zolezzi, Monica, Maha Alamri, Shahd Shaar, and Daniel Rainkie. “Stigma Associated with Mental Illness and Its Treatment in the Arab Culture: A Systematic Review.” International Journal of Social Psychiatry 64, no. 6 (2018): 597–609. https://doi.org/10.1177/0020764018789200. Zygmunt, Annette, Mark Olfson, Carol A. Boyer, and David Mechanic. “Interventions to Improve Medication Adherence in Schizophrenia.” American Journal of Psychiatry 159, no. 10 (2002): 1653–64. https://doi.org/10.1176/appi.ajp.159.10.1653.</w:t>
      </w:r>
    </w:p>
    <w:p>
      <w:pPr>
        <w:pStyle w:val="Heading1"/>
        <w:ind w:firstLine="0"/>
      </w:pPr>
      <w:r>
        <w:t>Primary adjusted OR forest plot</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3156"/>
            <wp:docPr id="1" name="Picture 1"/>
            <wp:cNvGraphicFramePr>
              <a:graphicFrameLocks noChangeAspect="1"/>
            </wp:cNvGraphicFramePr>
            <a:graphic>
              <a:graphicData uri="http://schemas.openxmlformats.org/drawingml/2006/picture">
                <pic:pic>
                  <pic:nvPicPr>
                    <pic:cNvPr id="0" name="03_primary_adjusted_or_forest.png"/>
                    <pic:cNvPicPr/>
                  </pic:nvPicPr>
                  <pic:blipFill>
                    <a:blip r:embed="rId9"/>
                    <a:stretch>
                      <a:fillRect/>
                    </a:stretch>
                  </pic:blipFill>
                  <pic:spPr>
                    <a:xfrm>
                      <a:off x="0" y="0"/>
                      <a:ext cx="5760720" cy="3433156"/>
                    </a:xfrm>
                    <a:prstGeom prst="rect"/>
                  </pic:spPr>
                </pic:pic>
              </a:graphicData>
            </a:graphic>
          </wp:inline>
        </w:drawing>
      </w:r>
    </w:p>
    <w:p>
      <w:pPr>
        <w:spacing w:line="360" w:lineRule="auto"/>
        <w:ind w:firstLine="720"/>
      </w:pPr>
      <w:r>
        <w:t>**Caption:** Adjusted odds ratios with 95% confidence intervals for Block 3 predictors.</w:t>
      </w:r>
    </w:p>
    <w:p>
      <w:pPr>
        <w:spacing w:line="360" w:lineRule="auto"/>
        <w:ind w:firstLine="720"/>
      </w:pPr>
      <w:r>
        <w:t>**Quick analysis:** 4 predictors are statistically significant at p&lt;0.05, with clear protective and risk-direction effects.</w:t>
      </w:r>
    </w:p>
    <w:p>
      <w:pPr>
        <w:pStyle w:val="Heading1"/>
        <w:ind w:firstLine="0"/>
      </w:pPr>
      <w:r>
        <w:t>Multinomial key predictor comparison</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1217"/>
            <wp:docPr id="2" name="Picture 2"/>
            <wp:cNvGraphicFramePr>
              <a:graphicFrameLocks noChangeAspect="1"/>
            </wp:cNvGraphicFramePr>
            <a:graphic>
              <a:graphicData uri="http://schemas.openxmlformats.org/drawingml/2006/picture">
                <pic:pic>
                  <pic:nvPicPr>
                    <pic:cNvPr id="0" name="08_multinomial_key_predictor_comparison.png"/>
                    <pic:cNvPicPr/>
                  </pic:nvPicPr>
                  <pic:blipFill>
                    <a:blip r:embed="rId10"/>
                    <a:stretch>
                      <a:fillRect/>
                    </a:stretch>
                  </pic:blipFill>
                  <pic:spPr>
                    <a:xfrm>
                      <a:off x="0" y="0"/>
                      <a:ext cx="5760720" cy="3431217"/>
                    </a:xfrm>
                    <a:prstGeom prst="rect"/>
                  </pic:spPr>
                </pic:pic>
              </a:graphicData>
            </a:graphic>
          </wp:inline>
        </w:drawing>
      </w:r>
    </w:p>
    <w:p>
      <w:pPr>
        <w:spacing w:line="360" w:lineRule="auto"/>
        <w:ind w:firstLine="720"/>
      </w:pPr>
      <w:r>
        <w:t>**Caption:** Side-by-side RRR values for key predictors across Yes and Not sure outcomes.</w:t>
      </w:r>
    </w:p>
    <w:p>
      <w:pPr>
        <w:spacing w:line="360" w:lineRule="auto"/>
        <w:ind w:firstLine="720"/>
      </w:pPr>
      <w:r>
        <w:t>**Quick analysis:** Q13 shows a larger relative risk ratio for Yes responses, whereas Q11 and Q12 have relative risk ratios closer to 1.0 in the Not sure equation.</w:t>
      </w:r>
    </w:p>
    <w:p>
      <w:pPr>
        <w:pStyle w:val="Heading1"/>
        <w:ind w:firstLine="0"/>
      </w:pPr>
      <w:r>
        <w:t>Profile means heatmap</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682947"/>
            <wp:docPr id="3" name="Picture 3"/>
            <wp:cNvGraphicFramePr>
              <a:graphicFrameLocks noChangeAspect="1"/>
            </wp:cNvGraphicFramePr>
            <a:graphic>
              <a:graphicData uri="http://schemas.openxmlformats.org/drawingml/2006/picture">
                <pic:pic>
                  <pic:nvPicPr>
                    <pic:cNvPr id="0" name="14_profile_means_heatmap.png"/>
                    <pic:cNvPicPr/>
                  </pic:nvPicPr>
                  <pic:blipFill>
                    <a:blip r:embed="rId11"/>
                    <a:stretch>
                      <a:fillRect/>
                    </a:stretch>
                  </pic:blipFill>
                  <pic:spPr>
                    <a:xfrm>
                      <a:off x="0" y="0"/>
                      <a:ext cx="5760720" cy="3682947"/>
                    </a:xfrm>
                    <a:prstGeom prst="rect"/>
                  </pic:spPr>
                </pic:pic>
              </a:graphicData>
            </a:graphic>
          </wp:inline>
        </w:drawing>
      </w:r>
    </w:p>
    <w:p>
      <w:pPr>
        <w:spacing w:line="360" w:lineRule="auto"/>
        <w:ind w:firstLine="720"/>
      </w:pPr>
      <w:r>
        <w:t>**Caption:** Heatmap of profile-level means across Q11, Q12, and Q13.</w:t>
      </w:r>
    </w:p>
    <w:p>
      <w:pPr>
        <w:spacing w:line="360" w:lineRule="auto"/>
        <w:ind w:firstLine="720"/>
      </w:pPr>
      <w:r>
        <w:t>**Quick analysis:** Profiles show distinct belief combinations, especially around confidence in newer medications (Q13).</w:t>
      </w:r>
    </w:p>
    <w:p>
      <w:pPr>
        <w:pStyle w:val="Heading1"/>
        <w:ind w:firstLine="0"/>
      </w:pPr>
      <w:r>
        <w:t>Diverging Likert chart (Q11–Q13)</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3156"/>
            <wp:docPr id="4" name="Picture 4"/>
            <wp:cNvGraphicFramePr>
              <a:graphicFrameLocks noChangeAspect="1"/>
            </wp:cNvGraphicFramePr>
            <a:graphic>
              <a:graphicData uri="http://schemas.openxmlformats.org/drawingml/2006/picture">
                <pic:pic>
                  <pic:nvPicPr>
                    <pic:cNvPr id="0" name="19_likert_diverging_q11_q13.png"/>
                    <pic:cNvPicPr/>
                  </pic:nvPicPr>
                  <pic:blipFill>
                    <a:blip r:embed="rId12"/>
                    <a:stretch>
                      <a:fillRect/>
                    </a:stretch>
                  </pic:blipFill>
                  <pic:spPr>
                    <a:xfrm>
                      <a:off x="0" y="0"/>
                      <a:ext cx="5760720" cy="3433156"/>
                    </a:xfrm>
                    <a:prstGeom prst="rect"/>
                  </pic:spPr>
                </pic:pic>
              </a:graphicData>
            </a:graphic>
          </wp:inline>
        </w:drawing>
      </w:r>
    </w:p>
    <w:p>
      <w:pPr>
        <w:spacing w:line="360" w:lineRule="auto"/>
        <w:ind w:firstLine="720"/>
      </w:pPr>
      <w:r>
        <w:t>**Caption:** Disagree/Neutral/Agree percentages for Q11, Q12, and Q13.</w:t>
      </w:r>
    </w:p>
    <w:p>
      <w:pPr>
        <w:spacing w:line="360" w:lineRule="auto"/>
        <w:ind w:firstLine="720"/>
      </w:pPr>
      <w:r>
        <w:t>**Quick analysis:** Q11 and Q12 lean toward agreement with concern-focused statements, while Q13 shows stronger positive confidence in newer medications.</w:t>
      </w:r>
    </w:p>
    <w:p>
      <w:pPr>
        <w:pStyle w:val="Heading1"/>
        <w:ind w:firstLine="0"/>
      </w:pPr>
      <w:r>
        <w:t>Donut charts for main questions</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78724"/>
            <wp:docPr id="5" name="Picture 5"/>
            <wp:cNvGraphicFramePr>
              <a:graphicFrameLocks noChangeAspect="1"/>
            </wp:cNvGraphicFramePr>
            <a:graphic>
              <a:graphicData uri="http://schemas.openxmlformats.org/drawingml/2006/picture">
                <pic:pic>
                  <pic:nvPicPr>
                    <pic:cNvPr id="0" name="27_donut_main_questions.png"/>
                    <pic:cNvPicPr/>
                  </pic:nvPicPr>
                  <pic:blipFill>
                    <a:blip r:embed="rId13"/>
                    <a:stretch>
                      <a:fillRect/>
                    </a:stretch>
                  </pic:blipFill>
                  <pic:spPr>
                    <a:xfrm>
                      <a:off x="0" y="0"/>
                      <a:ext cx="5760720" cy="3478724"/>
                    </a:xfrm>
                    <a:prstGeom prst="rect"/>
                  </pic:spPr>
                </pic:pic>
              </a:graphicData>
            </a:graphic>
          </wp:inline>
        </w:drawing>
      </w:r>
    </w:p>
    <w:p>
      <w:pPr>
        <w:spacing w:line="360" w:lineRule="auto"/>
        <w:ind w:firstLine="720"/>
      </w:pPr>
      <w:r>
        <w:t>**Caption:** Donut infographic view for safety, acceptability, and recommendation responses.</w:t>
      </w:r>
    </w:p>
    <w:p>
      <w:pPr>
        <w:spacing w:line="360" w:lineRule="auto"/>
        <w:ind w:firstLine="720"/>
      </w:pPr>
      <w:r>
        <w:t>**Quick analysis:** This compact format gives a quick social-media-style snapshot of the three core public opinion outcomes.</w:t>
      </w:r>
    </w:p>
    <w:p>
      <w:pPr>
        <w:pStyle w:val="Heading1"/>
        <w:ind w:firstLine="0"/>
      </w:pPr>
      <w:r>
        <w:t>Gender breakdown of recommendation opinions</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1217"/>
            <wp:docPr id="6" name="Picture 6"/>
            <wp:cNvGraphicFramePr>
              <a:graphicFrameLocks noChangeAspect="1"/>
            </wp:cNvGraphicFramePr>
            <a:graphic>
              <a:graphicData uri="http://schemas.openxmlformats.org/drawingml/2006/picture">
                <pic:pic>
                  <pic:nvPicPr>
                    <pic:cNvPr id="0" name="31_gender_recommendation_breakdown.png"/>
                    <pic:cNvPicPr/>
                  </pic:nvPicPr>
                  <pic:blipFill>
                    <a:blip r:embed="rId14"/>
                    <a:stretch>
                      <a:fillRect/>
                    </a:stretch>
                  </pic:blipFill>
                  <pic:spPr>
                    <a:xfrm>
                      <a:off x="0" y="0"/>
                      <a:ext cx="5760720" cy="3431217"/>
                    </a:xfrm>
                    <a:prstGeom prst="rect"/>
                  </pic:spPr>
                </pic:pic>
              </a:graphicData>
            </a:graphic>
          </wp:inline>
        </w:drawing>
      </w:r>
    </w:p>
    <w:p>
      <w:pPr>
        <w:spacing w:line="360" w:lineRule="auto"/>
        <w:ind w:firstLine="720"/>
      </w:pPr>
      <w:r>
        <w:t>**Caption:** Within-gender distribution of Yes/Not sure/No responses for recommendation.</w:t>
      </w:r>
    </w:p>
    <w:p>
      <w:pPr>
        <w:spacing w:line="360" w:lineRule="auto"/>
        <w:ind w:firstLine="720"/>
      </w:pPr>
      <w:r>
        <w:t>**Quick analysis:** The side-by-side format highlights how recommendation sentiment differs between women and men.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