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pStyle w:val="BodyText"/>
      </w:pPr>
      <w:r>
        <w:t xml:space="preserve">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w:t>
      </w:r>
      <w:r>
        <w:t xml:space="preserve"> </w:t>
      </w:r>
      <w:r>
        <w:t xml:space="preserve">“Yes”</w:t>
      </w:r>
      <w:r>
        <w:t xml:space="preserve"> </w:t>
      </w:r>
      <w:r>
        <w:t xml:space="preserve">vs</w:t>
      </w:r>
      <w:r>
        <w:t xml:space="preserve"> </w:t>
      </w:r>
      <w:r>
        <w:t xml:space="preserve">“No”</w:t>
      </w:r>
      <w:r>
        <w:t xml:space="preserve"> </w:t>
      </w:r>
      <w:r>
        <w:t xml:space="preserve">recommendation (RRR 0.794). In the Users vs Non-Users analysis, users showed more favorable beliefs than non-users, especially on modern medication safety.</w:t>
      </w:r>
    </w:p>
    <w:p>
      <w:pPr>
        <w:pStyle w:val="BodyText"/>
      </w:pPr>
      <w:r>
        <w:t xml:space="preserve">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bookmarkEnd w:id="20"/>
    <w:bookmarkStart w:id="25" w:name="i.-introduction"/>
    <w:p>
      <w:pPr>
        <w:pStyle w:val="Heading1"/>
      </w:pPr>
      <w:r>
        <w:t xml:space="preserve">I. INTRODUCTION</w:t>
      </w:r>
    </w:p>
    <w:bookmarkStart w:id="21"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21"/>
    <w:bookmarkStart w:id="22"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22"/>
    <w:bookmarkStart w:id="23"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23"/>
    <w:bookmarkStart w:id="24"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24"/>
    <w:bookmarkEnd w:id="25"/>
    <w:bookmarkStart w:id="30" w:name="ii.-literature-review-supportive-context"/>
    <w:p>
      <w:pPr>
        <w:pStyle w:val="Heading1"/>
      </w:pPr>
      <w:r>
        <w:t xml:space="preserve">II. LITERATURE REVIEW (SUPPORTIVE CONTEXT)</w:t>
      </w:r>
    </w:p>
    <w:bookmarkStart w:id="26"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26"/>
    <w:bookmarkStart w:id="27"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27"/>
    <w:bookmarkStart w:id="28"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28"/>
    <w:bookmarkStart w:id="29"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bookmarkEnd w:id="29"/>
    <w:bookmarkEnd w:id="30"/>
    <w:bookmarkStart w:id="38" w:name="Xd28ad89e34427830144aa12b2723fcd7c60691b"/>
    <w:p>
      <w:pPr>
        <w:pStyle w:val="Heading1"/>
      </w:pPr>
      <w:r>
        <w:t xml:space="preserve">III. METHODOLOGY (ORIGINAL CROSS-SECTIONAL STUDY)</w:t>
      </w:r>
    </w:p>
    <w:bookmarkStart w:id="31"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study’s unified analysis outputs and preprocessing workflow. The design was observational and non-interventional, and all analyses were conducted on de-identified survey records.</w:t>
      </w:r>
      <w:r>
        <w:t xml:space="preserve"> </w:t>
      </w:r>
      <w:r>
        <w:t xml:space="preserve">The available study files did not report a defined study location or a clearly dated data-collection period.</w:t>
      </w:r>
    </w:p>
    <w:bookmarkEnd w:id="31"/>
    <w:bookmarkStart w:id="32"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r>
        <w:t xml:space="preserve"> </w:t>
      </w:r>
      <w:r>
        <w:t xml:space="preserve">The available source documents did not include explicit participant eligibility criteria or recruitment methods. Therefore, this section reports the achieved analytic sample rather than a protocol-level enrollment flow.</w:t>
      </w:r>
    </w:p>
    <w:bookmarkEnd w:id="32"/>
    <w:bookmarkStart w:id="33"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bookmarkEnd w:id="33"/>
    <w:bookmarkStart w:id="34"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34"/>
    <w:bookmarkStart w:id="35"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pStyle w:val="BodyText"/>
      </w:pPr>
      <w:r>
        <w:t xml:space="preserve">The analysis sequence followed the project’s documented analysis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35"/>
    <w:bookmarkStart w:id="3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w:t>
      </w:r>
      <w:r>
        <w:t xml:space="preserve"> </w:t>
      </w:r>
      <w:r>
        <w:t xml:space="preserve">Formal ethics-approval metadata and explicit participant-consent documentation were not included in the available study files.</w:t>
      </w:r>
      <w:r>
        <w:t xml:space="preserve"> </w:t>
      </w:r>
      <w:r>
        <w:t xml:space="preserve">Despite this documentation gap, the analysis followed ethical principles for anonymized secondary-data use and aggregate-only reporting.</w:t>
      </w:r>
    </w:p>
    <w:bookmarkEnd w:id="36"/>
    <w:bookmarkStart w:id="3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bookmarkEnd w:id="37"/>
    <w:bookmarkEnd w:id="38"/>
    <w:bookmarkStart w:id="52" w:name="iv.-results"/>
    <w:p>
      <w:pPr>
        <w:pStyle w:val="Heading1"/>
      </w:pPr>
      <w:r>
        <w:t xml:space="preserve">IV. RESULTS</w:t>
      </w:r>
    </w:p>
    <w:bookmarkStart w:id="42" w:name="X416e39b868e16d64170eca7b1a74bec18d8d376"/>
    <w:p>
      <w:pPr>
        <w:pStyle w:val="Heading2"/>
      </w:pPr>
      <w:r>
        <w:t xml:space="preserve">IV.A Sample Profile and Descriptive Statistics</w:t>
      </w:r>
    </w:p>
    <w:p>
      <w:pPr>
        <w:pStyle w:val="FirstParagraph"/>
      </w:pPr>
      <w:r>
        <w:t xml:space="preserve">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pStyle w:val="BodyText"/>
      </w:pPr>
      <w:r>
        <w:t xml:space="preserve">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w:t>
      </w:r>
      <w:r>
        <w:t xml:space="preserve"> </w:t>
      </w:r>
      <w:hyperlink r:id="rId39">
        <w:r>
          <w:rPr>
            <w:rStyle w:val="Hyperlink"/>
          </w:rPr>
          <w:t xml:space="preserve">figures/27_donut_main_questions.png</w:t>
        </w:r>
      </w:hyperlink>
      <w:r>
        <w:t xml:space="preserve">. The gender-stratified recommendation pattern is shown in</w:t>
      </w:r>
      <w:r>
        <w:t xml:space="preserve"> </w:t>
      </w:r>
      <w:hyperlink r:id="rId40">
        <w:r>
          <w:rPr>
            <w:rStyle w:val="Hyperlink"/>
          </w:rPr>
          <w:t xml:space="preserve">figures/31_gender_recommendation_breakdown.png</w:t>
        </w:r>
      </w:hyperlink>
      <w:r>
        <w:t xml:space="preserve">. The diverging Likert distribution for Q11 and Q13 is shown in</w:t>
      </w:r>
      <w:r>
        <w:t xml:space="preserve"> </w:t>
      </w:r>
      <w:hyperlink r:id="rId41">
        <w:r>
          <w:rPr>
            <w:rStyle w:val="Hyperlink"/>
          </w:rPr>
          <w:t xml:space="preserve">figures/19_likert_diverging_q11_q13.png</w:t>
        </w:r>
      </w:hyperlink>
      <w:r>
        <w:t xml:space="preserve">.</w:t>
      </w:r>
    </w:p>
    <w:bookmarkEnd w:id="42"/>
    <w:bookmarkStart w:id="43" w:name="iv.b-main-outcome-distributions"/>
    <w:p>
      <w:pPr>
        <w:pStyle w:val="Heading2"/>
      </w:pPr>
      <w:r>
        <w:t xml:space="preserve">IV.B Main Outcome Distributions</w:t>
      </w:r>
    </w:p>
    <w:p>
      <w:pPr>
        <w:pStyle w:val="FirstParagraph"/>
      </w:pPr>
      <w:r>
        <w:t xml:space="preserve">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pStyle w:val="BodyText"/>
      </w:pPr>
      <w:r>
        <w:t xml:space="preserve">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bookmarkEnd w:id="43"/>
    <w:bookmarkStart w:id="45"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w:t>
      </w:r>
      <w:r>
        <w:t xml:space="preserve"> </w:t>
      </w:r>
      <w:hyperlink r:id="rId44">
        <w:r>
          <w:rPr>
            <w:rStyle w:val="Hyperlink"/>
          </w:rPr>
          <w:t xml:space="preserve">figures/03_primary_adjusted_or_forest.png</w:t>
        </w:r>
      </w:hyperlink>
      <w:r>
        <w:t xml:space="preserve">.</w:t>
      </w:r>
    </w:p>
    <w:p>
      <w:pPr>
        <w:pStyle w:val="BodyText"/>
      </w:pPr>
      <w:r>
        <w:t xml:space="preserve">A separate sensitivity model that added Q6 and Q7 used complete-case n=406 and produced McFadden pseudo R² of 0.2440 (fit type: mle). This model was reported as a sensitivity analysis because Q6 and Q7 are proximal to the recommendation outcome.</w:t>
      </w:r>
    </w:p>
    <w:bookmarkEnd w:id="45"/>
    <w:bookmarkStart w:id="47"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pStyle w:val="BodyText"/>
      </w:pPr>
      <w:r>
        <w:t xml:space="preserve">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w:t>
      </w:r>
      <w:r>
        <w:t xml:space="preserve"> </w:t>
      </w:r>
      <w:hyperlink r:id="rId46">
        <w:r>
          <w:rPr>
            <w:rStyle w:val="Hyperlink"/>
          </w:rPr>
          <w:t xml:space="preserve">figures/08_multinomial_key_predictor_comparison.png</w:t>
        </w:r>
      </w:hyperlink>
      <w:r>
        <w:t xml:space="preserve">.</w:t>
      </w:r>
    </w:p>
    <w:bookmarkEnd w:id="47"/>
    <w:bookmarkStart w:id="48"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(Users n=127, Non-Users n=716). Mann-Whitney U tests were statistically significant for Q11, Q12, and Q13, while chi-square tests were statistically significant for Q12 and Q13 but not for Q11.</w:t>
      </w:r>
    </w:p>
    <w:p>
      <w:pPr>
        <w:pStyle w:val="BodyText"/>
      </w:pPr>
      <w:r>
        <w:t xml:space="preserve">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bookmarkEnd w:id="48"/>
    <w:bookmarkStart w:id="50" w:name="X6c0264ae08dab1112416cfd80067250261ac2ff"/>
    <w:p>
      <w:pPr>
        <w:pStyle w:val="Heading2"/>
      </w:pPr>
      <w:r>
        <w:t xml:space="preserve">IV.F Exploratory Stigma Phenotypes (Clearly Labeled)</w:t>
      </w:r>
    </w:p>
    <w:p>
      <w:pPr>
        <w:pStyle w:val="FirstParagraph"/>
      </w:pPr>
      <w:r>
        <w:t xml:space="preserve">Exploratory k-means clustering on standardized Q11–Q13 evaluated k=2, k=3, and k=4. Silhouette scores were 0.274 for k=2, 0.272 for k=3, and 0.303 for k=4, so k=4 was selected by maximum silhouette criterion.</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w:t>
      </w:r>
      <w:r>
        <w:t xml:space="preserve"> </w:t>
      </w:r>
      <w:hyperlink r:id="rId49">
        <w:r>
          <w:rPr>
            <w:rStyle w:val="Hyperlink"/>
          </w:rPr>
          <w:t xml:space="preserve">figures/14_profile_means_heatmap.png</w:t>
        </w:r>
      </w:hyperlink>
      <w:r>
        <w:t xml:space="preserve">.</w:t>
      </w:r>
    </w:p>
    <w:bookmarkEnd w:id="50"/>
    <w:bookmarkStart w:id="51"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bookmarkEnd w:id="51"/>
    <w:bookmarkEnd w:id="52"/>
    <w:bookmarkStart w:id="58" w:name="v.-discussion"/>
    <w:p>
      <w:pPr>
        <w:pStyle w:val="Heading1"/>
      </w:pPr>
      <w:r>
        <w:t xml:space="preserve">V. DISCUSSION</w:t>
      </w:r>
    </w:p>
    <w:bookmarkStart w:id="53"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“Yes”</w:t>
      </w:r>
      <w:r>
        <w:t xml:space="preserve"> </w:t>
      </w:r>
      <w:r>
        <w:t xml:space="preserve">vs</w:t>
      </w:r>
      <w:r>
        <w:t xml:space="preserve"> </w:t>
      </w:r>
      <w:r>
        <w:t xml:space="preserve">“No”</w:t>
      </w:r>
      <w:r>
        <w:t xml:space="preserve"> </w:t>
      </w:r>
      <w:r>
        <w:t xml:space="preserve">(reference category), Q13 remained a strong positive predictor (RRR 1.585, p&lt;0.0001), while dependence concerns (Q12) were associated with an RRR below 1 for</w:t>
      </w:r>
      <w:r>
        <w:t xml:space="preserve"> </w:t>
      </w:r>
      <w:r>
        <w:t xml:space="preserve">“Yes”</w:t>
      </w:r>
      <w:r>
        <w:t xml:space="preserve"> </w:t>
      </w:r>
      <w:r>
        <w:t xml:space="preserve">vs</w:t>
      </w:r>
      <w:r>
        <w:t xml:space="preserve"> </w:t>
      </w:r>
      <w:r>
        <w:t xml:space="preserve">“No”</w:t>
      </w:r>
      <w:r>
        <w:t xml:space="preserve"> </w:t>
      </w:r>
      <w:r>
        <w:t xml:space="preserve">(RRR 0.794, p=0.0239). For the</w:t>
      </w:r>
      <w:r>
        <w:t xml:space="preserve"> </w:t>
      </w:r>
      <w:r>
        <w:t xml:space="preserve">“Not sure”</w:t>
      </w:r>
      <w:r>
        <w:t xml:space="preserve"> </w:t>
      </w:r>
      <w:r>
        <w:t xml:space="preserve">category, gender remained significant (RRR 2.171, p=0.0093), but most attitudinal predictors were weaker.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bookmarkEnd w:id="53"/>
    <w:bookmarkStart w:id="54"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pStyle w:val="BodyText"/>
      </w:pPr>
      <w:r>
        <w:t xml:space="preserve">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4"/>
    <w:bookmarkStart w:id="55"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5"/>
    <w:bookmarkStart w:id="56"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56"/>
    <w:bookmarkStart w:id="57"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bookmarkEnd w:id="57"/>
    <w:bookmarkEnd w:id="58"/>
    <w:bookmarkStart w:id="63" w:name="vi.-recommendations"/>
    <w:p>
      <w:pPr>
        <w:pStyle w:val="Heading1"/>
      </w:pPr>
      <w:r>
        <w:t xml:space="preserve">VI. RECOMMENDATIONS</w:t>
      </w:r>
    </w:p>
    <w:bookmarkStart w:id="59"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59"/>
    <w:bookmarkStart w:id="60"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0"/>
    <w:bookmarkStart w:id="61"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1"/>
    <w:bookmarkStart w:id="62"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2"/>
    <w:bookmarkEnd w:id="63"/>
    <w:bookmarkStart w:id="67" w:name="vii.-conclusion"/>
    <w:p>
      <w:pPr>
        <w:pStyle w:val="Heading1"/>
      </w:pPr>
      <w:r>
        <w:t xml:space="preserve">VII. CONCLUSION</w:t>
      </w:r>
    </w:p>
    <w:bookmarkStart w:id="64"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4"/>
    <w:bookmarkStart w:id="65"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5"/>
    <w:bookmarkStart w:id="66"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66"/>
    <w:bookmarkEnd w:id="67"/>
    <w:bookmarkStart w:id="68" w:name="viii.-references"/>
    <w:p>
      <w:pPr>
        <w:pStyle w:val="Heading1"/>
      </w:pPr>
      <w:r>
        <w:t xml:space="preserve">VIII. REFERENCES</w:t>
      </w:r>
    </w:p>
    <w:p>
      <w:pPr>
        <w:pStyle w:val="FirstParagraph"/>
      </w:pPr>
      <w:r>
        <w:t xml:space="preserve">Abdisa, Eba, Ginenus Fekadu, Shimelis Girma, et al. </w:t>
      </w:r>
      <w:r>
        <w:t xml:space="preserve">“Self-Stigma and Medication Adherence among Patients with Mental Illness Treated at Jimma University Medical Center, Southwest Ethiopia.”</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“Adherence to Pharmacological Treatment Among Patients with Schizophrenia: Adherence to Pharmacological Treatment Among Patients with Schizophrenia.”</w:t>
      </w:r>
      <w:r>
        <w:t xml:space="preserve"> </w:t>
      </w:r>
      <w:r>
        <w:t xml:space="preserve">Iraqi National Journal of Medicine 4, no. 1 (2022): 31–42. https://doi.org/10.37319/IQNJM.4.1.4.</w:t>
      </w:r>
      <w:r>
        <w:t xml:space="preserve"> </w:t>
      </w:r>
      <w:r>
        <w:t xml:space="preserve">Abi Hana, Racha, Maguy Arnous, Eva Heim, et al. </w:t>
      </w:r>
      <w:r>
        <w:t xml:space="preserve">“Mental Health Stigma at Primary Health Care Centres in Lebanon: Qualitative Study.”</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“Lay Beliefs Regarding Causes of Mental Illness in Nigeria: Pattern and Correlates.”</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“Depression among Infertile Women in Basrah, Iraq: Prevalence and Risk Factors.”</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“Nurses’ Attitude towards Patients with Mental Illness in a General Hospital in Kuwait.”</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“Pharmacists’ Knowledge Regarding Drug Disposal in Karbala.”</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“Drug and Alcohol Use in Iraq: Findings of the Inaugural Iraqi Community Epidemiological Workgroup.”</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“Prevalence of Childhood and Early Adolescence Mental Disorders among Children Attending Primary Health Care Centers in Mosul, Iraq: A Cross-Sectional Study.”</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‘Integrating Kuwait’s Mental Health System to End Stigma: A Call to Action.’</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“Self and Public Stigma towards Mental Illnesses and Its Predictors among University Students in 11 Arabic‐speaking Countries: A Multi‐site Study.”</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“Public Attitudes towards Psychiatry and Psychiatric Treatment at the Beginning of the 21st Century: A Systematic Review and Meta‐analysis of Population Surveys.”</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“PTSD Relapse in Veterans of Iraq and Afghanistan: A Systematic Review.”</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“Mental Health Stigma: A Conundrum for Healthcare Practitioners in Conservative Communities.”</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“Mental Health Care For Iraq And Afghanistan War Veterans.”</w:t>
      </w:r>
      <w:r>
        <w:t xml:space="preserve"> </w:t>
      </w:r>
      <w:r>
        <w:t xml:space="preserve">Health Affairs 28, no. 3 (2009): 771–82. https://doi.org/10.1377/hlthaff.28.3.771.</w:t>
      </w:r>
      <w:r>
        <w:t xml:space="preserve"> </w:t>
      </w:r>
      <w:r>
        <w:t xml:space="preserve">Cubillos, Leonardo, Sophia M. Bartels, William C. Torrey, et al. </w:t>
      </w:r>
      <w:r>
        <w:t xml:space="preserve">“The Effectiveness and Cost-Effectiveness of Integrating Mental Health Services in Primary Care in Low- and Middle-Income Countries: Systematic Review.”</w:t>
      </w:r>
      <w:r>
        <w:t xml:space="preserve"> </w:t>
      </w:r>
      <w:r>
        <w:t xml:space="preserve">BJPsych Bulletin 45, no. 1 (2021): 40–52. https://doi.org/10.1192/bjb.2020.35.</w:t>
      </w:r>
      <w:r>
        <w:t xml:space="preserve"> </w:t>
      </w:r>
      <w:r>
        <w:t xml:space="preserve">Dikeç, Gül, and Kübra Timarcıoğlu.</w:t>
      </w:r>
      <w:r>
        <w:t xml:space="preserve"> </w:t>
      </w:r>
      <w:r>
        <w:t xml:space="preserve">“Medication Adherence to Psychotropic Medication and Relationship with Psychiatric Symptoms among Syrian Refugees in Turkey: A Pilot Study.”</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“Mental Health Literacy in Arab States of the Gulf Cooperation Council: A Systematic Review.”</w:t>
      </w:r>
      <w:r>
        <w:t xml:space="preserve"> </w:t>
      </w:r>
      <w:r>
        <w:t xml:space="preserve">PLOS ONE 16, no. 1 (2021): e0245156. https://doi.org/10.1371/journal.pone.0245156.</w:t>
      </w:r>
      <w:r>
        <w:t xml:space="preserve"> </w:t>
      </w:r>
      <w:r>
        <w:t xml:space="preserve">Gast, Alina, and Tim Mathes.</w:t>
      </w:r>
      <w:r>
        <w:t xml:space="preserve"> </w:t>
      </w:r>
      <w:r>
        <w:t xml:space="preserve">“Medication Adherence Influencing Factors—an (Updated) Overview of Systematic Reviews.”</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“Non-adherence to Psychotropic Medication Among Adolescents – A Systematic Review of the Literature.”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“Pediatric Psychotropic Medication Initiation and Adherence: A Literature Review Based on Social Exchange Theory.”</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“A Student Pharmacist Quality Engagement Team to Support Initial Implementation of Comprehensive Medication Management within Independent Community Pharmacies.”</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“Mental Health Trends in Military Pediatrics.”</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“Combat Duty in Iraq and Afghanistan, Mental Health Problems, and Barriers to Care.”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“Transformation of Mental Health Care for U.S. Soldiers and Families During the Iraq and Afghanistan Wars: Where Science and Politics Intersect.”</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“The Beliefs about Medicines Questionnaire: The Development and Evaluation of a New Method for Assessing the Cognitive Representation of Medication.”</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“Factors Influencing Stigma Toward Mental Illness Among Students at the University of Baghdad.”</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“Trauma and Perceived Social Rejection among Yazidi Women and Girls Who Survived Enslavement and Genocide.”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“ANXIETY, DEPRESSION, AND PSYCHOTROPIC DRUGS USAGE BY UNIVERSITY STUDENTS OF MEDICAL GROUP IN BASRA, IRAQ.”</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“Parental Factors Associated with Child or Adolescent Medication Adherence: A Systematic Review.”</w:t>
      </w:r>
      <w:r>
        <w:t xml:space="preserve"> </w:t>
      </w:r>
      <w:r>
        <w:t xml:space="preserve">Healthcare 11, no. 4 (2023): 501. https://doi.org/10.3390/healthcare11040501.</w:t>
      </w:r>
      <w:r>
        <w:t xml:space="preserve"> </w:t>
      </w:r>
      <w:r>
        <w:t xml:space="preserve">Kwan, Yu Heng, Si Dun Weng, Dionne Hui Fang Loh, et al. </w:t>
      </w:r>
      <w:r>
        <w:t xml:space="preserve">“Measurement Properties of Existing Patient-Reported Outcome Measures on Medication Adherence: Systematic Review.”</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“Physical Illness and Schizophrenia: A Review of the Literature.”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“Comparative Efficacy and Tolerability of 15 Antipsychotic Drugs in Schizophrenia: A Multiple-Treatments Meta-Analysis.”</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“Prevalence of Mental Health Problems among Iraqi University Students during the COVID-19 Pandemic.”</w:t>
      </w:r>
      <w:r>
        <w:t xml:space="preserve"> </w:t>
      </w:r>
      <w:r>
        <w:t xml:space="preserve">Sustainability 15, no. 3 (2023): 1746. https://doi.org/10.3390/su15031746.</w:t>
      </w:r>
      <w:r>
        <w:t xml:space="preserve"> </w:t>
      </w:r>
      <w:r>
        <w:t xml:space="preserve">Mojtabai, Ramin.</w:t>
      </w:r>
      <w:r>
        <w:t xml:space="preserve"> </w:t>
      </w:r>
      <w:r>
        <w:t xml:space="preserve">“Americans’ Attitudes Toward Psychiatric Medications: 1998–2006.”</w:t>
      </w:r>
      <w:r>
        <w:t xml:space="preserve"> </w:t>
      </w:r>
      <w:r>
        <w:t xml:space="preserve">Psychiatric Services 60, no. 8 (2009): 1015–23. https://doi.org/10.1176/ps.2009.60.8.1015.</w:t>
      </w:r>
      <w:r>
        <w:t xml:space="preserve"> </w:t>
      </w:r>
      <w:r>
        <w:t xml:space="preserve">Nassr, Ola A., and Raghad F.</w:t>
      </w:r>
      <w:r>
        <w:t xml:space="preserve"> </w:t>
      </w:r>
      <w:r>
        <w:t xml:space="preserve">“Prevalence and Predictors of High-Dose Antipsychotic Therapy among Adult Psychiatric Inpatients in Baghdad, Iraq.”</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“Mental Health Services in Egypt, the Middle East, and North Africa.”</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“Patterns of Prescription of Antipsychotics in Qatar.”</w:t>
      </w:r>
      <w:r>
        <w:t xml:space="preserve"> </w:t>
      </w:r>
      <w:r>
        <w:t xml:space="preserve">PLOS ONE 15, no. 11 (2020): e0241986. https://doi.org/10.1371/journal.pone.0241986.</w:t>
      </w:r>
      <w:r>
        <w:t xml:space="preserve"> </w:t>
      </w:r>
      <w:r>
        <w:t xml:space="preserve">Rasheed, Sana, Eisha Kashif, Rida Arif, et al. </w:t>
      </w:r>
      <w:r>
        <w:t xml:space="preserve">“The Impact of Stigma on Health Care-Seeking Behavior in Military Personnel with Mental Health Challenges.”</w:t>
      </w:r>
      <w:r>
        <w:t xml:space="preserve"> </w:t>
      </w:r>
      <w:r>
        <w:t xml:space="preserve">Annals of Medicine and Surgery (2012) 88, no. 1 (2026): 630–36. https://doi.org/10.1097/MS9.0000000000004569.</w:t>
      </w:r>
      <w:r>
        <w:t xml:space="preserve"> </w:t>
      </w:r>
      <w:r>
        <w:t xml:space="preserve">Roder, V.</w:t>
      </w:r>
      <w:r>
        <w:t xml:space="preserve"> </w:t>
      </w:r>
      <w:r>
        <w:t xml:space="preserve">“Integrated Psychological Therapy (IPT) for Schizophrenia: Is It Effective?”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“Public Perception of Mental Health in Iraq.”</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“Iraq’s Mental Health Crisis: A Way Forward?”</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“National Suicide Prevention Strategy in Iraq.”</w:t>
      </w:r>
      <w:r>
        <w:t xml:space="preserve"> </w:t>
      </w:r>
      <w:r>
        <w:t xml:space="preserve">Asian Journal of Psychiatry 82 (April 2023): 103486. https://doi.org/10.1016/j.ajp.2023.103486.</w:t>
      </w:r>
      <w:r>
        <w:t xml:space="preserve"> </w:t>
      </w:r>
      <w:r>
        <w:t xml:space="preserve">Slewa-Younan, Shameran, Jonathan Mond, Elise Bussion, et al. </w:t>
      </w:r>
      <w:r>
        <w:t xml:space="preserve">“Mental Health Literacy of Resettled Iraqi Refugees in Australia: Knowledge about Posttraumatic Stress Disorder and Beliefs about Helpfulness of Interventions.”</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“Improving the Capacity of Community-Based Workers in Australia to Provide Initial Assistance to Iraqi Refugees with Mental Health Problems: An Uncontrolled Evaluation of a Mental Health Literacy Course.”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“Community Pharmacist Attitudes towards Collaboration with General Practitioners: Development and Validation of a Measure and a Model.”</w:t>
      </w:r>
      <w:r>
        <w:t xml:space="preserve"> </w:t>
      </w:r>
      <w:r>
        <w:t xml:space="preserve">BMC Health Services Research 12, no. 1 (2012): 320. https://doi.org/10.1186/1472-6963-12-320.</w:t>
      </w:r>
      <w:r>
        <w:t xml:space="preserve"> </w:t>
      </w:r>
      <w:r>
        <w:t xml:space="preserve">Younis, Maha S.</w:t>
      </w:r>
      <w:r>
        <w:t xml:space="preserve"> </w:t>
      </w:r>
      <w:r>
        <w:t xml:space="preserve">“Tears of Ishtar: Women’s Mental Health in Iraq.”</w:t>
      </w:r>
      <w:r>
        <w:t xml:space="preserve"> </w:t>
      </w:r>
      <w:r>
        <w:t xml:space="preserve">The Lancet. Psychiatry 2, no. 2 (2015): 119–21. https://doi.org/10.1016/S2215-0366(14)00061-3.</w:t>
      </w:r>
      <w:r>
        <w:t xml:space="preserve"> </w:t>
      </w:r>
      <w:r>
        <w:t xml:space="preserve">Younis, Maha S., and Deema Khunda.</w:t>
      </w:r>
      <w:r>
        <w:t xml:space="preserve"> </w:t>
      </w:r>
      <w:r>
        <w:t xml:space="preserve">“Maha Sulaiman Younis: A Personal History of Psychiatry in Iraq through War and Conflict.”</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“Faith Healers Are Taking over the Role of Psychiatrists in Iraq.”</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“The Plight of Women in Iraq: Gender Disparity, Violence, and Mental Health.”</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“Stigma Associated with Mental Illness and Its Treatment in the Arab Culture: A Systematic Review.”</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“Interventions to Improve Medication Adherence in Schizophrenia.”</w:t>
      </w:r>
      <w:r>
        <w:t xml:space="preserve"> </w:t>
      </w:r>
      <w:r>
        <w:t xml:space="preserve">American Journal of Psychiatry 159, no. 10 (2002): 1653–64. https://doi.org/10.1176/appi.ajp.159.10.1653.</w:t>
      </w:r>
    </w:p>
    <w:bookmarkEnd w:id="68"/>
    <w:bookmarkStart w:id="72" w:name="primary-adjusted-or-forest-plot"/>
    <w:p>
      <w:pPr>
        <w:pStyle w:val="Heading1"/>
      </w:pPr>
      <w:r>
        <w:t xml:space="preserve">Primary adjusted OR forest plot</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8848"/>
            <wp:effectExtent b="0" l="0" r="0" t="0"/>
            <wp:docPr descr="Primary adjusted OR forest plot" title="" id="70" name="Picture"/>
            <a:graphic>
              <a:graphicData uri="http://schemas.openxmlformats.org/drawingml/2006/picture">
                <pic:pic>
                  <pic:nvPicPr>
                    <pic:cNvPr descr="../figures/03_primary_adjusted_or_forest.png" id="71" name="Picture"/>
                    <pic:cNvPicPr>
                      <a:picLocks noChangeArrowheads="1" noChangeAspect="1"/>
                    </pic:cNvPicPr>
                  </pic:nvPicPr>
                  <pic:blipFill>
                    <a:blip r:embed="rId69"/>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t xml:space="preserve">Primary adjusted OR forest plot</w:t>
      </w:r>
    </w:p>
    <w:p>
      <w:pPr>
        <w:pStyle w:val="BodyText"/>
      </w:pPr>
      <w:r>
        <w:rPr>
          <w:b/>
          <w:bCs/>
        </w:rPr>
        <w:t xml:space="preserve">Caption:</w:t>
      </w:r>
      <w:r>
        <w:t xml:space="preserve"> </w:t>
      </w:r>
      <w:r>
        <w:t xml:space="preserve">Adjusted odds ratios with 95% confidence intervals for Block 3 predictors.</w:t>
      </w:r>
    </w:p>
    <w:p>
      <w:pPr>
        <w:pStyle w:val="BodyText"/>
      </w:pPr>
      <w:r>
        <w:rPr>
          <w:b/>
          <w:bCs/>
        </w:rPr>
        <w:t xml:space="preserve">Quick analysis:</w:t>
      </w:r>
      <w:r>
        <w:t xml:space="preserve"> </w:t>
      </w:r>
      <w:r>
        <w:t xml:space="preserve">4 predictors are statistically significant at p&lt;0.05, with clear protective and risk-direction effects.</w:t>
      </w:r>
    </w:p>
    <w:bookmarkEnd w:id="72"/>
    <w:bookmarkStart w:id="76" w:name="multinomial-key-predictor-comparison"/>
    <w:p>
      <w:pPr>
        <w:pStyle w:val="Heading1"/>
      </w:pPr>
      <w:r>
        <w:t xml:space="preserve">Multinomial key predictor comparison</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7052"/>
            <wp:effectExtent b="0" l="0" r="0" t="0"/>
            <wp:docPr descr="Multinomial key predictor comparison" title="" id="74" name="Picture"/>
            <a:graphic>
              <a:graphicData uri="http://schemas.openxmlformats.org/drawingml/2006/picture">
                <pic:pic>
                  <pic:nvPicPr>
                    <pic:cNvPr descr="../figures/08_multinomial_key_predictor_comparison.png" id="75" name="Picture"/>
                    <pic:cNvPicPr>
                      <a:picLocks noChangeArrowheads="1" noChangeAspect="1"/>
                    </pic:cNvPicPr>
                  </pic:nvPicPr>
                  <pic:blipFill>
                    <a:blip r:embed="rId73"/>
                    <a:stretch>
                      <a:fillRect/>
                    </a:stretch>
                  </pic:blipFill>
                  <pic:spPr bwMode="auto">
                    <a:xfrm>
                      <a:off x="0" y="0"/>
                      <a:ext cx="5334000" cy="3177052"/>
                    </a:xfrm>
                    <a:prstGeom prst="rect">
                      <a:avLst/>
                    </a:prstGeom>
                    <a:noFill/>
                    <a:ln w="9525">
                      <a:noFill/>
                      <a:headEnd/>
                      <a:tailEnd/>
                    </a:ln>
                  </pic:spPr>
                </pic:pic>
              </a:graphicData>
            </a:graphic>
          </wp:inline>
        </w:drawing>
      </w:r>
    </w:p>
    <w:p>
      <w:pPr>
        <w:pStyle w:val="ImageCaption"/>
      </w:pPr>
      <w:r>
        <w:t xml:space="preserve">Multinomial key predictor comparison</w:t>
      </w:r>
    </w:p>
    <w:p>
      <w:pPr>
        <w:pStyle w:val="BodyText"/>
      </w:pPr>
      <w:r>
        <w:rPr>
          <w:b/>
          <w:bCs/>
        </w:rPr>
        <w:t xml:space="preserve">Caption:</w:t>
      </w:r>
      <w:r>
        <w:t xml:space="preserve"> </w:t>
      </w:r>
      <w:r>
        <w:t xml:space="preserve">Side-by-side RRR values for key predictors across Yes and Not sure outcomes.</w:t>
      </w:r>
    </w:p>
    <w:p>
      <w:pPr>
        <w:pStyle w:val="BodyText"/>
      </w:pPr>
      <w:r>
        <w:rPr>
          <w:b/>
          <w:bCs/>
        </w:rPr>
        <w:t xml:space="preserve">Quick analysis:</w:t>
      </w:r>
      <w:r>
        <w:t xml:space="preserve"> </w:t>
      </w:r>
      <w:r>
        <w:t xml:space="preserve">Q13 shows a larger relative risk ratio for Yes responses, whereas Q11 and Q12 have relative risk ratios closer to 1.0 in the Not sure equation.</w:t>
      </w:r>
    </w:p>
    <w:bookmarkEnd w:id="76"/>
    <w:bookmarkStart w:id="80" w:name="profile-means-heatmap"/>
    <w:p>
      <w:pPr>
        <w:pStyle w:val="Heading1"/>
      </w:pPr>
      <w:r>
        <w:t xml:space="preserve">Profile means heatmap</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410135"/>
            <wp:effectExtent b="0" l="0" r="0" t="0"/>
            <wp:docPr descr="Profile means heatmap" title="" id="78" name="Picture"/>
            <a:graphic>
              <a:graphicData uri="http://schemas.openxmlformats.org/drawingml/2006/picture">
                <pic:pic>
                  <pic:nvPicPr>
                    <pic:cNvPr descr="../figures/14_profile_means_heatmap.png" id="79" name="Picture"/>
                    <pic:cNvPicPr>
                      <a:picLocks noChangeArrowheads="1" noChangeAspect="1"/>
                    </pic:cNvPicPr>
                  </pic:nvPicPr>
                  <pic:blipFill>
                    <a:blip r:embed="rId77"/>
                    <a:stretch>
                      <a:fillRect/>
                    </a:stretch>
                  </pic:blipFill>
                  <pic:spPr bwMode="auto">
                    <a:xfrm>
                      <a:off x="0" y="0"/>
                      <a:ext cx="5334000" cy="3410135"/>
                    </a:xfrm>
                    <a:prstGeom prst="rect">
                      <a:avLst/>
                    </a:prstGeom>
                    <a:noFill/>
                    <a:ln w="9525">
                      <a:noFill/>
                      <a:headEnd/>
                      <a:tailEnd/>
                    </a:ln>
                  </pic:spPr>
                </pic:pic>
              </a:graphicData>
            </a:graphic>
          </wp:inline>
        </w:drawing>
      </w:r>
    </w:p>
    <w:p>
      <w:pPr>
        <w:pStyle w:val="ImageCaption"/>
      </w:pPr>
      <w:r>
        <w:t xml:space="preserve">Profile means heatmap</w:t>
      </w:r>
    </w:p>
    <w:p>
      <w:pPr>
        <w:pStyle w:val="BodyText"/>
      </w:pPr>
      <w:r>
        <w:rPr>
          <w:b/>
          <w:bCs/>
        </w:rPr>
        <w:t xml:space="preserve">Caption:</w:t>
      </w:r>
      <w:r>
        <w:t xml:space="preserve"> </w:t>
      </w:r>
      <w:r>
        <w:t xml:space="preserve">Heatmap of profile-level means across Q11, Q12, and Q13.</w:t>
      </w:r>
    </w:p>
    <w:p>
      <w:pPr>
        <w:pStyle w:val="BodyText"/>
      </w:pPr>
      <w:r>
        <w:rPr>
          <w:b/>
          <w:bCs/>
        </w:rPr>
        <w:t xml:space="preserve">Quick analysis:</w:t>
      </w:r>
      <w:r>
        <w:t xml:space="preserve"> </w:t>
      </w:r>
      <w:r>
        <w:t xml:space="preserve">Profiles show distinct belief combinations, especially around confidence in newer medications (Q13).</w:t>
      </w:r>
    </w:p>
    <w:bookmarkEnd w:id="80"/>
    <w:bookmarkStart w:id="84" w:name="diverging-likert-chart-q11q13"/>
    <w:p>
      <w:pPr>
        <w:pStyle w:val="Heading1"/>
      </w:pPr>
      <w:r>
        <w:t xml:space="preserve">Diverging Likert chart (Q11–Q13)</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8848"/>
            <wp:effectExtent b="0" l="0" r="0" t="0"/>
            <wp:docPr descr="Diverging Likert chart (Q11–Q13)" title="" id="82" name="Picture"/>
            <a:graphic>
              <a:graphicData uri="http://schemas.openxmlformats.org/drawingml/2006/picture">
                <pic:pic>
                  <pic:nvPicPr>
                    <pic:cNvPr descr="../figures/19_likert_diverging_q11_q13.png" id="83" name="Picture"/>
                    <pic:cNvPicPr>
                      <a:picLocks noChangeArrowheads="1" noChangeAspect="1"/>
                    </pic:cNvPicPr>
                  </pic:nvPicPr>
                  <pic:blipFill>
                    <a:blip r:embed="rId81"/>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t xml:space="preserve">Diverging Likert chart (Q11–Q13)</w:t>
      </w:r>
    </w:p>
    <w:p>
      <w:pPr>
        <w:pStyle w:val="BodyText"/>
      </w:pPr>
      <w:r>
        <w:rPr>
          <w:b/>
          <w:bCs/>
        </w:rPr>
        <w:t xml:space="preserve">Caption:</w:t>
      </w:r>
      <w:r>
        <w:t xml:space="preserve"> </w:t>
      </w:r>
      <w:r>
        <w:t xml:space="preserve">Disagree/Neutral/Agree percentages for Q11, Q12, and Q13.</w:t>
      </w:r>
    </w:p>
    <w:p>
      <w:pPr>
        <w:pStyle w:val="BodyText"/>
      </w:pPr>
      <w:r>
        <w:rPr>
          <w:b/>
          <w:bCs/>
        </w:rPr>
        <w:t xml:space="preserve">Quick analysis:</w:t>
      </w:r>
      <w:r>
        <w:t xml:space="preserve"> </w:t>
      </w:r>
      <w:r>
        <w:t xml:space="preserve">Q11 and Q12 lean toward agreement with concern-focused statements, while Q13 shows stronger positive confidence in newer medications.</w:t>
      </w:r>
    </w:p>
    <w:bookmarkEnd w:id="84"/>
    <w:bookmarkStart w:id="88" w:name="donut-charts-for-main-questions"/>
    <w:p>
      <w:pPr>
        <w:pStyle w:val="Heading1"/>
      </w:pPr>
      <w:r>
        <w:t xml:space="preserve">Donut charts for main questions</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221040"/>
            <wp:effectExtent b="0" l="0" r="0" t="0"/>
            <wp:docPr descr="Donut charts for main questions" title="" id="86" name="Picture"/>
            <a:graphic>
              <a:graphicData uri="http://schemas.openxmlformats.org/drawingml/2006/picture">
                <pic:pic>
                  <pic:nvPicPr>
                    <pic:cNvPr descr="../figures/27_donut_main_questions.png" id="87" name="Picture"/>
                    <pic:cNvPicPr>
                      <a:picLocks noChangeArrowheads="1" noChangeAspect="1"/>
                    </pic:cNvPicPr>
                  </pic:nvPicPr>
                  <pic:blipFill>
                    <a:blip r:embed="rId85"/>
                    <a:stretch>
                      <a:fillRect/>
                    </a:stretch>
                  </pic:blipFill>
                  <pic:spPr bwMode="auto">
                    <a:xfrm>
                      <a:off x="0" y="0"/>
                      <a:ext cx="5334000" cy="3221040"/>
                    </a:xfrm>
                    <a:prstGeom prst="rect">
                      <a:avLst/>
                    </a:prstGeom>
                    <a:noFill/>
                    <a:ln w="9525">
                      <a:noFill/>
                      <a:headEnd/>
                      <a:tailEnd/>
                    </a:ln>
                  </pic:spPr>
                </pic:pic>
              </a:graphicData>
            </a:graphic>
          </wp:inline>
        </w:drawing>
      </w:r>
    </w:p>
    <w:p>
      <w:pPr>
        <w:pStyle w:val="ImageCaption"/>
      </w:pPr>
      <w:r>
        <w:t xml:space="preserve">Donut charts for main questions</w:t>
      </w:r>
    </w:p>
    <w:p>
      <w:pPr>
        <w:pStyle w:val="BodyText"/>
      </w:pPr>
      <w:r>
        <w:rPr>
          <w:b/>
          <w:bCs/>
        </w:rPr>
        <w:t xml:space="preserve">Caption:</w:t>
      </w:r>
      <w:r>
        <w:t xml:space="preserve"> </w:t>
      </w:r>
      <w:r>
        <w:t xml:space="preserve">Donut infographic view for safety, acceptability, and recommendation responses.</w:t>
      </w:r>
    </w:p>
    <w:p>
      <w:pPr>
        <w:pStyle w:val="BodyText"/>
      </w:pPr>
      <w:r>
        <w:rPr>
          <w:b/>
          <w:bCs/>
        </w:rPr>
        <w:t xml:space="preserve">Quick analysis:</w:t>
      </w:r>
      <w:r>
        <w:t xml:space="preserve"> </w:t>
      </w:r>
      <w:r>
        <w:t xml:space="preserve">This compact format gives a quick social-media-style snapshot of the three core public opinion outcomes.</w:t>
      </w:r>
    </w:p>
    <w:bookmarkEnd w:id="88"/>
    <w:bookmarkStart w:id="92" w:name="Xae062016195db0880ccc8bb7fd57fa8380dd04c"/>
    <w:p>
      <w:pPr>
        <w:pStyle w:val="Heading1"/>
      </w:pPr>
      <w:r>
        <w:t xml:space="preserve">Gender breakdown of recommendation opinions</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7052"/>
            <wp:effectExtent b="0" l="0" r="0" t="0"/>
            <wp:docPr descr="Gender breakdown of recommendation opinions" title="" id="90" name="Picture"/>
            <a:graphic>
              <a:graphicData uri="http://schemas.openxmlformats.org/drawingml/2006/picture">
                <pic:pic>
                  <pic:nvPicPr>
                    <pic:cNvPr descr="../figures/31_gender_recommendation_breakdown.png" id="91" name="Picture"/>
                    <pic:cNvPicPr>
                      <a:picLocks noChangeArrowheads="1" noChangeAspect="1"/>
                    </pic:cNvPicPr>
                  </pic:nvPicPr>
                  <pic:blipFill>
                    <a:blip r:embed="rId89"/>
                    <a:stretch>
                      <a:fillRect/>
                    </a:stretch>
                  </pic:blipFill>
                  <pic:spPr bwMode="auto">
                    <a:xfrm>
                      <a:off x="0" y="0"/>
                      <a:ext cx="5334000" cy="3177052"/>
                    </a:xfrm>
                    <a:prstGeom prst="rect">
                      <a:avLst/>
                    </a:prstGeom>
                    <a:noFill/>
                    <a:ln w="9525">
                      <a:noFill/>
                      <a:headEnd/>
                      <a:tailEnd/>
                    </a:ln>
                  </pic:spPr>
                </pic:pic>
              </a:graphicData>
            </a:graphic>
          </wp:inline>
        </w:drawing>
      </w:r>
    </w:p>
    <w:p>
      <w:pPr>
        <w:pStyle w:val="ImageCaption"/>
      </w:pPr>
      <w:r>
        <w:t xml:space="preserve">Gender breakdown of recommendation opinions</w:t>
      </w:r>
    </w:p>
    <w:p>
      <w:pPr>
        <w:pStyle w:val="BodyText"/>
      </w:pPr>
      <w:r>
        <w:rPr>
          <w:b/>
          <w:bCs/>
        </w:rPr>
        <w:t xml:space="preserve">Caption:</w:t>
      </w:r>
      <w:r>
        <w:t xml:space="preserve"> </w:t>
      </w:r>
      <w:r>
        <w:t xml:space="preserve">Within-gender distribution of Yes/Not sure/No responses for recommendation.</w:t>
      </w:r>
    </w:p>
    <w:p>
      <w:pPr>
        <w:pStyle w:val="BodyText"/>
      </w:pPr>
      <w:r>
        <w:rPr>
          <w:b/>
          <w:bCs/>
        </w:rPr>
        <w:t xml:space="preserve">Quick analysis:</w:t>
      </w:r>
      <w:r>
        <w:t xml:space="preserve"> </w:t>
      </w:r>
      <w:r>
        <w:t xml:space="preserve">The side-by-side format highlights how recommendation sentiment differs between women and men.</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44" Target="../figures/03_primary_adjusted_or_forest.png" TargetMode="External" /><Relationship Type="http://schemas.openxmlformats.org/officeDocument/2006/relationships/hyperlink" Id="rId46" Target="../figures/08_multinomial_key_predictor_comparison.png" TargetMode="External" /><Relationship Type="http://schemas.openxmlformats.org/officeDocument/2006/relationships/hyperlink" Id="rId49" Target="../figures/14_profile_means_heatmap.png" TargetMode="External" /><Relationship Type="http://schemas.openxmlformats.org/officeDocument/2006/relationships/hyperlink" Id="rId41" Target="../figures/19_likert_diverging_q11_q13.png" TargetMode="External" /><Relationship Type="http://schemas.openxmlformats.org/officeDocument/2006/relationships/hyperlink" Id="rId39" Target="../figures/27_donut_main_questions.png" TargetMode="External" /><Relationship Type="http://schemas.openxmlformats.org/officeDocument/2006/relationships/hyperlink" Id="rId40" Target="../figures/31_gender_recommendation_breakdown.png" TargetMode="External" /></Relationships>
</file>

<file path=word/_rels/footnotes.xml.rels><?xml version="1.0" encoding="UTF-8"?><Relationships xmlns="http://schemas.openxmlformats.org/package/2006/relationships"><Relationship Type="http://schemas.openxmlformats.org/officeDocument/2006/relationships/hyperlink" Id="rId44" Target="../figures/03_primary_adjusted_or_forest.png" TargetMode="External" /><Relationship Type="http://schemas.openxmlformats.org/officeDocument/2006/relationships/hyperlink" Id="rId46" Target="../figures/08_multinomial_key_predictor_comparison.png" TargetMode="External" /><Relationship Type="http://schemas.openxmlformats.org/officeDocument/2006/relationships/hyperlink" Id="rId49" Target="../figures/14_profile_means_heatmap.png" TargetMode="External" /><Relationship Type="http://schemas.openxmlformats.org/officeDocument/2006/relationships/hyperlink" Id="rId41" Target="../figures/19_likert_diverging_q11_q13.png" TargetMode="External" /><Relationship Type="http://schemas.openxmlformats.org/officeDocument/2006/relationships/hyperlink" Id="rId39" Target="../figures/27_donut_main_questions.png" TargetMode="External" /><Relationship Type="http://schemas.openxmlformats.org/officeDocument/2006/relationships/hyperlink" Id="rId40" Target="../figures/31_gender_recommendation_breakdown.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2026-04-21T00:16:31Z</dcterms:created>
  <dcterms:modified xsi:type="dcterms:W3CDTF">2026-04-21T00:16:31Z</dcterms:modified>
</cp:coreProperties>
</file>

<file path=docProps/custom.xml><?xml version="1.0" encoding="utf-8"?>
<Properties xmlns="http://schemas.openxmlformats.org/officeDocument/2006/custom-properties" xmlns:vt="http://schemas.openxmlformats.org/officeDocument/2006/docPropsVTypes"/>
</file>