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May</w:t>
      </w:r>
      <w:r>
        <w:t xml:space="preserve"> </w:t>
      </w:r>
      <w:r>
        <w:t xml:space="preserve">1,</w:t>
      </w:r>
      <w:r>
        <w:t xml:space="preserve"> </w:t>
      </w:r>
      <w:r>
        <w:t xml:space="preserve">2025</w:t>
      </w:r>
    </w:p>
    <w:p>
      <w:pPr>
        <w:pStyle w:val="AbstractTitle"/>
      </w:pPr>
      <w:r>
        <w:t xml:space="preserve">Abstract</w:t>
      </w:r>
    </w:p>
    <w:p>
      <w:pPr>
        <w:pStyle w:val="Abstract"/>
      </w:pPr>
      <w:r>
        <w:t xml:space="preserve">The</w:t>
      </w:r>
      <w:r>
        <w:t xml:space="preserve"> </w:t>
      </w:r>
      <w:r>
        <w:t xml:space="preserve">status</w:t>
      </w:r>
      <w:r>
        <w:t xml:space="preserve"> </w:t>
      </w:r>
      <w:r>
        <w:t xml:space="preserve">of</w:t>
      </w:r>
      <w:r>
        <w:t xml:space="preserve"> </w:t>
      </w:r>
      <w:r>
        <w:t xml:space="preserve">archaeology</w:t>
      </w:r>
      <w:r>
        <w:t xml:space="preserve"> </w:t>
      </w:r>
      <w:r>
        <w:t xml:space="preserve">as</w:t>
      </w:r>
      <w:r>
        <w:t xml:space="preserve"> </w:t>
      </w:r>
      <w:r>
        <w:t xml:space="preserve">a</w:t>
      </w:r>
      <w:r>
        <w:t xml:space="preserve"> </w:t>
      </w:r>
      <w:r>
        <w:t xml:space="preserve">science</w:t>
      </w:r>
      <w:r>
        <w:t xml:space="preserve"> </w:t>
      </w:r>
      <w:r>
        <w:t xml:space="preserve">has</w:t>
      </w:r>
      <w:r>
        <w:t xml:space="preserve"> </w:t>
      </w:r>
      <w:r>
        <w:t xml:space="preserve">been</w:t>
      </w:r>
      <w:r>
        <w:t xml:space="preserve"> </w:t>
      </w:r>
      <w:r>
        <w:t xml:space="preserve">debated</w:t>
      </w:r>
      <w:r>
        <w:t xml:space="preserve"> </w:t>
      </w:r>
      <w:r>
        <w:t xml:space="preserve">for</w:t>
      </w:r>
      <w:r>
        <w:t xml:space="preserve"> </w:t>
      </w:r>
      <w:r>
        <w:t xml:space="preserve">decades.</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Reproducibility</w:t>
      </w:r>
      <w:r>
        <w:t xml:space="preserve"> </w:t>
      </w:r>
      <w:r>
        <w:t xml:space="preserve">is</w:t>
      </w:r>
      <w:r>
        <w:t xml:space="preserve"> </w:t>
      </w:r>
      <w:r>
        <w:t xml:space="preserve">a</w:t>
      </w:r>
      <w:r>
        <w:t xml:space="preserve"> </w:t>
      </w:r>
      <w:r>
        <w:t xml:space="preserve">factor</w:t>
      </w:r>
      <w:r>
        <w:t xml:space="preserve"> </w:t>
      </w:r>
      <w:r>
        <w:t xml:space="preserve">in</w:t>
      </w:r>
      <w:r>
        <w:t xml:space="preserve"> </w:t>
      </w:r>
      <w:r>
        <w:t xml:space="preserve">the</w:t>
      </w:r>
      <w:r>
        <w:t xml:space="preserve"> </w:t>
      </w:r>
      <w:r>
        <w:t xml:space="preserve">hardness/softness</w:t>
      </w:r>
      <w:r>
        <w:t xml:space="preserve"> </w:t>
      </w:r>
      <w:r>
        <w:t xml:space="preserve">of</w:t>
      </w:r>
      <w:r>
        <w:t xml:space="preserve"> </w:t>
      </w:r>
      <w:r>
        <w:t xml:space="preserve">a</w:t>
      </w:r>
      <w:r>
        <w:t xml:space="preserve"> </w:t>
      </w:r>
      <w:r>
        <w:t xml:space="preserve">field</w:t>
      </w:r>
      <w:r>
        <w:t xml:space="preserve"> </w:t>
      </w:r>
      <w:r>
        <w:t xml:space="preserve">because</w:t>
      </w:r>
      <w:r>
        <w:t xml:space="preserve"> </w:t>
      </w:r>
      <w:r>
        <w:t xml:space="preserve">of</w:t>
      </w:r>
      <w:r>
        <w:t xml:space="preserve"> </w:t>
      </w:r>
      <w:r>
        <w:t xml:space="preserve">it</w:t>
      </w:r>
      <w:r>
        <w:t xml:space="preserve"> </w:t>
      </w:r>
      <w:r>
        <w:t xml:space="preserve">importance</w:t>
      </w:r>
      <w:r>
        <w:t xml:space="preserve"> </w:t>
      </w:r>
      <w:r>
        <w:t xml:space="preserve">in</w:t>
      </w:r>
      <w:r>
        <w:t xml:space="preserve"> </w:t>
      </w:r>
      <w:r>
        <w:t xml:space="preserve">establishing</w:t>
      </w:r>
      <w:r>
        <w:t xml:space="preserve"> </w:t>
      </w:r>
      <w:r>
        <w:t xml:space="preserve">consensus.</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of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Drawing on a different group of philosophers,</w:t>
      </w:r>
      <w:r>
        <w:t xml:space="preserve"> </w:t>
      </w:r>
      <w:r>
        <w:t xml:space="preserve">Smith (2017)</w:t>
      </w:r>
      <w:r>
        <w:t xml:space="preserve"> </w:t>
      </w:r>
      <w:r>
        <w:t xml:space="preserve">argues for archaeology more specifically as a social science. Counter-arguments to archaeology as a science come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In sum, the hard-soft status is defined by the amount of consensus in a field, and the speed at which consensus is reached on new knowledge</w:t>
      </w:r>
      <w:r>
        <w:t xml:space="preserve"> </w:t>
      </w:r>
      <w:r>
        <w:t xml:space="preserve">(Fanelli and Glänzel, 2013)</w:t>
      </w:r>
      <w:r>
        <w:t xml:space="preserve">. Hardness and softness is a controversial distinction, in part because it is sometimes used to imply a rank order of disciplines that encodes legitimacy, productivity, perceived value to society, and worthiness of funding</w:t>
      </w:r>
      <w:r>
        <w:t xml:space="preserve"> </w:t>
      </w:r>
      <w:r>
        <w:t xml:space="preserve">(Cole, 1983; Editors, 2012)</w:t>
      </w:r>
      <w:r>
        <w:t xml:space="preserve">. On the other hand, analyzing the characteristics that lead to the hard-soft distinction can be useful for understanding the diversity of academic inquiry, such as how different fields approach knowledge and differences in what counts as evidence and modes of argument, where fruitful collaborations might be possible due to shared methods and assumptions, and for curriculum design to structure courses appropriately based on a field’s typical ways of knowing.</w:t>
      </w:r>
    </w:p>
    <w:p>
      <w:pPr>
        <w:pStyle w:val="BodyText"/>
      </w:pPr>
      <w:r>
        <w:t xml:space="preserve">Independent of these value judgments, empirical analysis of scholarly articles does support the hard-soft concept as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diversity of modern archaeological practice across a scale of relative hardness or softness,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While article length is constrained by journal requirements, leaving individual authors with little freedom to vary, journal requirements are typically set by editors who are professional archaeologists keen to tailor their journal to be attractive and relevant other members of the discipline. Thus journal requirements for article length will reflect the norms and of the discipline at any given time.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 is a similar indicator, with papers in harder fields having a higher concentration of more specific citations because more knowledge is taken for granted as core knowledge that does not need citing</w:t>
      </w:r>
      <w:r>
        <w:t xml:space="preserve"> </w:t>
      </w:r>
      <w:r>
        <w:t xml:space="preserve">(Skilton, 2006)</w:t>
      </w:r>
      <w:r>
        <w:t xml:space="preserve">. Conversely, softer fields have less knowledge taken for granted, a smaller core of facts that do not need citing, and thus a higher diversity of citations.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smaller coloured boxplots indicate the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28" w:name="Xc2c9a552f0d6954745dfa9c49a6db961c16f531"/>
    <w:p>
      <w:pPr>
        <w:pStyle w:val="Heading3"/>
      </w:pPr>
      <w:r>
        <w:t xml:space="preserve">How has the hardness of archaeology varied over time?</w:t>
      </w:r>
    </w:p>
    <w:p>
      <w:pPr>
        <w:pStyle w:val="FirstParagraph"/>
      </w:pPr>
      <w:r>
        <w:rPr>
          <w:bCs/>
          <w:b/>
        </w:rPr>
        <w:t xml:space="preserve">?@fig-change-over-time</w:t>
      </w:r>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r>
        <w:rPr>
          <w:bCs/>
          <w:b/>
        </w:rPr>
        <w:t xml:space="preserve">?@fig-change-over-time</w:t>
      </w:r>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 The appearance of Google Scholar in 2004, increasing the discoverability of many works for many researchers, may have also contributed to this increase in diversity of references.</w:t>
      </w:r>
    </w:p>
    <w:bookmarkEnd w:id="28"/>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2" w:name="fig-variation-by-journal"/>
          <w:p>
            <w:pPr>
              <w:pStyle w:val="Compact"/>
              <w:jc w:val="center"/>
            </w:pPr>
            <w:r>
              <w:drawing>
                <wp:inline>
                  <wp:extent cx="5943600" cy="5943600"/>
                  <wp:effectExtent b="0" l="0" r="0" t="0"/>
                  <wp:docPr descr="" title="" id="30" name="Picture"/>
                  <a:graphic>
                    <a:graphicData uri="http://schemas.openxmlformats.org/drawingml/2006/picture">
                      <pic:pic>
                        <pic:nvPicPr>
                          <pic:cNvPr descr="paper_files/figure-docx/fig-variation-by-journal-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w:t>
            </w:r>
          </w:p>
          <w:bookmarkEnd w:id="32"/>
        </w:tc>
      </w:tr>
    </w:tbl>
    <w:tbl>
      <w:tblPr>
        <w:tblStyle w:val="Table"/>
        <w:tblW w:type="pct" w:w="5000"/>
        <w:tblLook w:firstRow="0" w:lastRow="0" w:firstColumn="0" w:lastColumn="0" w:noHBand="0" w:noVBand="0" w:val="0000"/>
        <w:jc w:val="start"/>
        <w:tblLayout w:type="fixed"/>
      </w:tblPr>
      <w:tblGrid>
        <w:gridCol w:w="7920"/>
      </w:tblGrid>
      <w:tr>
        <w:tc>
          <w:tcPr/>
          <w:bookmarkStart w:id="36" w:name="fig-pca"/>
          <w:p>
            <w:pPr>
              <w:pStyle w:val="Compact"/>
              <w:jc w:val="center"/>
            </w:pPr>
            <w:r>
              <w:drawing>
                <wp:inline>
                  <wp:extent cx="5943600" cy="3707933"/>
                  <wp:effectExtent b="0" l="0" r="0" t="0"/>
                  <wp:docPr descr="" title="" id="34" name="Picture"/>
                  <a:graphic>
                    <a:graphicData uri="http://schemas.openxmlformats.org/drawingml/2006/picture">
                      <pic:pic>
                        <pic:nvPicPr>
                          <pic:cNvPr descr="../figures/plot_pca_means.png" id="35" name="Picture"/>
                          <pic:cNvPicPr>
                            <a:picLocks noChangeArrowheads="1" noChangeAspect="1"/>
                          </pic:cNvPicPr>
                        </pic:nvPicPr>
                        <pic:blipFill>
                          <a:blip r:embed="rId33"/>
                          <a:stretch>
                            <a:fillRect/>
                          </a:stretch>
                        </pic:blipFill>
                        <pic:spPr bwMode="auto">
                          <a:xfrm>
                            <a:off x="0" y="0"/>
                            <a:ext cx="5943600" cy="37079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Biplot of the first and second principal components of a PCA computed on the means of the five bibliometric variables for each journal in the sample. The arrows represent the correlation between each original variable and the principal components. The direction and length of the arrows indicate how strongly each variable contributes to each component.</w:t>
            </w:r>
          </w:p>
          <w:bookmarkEnd w:id="36"/>
        </w:tc>
      </w:tr>
    </w:tbl>
    <w:p>
      <w:pPr>
        <w:pStyle w:val="BodyText"/>
      </w:pPr>
      <w:hyperlink w:anchor="fig-variation-by-journal">
        <w:r>
          <w:rPr>
            <w:rStyle w:val="Hyperlink"/>
          </w:rPr>
          <w:t xml:space="preserve">Figure 2</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2</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2</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w:t>
      </w:r>
      <w:r>
        <w:t xml:space="preserve"> </w:t>
      </w:r>
      <w:hyperlink w:anchor="fig-pca">
        <w:r>
          <w:rPr>
            <w:rStyle w:val="Hyperlink"/>
          </w:rPr>
          <w:t xml:space="preserve">Figure 3</w:t>
        </w:r>
      </w:hyperlink>
      <w:r>
        <w:t xml:space="preserve"> </w:t>
      </w:r>
      <w:r>
        <w:t xml:space="preserve">shows 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PC1 is explained by title length, number of pages, and the diversity of references. Journals with higher PC1 values have articles with longer titles, fewer pages, and less diverse reference lists. The distribution of PC1 values is skewed left, with most of the journals concentrated at the harder end of the spectrum. PC2 is explained by number of authors and recency of references.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characterised by fewer authors and more recent references. In the positive range of PC2 are more specialised journals, characterised by higher numbers of authors and less recent references cited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generalist communities of practice.</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Scientific reproducibility is a factor contributing to the hardness of a field. Specifically, reproducibility is linked to to concept of consensus in a field because if more researchers provide sufficient detail for others to reproduce their results, then consensus on new knowledge can more often, and more, rapidly be established. 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MCMC = Markov Chain Monte Carlo, i.e. Bayesian models and other simulations; Network = statistical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(most papers required multiple reviews).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the key software packages needed and the version numbers that the authors used, and if the analysis takes more than a few minutes to run on a typical laptop, the hardware resources and compute time used by the author.</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w:t>
      </w:r>
      <w:r>
        <w:t xml:space="preserve"> </w:t>
      </w:r>
      <w:r>
        <w:t xml:space="preserve">Vaiglova (2025)</w:t>
      </w:r>
      <w:r>
        <w:t xml:space="preserve">;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8" w:name="references"/>
    <w:p>
      <w:pPr>
        <w:pStyle w:val="Heading1"/>
      </w:pPr>
      <w:r>
        <w:t xml:space="preserve">References</w:t>
      </w:r>
    </w:p>
    <w:bookmarkStart w:id="207"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4" w:name="ref-skilton2006comparative"/>
    <w:p>
      <w:pPr>
        <w:pStyle w:val="Bibliography"/>
      </w:pPr>
      <w:r>
        <w:t xml:space="preserve">Skilton, P.F., 2006. A comparative study of communal practice: Assessing the effects of taken-for-granted-ness on citation practice in scientific communities. Scientometrics 68, 73–96.</w:t>
      </w:r>
    </w:p>
    <w:bookmarkEnd w:id="174"/>
    <w:bookmarkStart w:id="176"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5">
        <w:r>
          <w:rPr>
            <w:rStyle w:val="Hyperlink"/>
          </w:rPr>
          <w:t xml:space="preserve">https://doi.org/10.1177/030631200030001003</w:t>
        </w:r>
      </w:hyperlink>
    </w:p>
    <w:bookmarkEnd w:id="176"/>
    <w:bookmarkStart w:id="178" w:name="ref-Smith_2017"/>
    <w:p>
      <w:pPr>
        <w:pStyle w:val="Bibliography"/>
      </w:pPr>
      <w:r>
        <w:t xml:space="preserve">Smith, M.E., 2017. Social science and archaeological enquiry. Antiquity 91, 520–528.</w:t>
      </w:r>
      <w:r>
        <w:t xml:space="preserve"> </w:t>
      </w:r>
      <w:hyperlink r:id="rId177">
        <w:r>
          <w:rPr>
            <w:rStyle w:val="Hyperlink"/>
          </w:rPr>
          <w:t xml:space="preserve">https://doi.org/10.15184/aqy.2017.19</w:t>
        </w:r>
      </w:hyperlink>
    </w:p>
    <w:bookmarkEnd w:id="178"/>
    <w:bookmarkStart w:id="180"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9">
        <w:r>
          <w:rPr>
            <w:rStyle w:val="Hyperlink"/>
          </w:rPr>
          <w:t xml:space="preserve">https://doi.org/10.1073/pnas.1708290115</w:t>
        </w:r>
      </w:hyperlink>
    </w:p>
    <w:bookmarkEnd w:id="180"/>
    <w:bookmarkStart w:id="182"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81">
        <w:r>
          <w:rPr>
            <w:rStyle w:val="Hyperlink"/>
          </w:rPr>
          <w:t xml:space="preserve">https://doi.org/10.1016/j.jas.2015.03.001</w:t>
        </w:r>
      </w:hyperlink>
    </w:p>
    <w:bookmarkEnd w:id="182"/>
    <w:bookmarkStart w:id="184"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3">
        <w:r>
          <w:rPr>
            <w:rStyle w:val="Hyperlink"/>
          </w:rPr>
          <w:t xml:space="preserve">https://doi.org/10.1038/s41597-022-01143-6</w:t>
        </w:r>
      </w:hyperlink>
    </w:p>
    <w:bookmarkEnd w:id="184"/>
    <w:bookmarkStart w:id="186" w:name="ref-renv"/>
    <w:p>
      <w:pPr>
        <w:pStyle w:val="Bibliography"/>
      </w:pPr>
      <w:r>
        <w:t xml:space="preserve">Ushey, K., Wickham, H., 2025.</w:t>
      </w:r>
      <w:r>
        <w:t xml:space="preserve"> </w:t>
      </w:r>
      <w:hyperlink r:id="rId185">
        <w:r>
          <w:rPr>
            <w:rStyle w:val="Hyperlink"/>
          </w:rPr>
          <w:t xml:space="preserve">Renv: Project environments</w:t>
        </w:r>
      </w:hyperlink>
      <w:r>
        <w:t xml:space="preserve">.</w:t>
      </w:r>
    </w:p>
    <w:bookmarkEnd w:id="186"/>
    <w:bookmarkStart w:id="188" w:name="ref-Vaiglova_2025"/>
    <w:p>
      <w:pPr>
        <w:pStyle w:val="Bibliography"/>
      </w:pPr>
      <w:r>
        <w:t xml:space="preserve">Vaiglova, P., 2025. How can we improve statistical training in archaeological science? Journal of Archaeological Science 179, 106220.</w:t>
      </w:r>
      <w:r>
        <w:t xml:space="preserve"> </w:t>
      </w:r>
      <w:hyperlink r:id="rId187">
        <w:r>
          <w:rPr>
            <w:rStyle w:val="Hyperlink"/>
          </w:rPr>
          <w:t xml:space="preserve">https://doi.org/10.1016/j.jas.2025.106220</w:t>
        </w:r>
      </w:hyperlink>
    </w:p>
    <w:bookmarkEnd w:id="188"/>
    <w:bookmarkStart w:id="190"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9">
        <w:r>
          <w:rPr>
            <w:rStyle w:val="Hyperlink"/>
          </w:rPr>
          <w:t xml:space="preserve">https://doi.org/10.1016/j.jas.2024.106048</w:t>
        </w:r>
      </w:hyperlink>
    </w:p>
    <w:bookmarkEnd w:id="190"/>
    <w:bookmarkStart w:id="192" w:name="ref-vilhuber2019report"/>
    <w:p>
      <w:pPr>
        <w:pStyle w:val="Bibliography"/>
      </w:pPr>
      <w:r>
        <w:t xml:space="preserve">Vilhuber, L., 2019. Report by the AEA data editor. AEA Papers and Proceedings 109, 718–729.</w:t>
      </w:r>
      <w:r>
        <w:t xml:space="preserve"> </w:t>
      </w:r>
      <w:hyperlink r:id="rId191">
        <w:r>
          <w:rPr>
            <w:rStyle w:val="Hyperlink"/>
          </w:rPr>
          <w:t xml:space="preserve">https://doi.org/10.1257/pandp.109.718</w:t>
        </w:r>
      </w:hyperlink>
    </w:p>
    <w:bookmarkEnd w:id="192"/>
    <w:bookmarkStart w:id="194"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93">
        <w:r>
          <w:rPr>
            <w:rStyle w:val="Hyperlink"/>
          </w:rPr>
          <w:t xml:space="preserve">https://doi.org/10.1038/s41598-025-85399-z</w:t>
        </w:r>
      </w:hyperlink>
    </w:p>
    <w:bookmarkEnd w:id="194"/>
    <w:bookmarkStart w:id="196"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5">
        <w:r>
          <w:rPr>
            <w:rStyle w:val="Hyperlink"/>
          </w:rPr>
          <w:t xml:space="preserve">https://doi.org/10.1371/journal.pcbi.1005510</w:t>
        </w:r>
      </w:hyperlink>
    </w:p>
    <w:bookmarkEnd w:id="196"/>
    <w:bookmarkStart w:id="198"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7">
        <w:r>
          <w:rPr>
            <w:rStyle w:val="Hyperlink"/>
          </w:rPr>
          <w:t xml:space="preserve">https://doi.org/10.1038/s41592-021-01254-9</w:t>
        </w:r>
      </w:hyperlink>
    </w:p>
    <w:bookmarkEnd w:id="198"/>
    <w:bookmarkStart w:id="199"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9"/>
    <w:bookmarkStart w:id="201"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200">
        <w:r>
          <w:rPr>
            <w:rStyle w:val="Hyperlink"/>
          </w:rPr>
          <w:t xml:space="preserve">https://doi.org/10.1080/00031305.2022.2131625</w:t>
        </w:r>
      </w:hyperlink>
    </w:p>
    <w:bookmarkEnd w:id="201"/>
    <w:bookmarkStart w:id="203" w:name="ref-yitzhakiRelationTitleLength2002"/>
    <w:p>
      <w:pPr>
        <w:pStyle w:val="Bibliography"/>
      </w:pPr>
      <w:r>
        <w:t xml:space="preserve">Yitzhaki, M., 2002. Relation of the title length of a journal article to the length of the article. Scientometrics 54, 435–447.</w:t>
      </w:r>
      <w:r>
        <w:t xml:space="preserve"> </w:t>
      </w:r>
      <w:hyperlink r:id="rId202">
        <w:r>
          <w:rPr>
            <w:rStyle w:val="Hyperlink"/>
          </w:rPr>
          <w:t xml:space="preserve">https://doi.org/10.1023/A:1016038617639</w:t>
        </w:r>
      </w:hyperlink>
    </w:p>
    <w:bookmarkEnd w:id="203"/>
    <w:bookmarkStart w:id="205"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204">
        <w:r>
          <w:rPr>
            <w:rStyle w:val="Hyperlink"/>
          </w:rPr>
          <w:t xml:space="preserve">https://doi.org/10.1007/BF02457410</w:t>
        </w:r>
      </w:hyperlink>
    </w:p>
    <w:bookmarkEnd w:id="205"/>
    <w:bookmarkStart w:id="206" w:name="ref-zuckerman1972age"/>
    <w:p>
      <w:pPr>
        <w:pStyle w:val="Bibliography"/>
      </w:pPr>
      <w:r>
        <w:t xml:space="preserve">Zuckerman, H., Merton, R.K., 1972. Age, aging, and age structure in science. Higher Education 4, 1–4.</w:t>
      </w:r>
    </w:p>
    <w:bookmarkEnd w:id="206"/>
    <w:bookmarkEnd w:id="207"/>
    <w:p>
      <w:r>
        <w:br w:type="page"/>
      </w:r>
    </w:p>
    <w:bookmarkEnd w:id="20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2025-05-01T18:20:50Z</dcterms:created>
  <dcterms:modified xsi:type="dcterms:W3CDTF">2025-05-01T18:20:50Z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status of archaeology as a science has been debated for decades. This study presents a bibliometric assessment of archaeology’s status relative to other fields, alongside a systematic review of computational reproducibility in published archaeological research. Reproducibility is a factor in the hardness/softness of a field because of it importance in establishing consensus.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May 1,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