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2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April</w:t>
      </w:r>
      <w:r>
        <w:t xml:space="preserve"> </w:t>
      </w:r>
      <w:r>
        <w:t xml:space="preserve">16,</w:t>
      </w:r>
      <w:r>
        <w:t xml:space="preserve"> </w:t>
      </w:r>
      <w:r>
        <w:t xml:space="preserve">2025</w:t>
      </w:r>
    </w:p>
    <w:p>
      <w:pPr>
        <w:pStyle w:val="AbstractTitle"/>
      </w:pPr>
      <w:r>
        <w:t xml:space="preserve">Abstract</w:t>
      </w:r>
    </w:p>
    <w:p>
      <w:pPr>
        <w:pStyle w:val="Abstract"/>
      </w:pPr>
      <w:r>
        <w:t xml:space="preserve">Computational</w:t>
      </w:r>
      <w:r>
        <w:t xml:space="preserve"> </w:t>
      </w:r>
      <w:r>
        <w:t xml:space="preserve">reproducibility</w:t>
      </w:r>
      <w:r>
        <w:t xml:space="preserve"> </w:t>
      </w:r>
      <w:r>
        <w:t xml:space="preserve">is</w:t>
      </w:r>
      <w:r>
        <w:t xml:space="preserve"> </w:t>
      </w:r>
      <w:r>
        <w:t xml:space="preserve">increasingly</w:t>
      </w:r>
      <w:r>
        <w:t xml:space="preserve"> </w:t>
      </w:r>
      <w:r>
        <w:t xml:space="preserve">essential</w:t>
      </w:r>
      <w:r>
        <w:t xml:space="preserve"> </w:t>
      </w:r>
      <w:r>
        <w:t xml:space="preserve">for</w:t>
      </w:r>
      <w:r>
        <w:t xml:space="preserve"> </w:t>
      </w:r>
      <w:r>
        <w:t xml:space="preserve">advancing</w:t>
      </w:r>
      <w:r>
        <w:t xml:space="preserve"> </w:t>
      </w:r>
      <w:r>
        <w:t xml:space="preserve">archaeological</w:t>
      </w:r>
      <w:r>
        <w:t xml:space="preserve"> </w:t>
      </w:r>
      <w:r>
        <w:t xml:space="preserve">science,</w:t>
      </w:r>
      <w:r>
        <w:t xml:space="preserve"> </w:t>
      </w:r>
      <w:r>
        <w:t xml:space="preserve">yet</w:t>
      </w:r>
      <w:r>
        <w:t xml:space="preserve"> </w:t>
      </w:r>
      <w:r>
        <w:t xml:space="preserve">its</w:t>
      </w:r>
      <w:r>
        <w:t xml:space="preserve"> </w:t>
      </w:r>
      <w:r>
        <w:t xml:space="preserve">implementation</w:t>
      </w:r>
      <w:r>
        <w:t xml:space="preserve"> </w:t>
      </w:r>
      <w:r>
        <w:t xml:space="preserve">remains</w:t>
      </w:r>
      <w:r>
        <w:t xml:space="preserve"> </w:t>
      </w:r>
      <w:r>
        <w:t xml:space="preserve">inconsistent</w:t>
      </w:r>
      <w:r>
        <w:t xml:space="preserve"> </w:t>
      </w:r>
      <w:r>
        <w:t xml:space="preserve">across</w:t>
      </w:r>
      <w:r>
        <w:t xml:space="preserve"> </w:t>
      </w:r>
      <w:r>
        <w:t xml:space="preserve">the</w:t>
      </w:r>
      <w:r>
        <w:t xml:space="preserve"> </w:t>
      </w:r>
      <w:r>
        <w:t xml:space="preserve">discipline.</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Counter-arguments came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Hardness and softness is a controversial distinction, in part because it is often used to imply a rank order of disciplines that encodes legitimacy, productivity, perceived value to society, and worthiness of funding</w:t>
      </w:r>
      <w:r>
        <w:t xml:space="preserve"> </w:t>
      </w:r>
      <w:r>
        <w:t xml:space="preserve">(Cole, 1983; Editors, 2012)</w:t>
      </w:r>
      <w:r>
        <w:t xml:space="preserve">. However, independent of these value judgments, empirical analysis of scholarly articles does indicate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relative hardness or softness of archaeology,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thin grey horizontal lines in each boxplot indicate the median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32" w:name="Xc2c9a552f0d6954745dfa9c49a6db961c16f531"/>
    <w:p>
      <w:pPr>
        <w:pStyle w:val="Heading3"/>
      </w:pPr>
      <w:r>
        <w:t xml:space="preserve">How has the hardness of archaeology varied over time?</w:t>
      </w:r>
    </w:p>
    <w:tbl>
      <w:tblPr>
        <w:tblStyle w:val="Table"/>
        <w:tblW w:type="pct" w:w="5000"/>
        <w:tblLook w:firstRow="0" w:lastRow="0" w:firstColumn="0" w:lastColumn="0" w:noHBand="0" w:noVBand="0" w:val="0000"/>
        <w:jc w:val="start"/>
        <w:tblLayout w:type="fixed"/>
      </w:tblPr>
      <w:tblGrid>
        <w:gridCol w:w="7920"/>
      </w:tblGrid>
      <w:tr>
        <w:tc>
          <w:tcPr/>
          <w:bookmarkStart w:id="31" w:name="fig-change-over-time"/>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change-over-time-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article characteristics for archaeology articles over time. Data points represent individual articles. The colour of the points indicates if the overall trend is toward softer (orange) or harder (green) Generalized Additive Models were computed to fit the lines summarising the relationships between the variables and the time series.</w:t>
            </w:r>
          </w:p>
          <w:bookmarkEnd w:id="31"/>
        </w:tc>
      </w:tr>
    </w:tbl>
    <w:p>
      <w:pPr>
        <w:pStyle w:val="BodyText"/>
      </w:pPr>
      <w:hyperlink w:anchor="fig-change-over-time">
        <w:r>
          <w:rPr>
            <w:rStyle w:val="Hyperlink"/>
          </w:rPr>
          <w:t xml:space="preserve">Figure 2</w:t>
        </w:r>
      </w:hyperlink>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hyperlink w:anchor="fig-change-over-time">
        <w:r>
          <w:rPr>
            <w:rStyle w:val="Hyperlink"/>
          </w:rPr>
          <w:t xml:space="preserve">Figure 2</w:t>
        </w:r>
      </w:hyperlink>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w:t>
      </w:r>
    </w:p>
    <w:bookmarkEnd w:id="32"/>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6" w:name="fig-variation-by-journal"/>
          <w:p>
            <w:pPr>
              <w:pStyle w:val="Compact"/>
              <w:jc w:val="center"/>
            </w:pPr>
            <w:r>
              <w:drawing>
                <wp:inline>
                  <wp:extent cx="5943600" cy="7132320"/>
                  <wp:effectExtent b="0" l="0" r="0" t="0"/>
                  <wp:docPr descr="" title="" id="34" name="Picture"/>
                  <a:graphic>
                    <a:graphicData uri="http://schemas.openxmlformats.org/drawingml/2006/picture">
                      <pic:pic>
                        <pic:nvPicPr>
                          <pic:cNvPr descr="paper_files/figure-docx/fig-variation-by-journal-1.png" id="35" name="Picture"/>
                          <pic:cNvPicPr>
                            <a:picLocks noChangeArrowheads="1" noChangeAspect="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 Panel G is a biplot of the first and second principal components of a PCA computed on the journal means of the five bibliometric variables.</w:t>
            </w:r>
          </w:p>
          <w:bookmarkEnd w:id="36"/>
        </w:tc>
      </w:tr>
    </w:tbl>
    <w:p>
      <w:pPr>
        <w:pStyle w:val="BodyText"/>
      </w:pPr>
      <w:hyperlink w:anchor="fig-variation-by-journal">
        <w:r>
          <w:rPr>
            <w:rStyle w:val="Hyperlink"/>
          </w:rPr>
          <w:t xml:space="preserve">Figure 3</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3</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3</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 panel G show of</w:t>
      </w:r>
      <w:r>
        <w:t xml:space="preserve"> </w:t>
      </w:r>
      <w:hyperlink w:anchor="fig-variation-by-journal">
        <w:r>
          <w:rPr>
            <w:rStyle w:val="Hyperlink"/>
          </w:rPr>
          <w:t xml:space="preserve">Figure 3</w:t>
        </w:r>
      </w:hyperlink>
      <w:r>
        <w:t xml:space="preserve"> </w:t>
      </w:r>
      <w:r>
        <w:t xml:space="preserve">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distribution of PC1 values is skewed left, with most of the journals concentrated at the harder end of the spectrum.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and more specialised journals in the positive range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needs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Network = statitical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and the key software packages needed and the version numbers that the authors used.</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 Vaiglova 2025;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an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3" w:name="references"/>
    <w:p>
      <w:pPr>
        <w:pStyle w:val="Heading1"/>
      </w:pPr>
      <w:r>
        <w:t xml:space="preserve">References</w:t>
      </w:r>
    </w:p>
    <w:bookmarkStart w:id="202"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5"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4">
        <w:r>
          <w:rPr>
            <w:rStyle w:val="Hyperlink"/>
          </w:rPr>
          <w:t xml:space="preserve">https://doi.org/10.1177/030631200030001003</w:t>
        </w:r>
      </w:hyperlink>
    </w:p>
    <w:bookmarkEnd w:id="175"/>
    <w:bookmarkStart w:id="177"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6">
        <w:r>
          <w:rPr>
            <w:rStyle w:val="Hyperlink"/>
          </w:rPr>
          <w:t xml:space="preserve">https://doi.org/10.1073/pnas.1708290115</w:t>
        </w:r>
      </w:hyperlink>
    </w:p>
    <w:bookmarkEnd w:id="177"/>
    <w:bookmarkStart w:id="179"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78">
        <w:r>
          <w:rPr>
            <w:rStyle w:val="Hyperlink"/>
          </w:rPr>
          <w:t xml:space="preserve">https://doi.org/10.1016/j.jas.2015.03.001</w:t>
        </w:r>
      </w:hyperlink>
    </w:p>
    <w:bookmarkEnd w:id="179"/>
    <w:bookmarkStart w:id="181"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0">
        <w:r>
          <w:rPr>
            <w:rStyle w:val="Hyperlink"/>
          </w:rPr>
          <w:t xml:space="preserve">https://doi.org/10.1038/s41597-022-01143-6</w:t>
        </w:r>
      </w:hyperlink>
    </w:p>
    <w:bookmarkEnd w:id="181"/>
    <w:bookmarkStart w:id="183" w:name="ref-renv"/>
    <w:p>
      <w:pPr>
        <w:pStyle w:val="Bibliography"/>
      </w:pPr>
      <w:r>
        <w:t xml:space="preserve">Ushey, K., Wickham, H., 2025.</w:t>
      </w:r>
      <w:r>
        <w:t xml:space="preserve"> </w:t>
      </w:r>
      <w:hyperlink r:id="rId182">
        <w:r>
          <w:rPr>
            <w:rStyle w:val="Hyperlink"/>
          </w:rPr>
          <w:t xml:space="preserve">Renv: Project environments</w:t>
        </w:r>
      </w:hyperlink>
      <w:r>
        <w:t xml:space="preserve">.</w:t>
      </w:r>
    </w:p>
    <w:bookmarkEnd w:id="183"/>
    <w:bookmarkStart w:id="185"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4">
        <w:r>
          <w:rPr>
            <w:rStyle w:val="Hyperlink"/>
          </w:rPr>
          <w:t xml:space="preserve">https://doi.org/10.1016/j.jas.2024.106048</w:t>
        </w:r>
      </w:hyperlink>
    </w:p>
    <w:bookmarkEnd w:id="185"/>
    <w:bookmarkStart w:id="187" w:name="ref-vilhuber2019report"/>
    <w:p>
      <w:pPr>
        <w:pStyle w:val="Bibliography"/>
      </w:pPr>
      <w:r>
        <w:t xml:space="preserve">Vilhuber, L., 2019. Report by the AEA data editor. AEA Papers and Proceedings 109, 718–729.</w:t>
      </w:r>
      <w:r>
        <w:t xml:space="preserve"> </w:t>
      </w:r>
      <w:hyperlink r:id="rId186">
        <w:r>
          <w:rPr>
            <w:rStyle w:val="Hyperlink"/>
          </w:rPr>
          <w:t xml:space="preserve">https://doi.org/10.1257/pandp.109.718</w:t>
        </w:r>
      </w:hyperlink>
    </w:p>
    <w:bookmarkEnd w:id="187"/>
    <w:bookmarkStart w:id="189"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88">
        <w:r>
          <w:rPr>
            <w:rStyle w:val="Hyperlink"/>
          </w:rPr>
          <w:t xml:space="preserve">https://doi.org/10.1038/s41598-025-85399-z</w:t>
        </w:r>
      </w:hyperlink>
    </w:p>
    <w:bookmarkEnd w:id="189"/>
    <w:bookmarkStart w:id="191"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0">
        <w:r>
          <w:rPr>
            <w:rStyle w:val="Hyperlink"/>
          </w:rPr>
          <w:t xml:space="preserve">https://doi.org/10.1371/journal.pcbi.1005510</w:t>
        </w:r>
      </w:hyperlink>
    </w:p>
    <w:bookmarkEnd w:id="191"/>
    <w:bookmarkStart w:id="193"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2">
        <w:r>
          <w:rPr>
            <w:rStyle w:val="Hyperlink"/>
          </w:rPr>
          <w:t xml:space="preserve">https://doi.org/10.1038/s41592-021-01254-9</w:t>
        </w:r>
      </w:hyperlink>
    </w:p>
    <w:bookmarkEnd w:id="193"/>
    <w:bookmarkStart w:id="194"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4"/>
    <w:bookmarkStart w:id="196"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195">
        <w:r>
          <w:rPr>
            <w:rStyle w:val="Hyperlink"/>
          </w:rPr>
          <w:t xml:space="preserve">https://doi.org/10.1080/00031305.2022.2131625</w:t>
        </w:r>
      </w:hyperlink>
    </w:p>
    <w:bookmarkEnd w:id="196"/>
    <w:bookmarkStart w:id="198" w:name="ref-yitzhakiRelationTitleLength2002"/>
    <w:p>
      <w:pPr>
        <w:pStyle w:val="Bibliography"/>
      </w:pPr>
      <w:r>
        <w:t xml:space="preserve">Yitzhaki, M., 2002. Relation of the title length of a journal article to the length of the article. Scientometrics 54, 435–447.</w:t>
      </w:r>
      <w:r>
        <w:t xml:space="preserve"> </w:t>
      </w:r>
      <w:hyperlink r:id="rId197">
        <w:r>
          <w:rPr>
            <w:rStyle w:val="Hyperlink"/>
          </w:rPr>
          <w:t xml:space="preserve">https://doi.org/10.1023/A:1016038617639</w:t>
        </w:r>
      </w:hyperlink>
    </w:p>
    <w:bookmarkEnd w:id="198"/>
    <w:bookmarkStart w:id="200"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199">
        <w:r>
          <w:rPr>
            <w:rStyle w:val="Hyperlink"/>
          </w:rPr>
          <w:t xml:space="preserve">https://doi.org/10.1007/BF02457410</w:t>
        </w:r>
      </w:hyperlink>
    </w:p>
    <w:bookmarkEnd w:id="200"/>
    <w:bookmarkStart w:id="201" w:name="ref-zuckerman1972age"/>
    <w:p>
      <w:pPr>
        <w:pStyle w:val="Bibliography"/>
      </w:pPr>
      <w:r>
        <w:t xml:space="preserve">Zuckerman, H., Merton, R.K., 1972. Age, aging, and age structure in science. Higher Education 4, 1–4.</w:t>
      </w:r>
    </w:p>
    <w:bookmarkEnd w:id="201"/>
    <w:bookmarkEnd w:id="202"/>
    <w:p>
      <w:r>
        <w:br w:type="page"/>
      </w:r>
    </w:p>
    <w:bookmarkEnd w:id="2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199"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78"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4"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197"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2"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0" Target="https://doi.org/10.1038/s41597-022-01143-6" TargetMode="External" /><Relationship Type="http://schemas.openxmlformats.org/officeDocument/2006/relationships/hyperlink" Id="rId188"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6"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195"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4"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86" Target="https://doi.org/10.1257/pandp.109.718" TargetMode="External" /><Relationship Type="http://schemas.openxmlformats.org/officeDocument/2006/relationships/hyperlink" Id="rId190"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2"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199"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78"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4"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197"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2"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0" Target="https://doi.org/10.1038/s41597-022-01143-6" TargetMode="External" /><Relationship Type="http://schemas.openxmlformats.org/officeDocument/2006/relationships/hyperlink" Id="rId188"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6"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195"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4"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86" Target="https://doi.org/10.1257/pandp.109.718" TargetMode="External" /><Relationship Type="http://schemas.openxmlformats.org/officeDocument/2006/relationships/hyperlink" Id="rId190"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2"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2025-04-16T18:17:01Z</dcterms:created>
  <dcterms:modified xsi:type="dcterms:W3CDTF">2025-04-16T18:17:01Z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Computational reproducibility is increasingly essential for advancing archaeological science, yet its implementation remains inconsistent across the discipline. This study presents a bibliometric assessment of archaeology’s status relative to other fields alongside a systematic review of computational reproducibility in published archaeological research.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April 16,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