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May</w:t>
      </w:r>
      <w:r>
        <w:t xml:space="preserve"> </w:t>
      </w:r>
      <w:r>
        <w:t xml:space="preserve">5,</w:t>
      </w:r>
      <w:r>
        <w:t xml:space="preserve"> </w:t>
      </w:r>
      <w:r>
        <w:t xml:space="preserve">2025</w:t>
      </w:r>
    </w:p>
    <w:p>
      <w:pPr>
        <w:pStyle w:val="AbstractTitle"/>
      </w:pPr>
      <w:r>
        <w:t xml:space="preserve">Abstract</w:t>
      </w:r>
    </w:p>
    <w:p>
      <w:pPr>
        <w:pStyle w:val="Abstract"/>
      </w:pPr>
      <w:r>
        <w:t xml:space="preserve">The</w:t>
      </w:r>
      <w:r>
        <w:t xml:space="preserve"> </w:t>
      </w:r>
      <w:r>
        <w:t xml:space="preserve">status</w:t>
      </w:r>
      <w:r>
        <w:t xml:space="preserve"> </w:t>
      </w:r>
      <w:r>
        <w:t xml:space="preserve">of</w:t>
      </w:r>
      <w:r>
        <w:t xml:space="preserve"> </w:t>
      </w:r>
      <w:r>
        <w:t xml:space="preserve">archaeology</w:t>
      </w:r>
      <w:r>
        <w:t xml:space="preserve"> </w:t>
      </w:r>
      <w:r>
        <w:t xml:space="preserve">as</w:t>
      </w:r>
      <w:r>
        <w:t xml:space="preserve"> </w:t>
      </w:r>
      <w:r>
        <w:t xml:space="preserve">a</w:t>
      </w:r>
      <w:r>
        <w:t xml:space="preserve"> </w:t>
      </w:r>
      <w:r>
        <w:t xml:space="preserve">science</w:t>
      </w:r>
      <w:r>
        <w:t xml:space="preserve"> </w:t>
      </w:r>
      <w:r>
        <w:t xml:space="preserve">has</w:t>
      </w:r>
      <w:r>
        <w:t xml:space="preserve"> </w:t>
      </w:r>
      <w:r>
        <w:t xml:space="preserve">been</w:t>
      </w:r>
      <w:r>
        <w:t xml:space="preserve"> </w:t>
      </w:r>
      <w:r>
        <w:t xml:space="preserve">debated</w:t>
      </w:r>
      <w:r>
        <w:t xml:space="preserve"> </w:t>
      </w:r>
      <w:r>
        <w:t xml:space="preserve">for</w:t>
      </w:r>
      <w:r>
        <w:t xml:space="preserve"> </w:t>
      </w:r>
      <w:r>
        <w:t xml:space="preserve">decades.</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Reproducibility</w:t>
      </w:r>
      <w:r>
        <w:t xml:space="preserve"> </w:t>
      </w:r>
      <w:r>
        <w:t xml:space="preserve">is</w:t>
      </w:r>
      <w:r>
        <w:t xml:space="preserve"> </w:t>
      </w:r>
      <w:r>
        <w:t xml:space="preserve">a</w:t>
      </w:r>
      <w:r>
        <w:t xml:space="preserve"> </w:t>
      </w:r>
      <w:r>
        <w:t xml:space="preserve">factor</w:t>
      </w:r>
      <w:r>
        <w:t xml:space="preserve"> </w:t>
      </w:r>
      <w:r>
        <w:t xml:space="preserve">in</w:t>
      </w:r>
      <w:r>
        <w:t xml:space="preserve"> </w:t>
      </w:r>
      <w:r>
        <w:t xml:space="preserve">the</w:t>
      </w:r>
      <w:r>
        <w:t xml:space="preserve"> </w:t>
      </w:r>
      <w:r>
        <w:t xml:space="preserve">hardness/softness</w:t>
      </w:r>
      <w:r>
        <w:t xml:space="preserve"> </w:t>
      </w:r>
      <w:r>
        <w:t xml:space="preserve">of</w:t>
      </w:r>
      <w:r>
        <w:t xml:space="preserve"> </w:t>
      </w:r>
      <w:r>
        <w:t xml:space="preserve">a</w:t>
      </w:r>
      <w:r>
        <w:t xml:space="preserve"> </w:t>
      </w:r>
      <w:r>
        <w:t xml:space="preserve">field</w:t>
      </w:r>
      <w:r>
        <w:t xml:space="preserve"> </w:t>
      </w:r>
      <w:r>
        <w:t xml:space="preserve">because</w:t>
      </w:r>
      <w:r>
        <w:t xml:space="preserve"> </w:t>
      </w:r>
      <w:r>
        <w:t xml:space="preserve">of</w:t>
      </w:r>
      <w:r>
        <w:t xml:space="preserve"> </w:t>
      </w:r>
      <w:r>
        <w:t xml:space="preserve">it</w:t>
      </w:r>
      <w:r>
        <w:t xml:space="preserve"> </w:t>
      </w:r>
      <w:r>
        <w:t xml:space="preserve">importance</w:t>
      </w:r>
      <w:r>
        <w:t xml:space="preserve"> </w:t>
      </w:r>
      <w:r>
        <w:t xml:space="preserve">in</w:t>
      </w:r>
      <w:r>
        <w:t xml:space="preserve"> </w:t>
      </w:r>
      <w:r>
        <w:t xml:space="preserve">establishing</w:t>
      </w:r>
      <w:r>
        <w:t xml:space="preserve"> </w:t>
      </w:r>
      <w:r>
        <w:t xml:space="preserve">consensus.</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28" w:name="Xc2c9a552f0d6954745dfa9c49a6db961c16f531"/>
    <w:p>
      <w:pPr>
        <w:pStyle w:val="Heading3"/>
      </w:pPr>
      <w:r>
        <w:t xml:space="preserve">How has the hardness of archaeology varied over time?</w:t>
      </w:r>
    </w:p>
    <w:p>
      <w:pPr>
        <w:pStyle w:val="FirstParagraph"/>
      </w:pPr>
      <w:r>
        <w:rPr>
          <w:bCs/>
          <w:b/>
        </w:rPr>
        <w:t xml:space="preserve">?@fig-change-over-time</w:t>
      </w:r>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r>
        <w:rPr>
          <w:bCs/>
          <w:b/>
        </w:rPr>
        <w:t xml:space="preserve">?@fig-change-over-time</w:t>
      </w:r>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diversity of references.</w:t>
      </w:r>
    </w:p>
    <w:bookmarkEnd w:id="28"/>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2" w:name="fig-variation-by-journal"/>
          <w:p>
            <w:pPr>
              <w:pStyle w:val="Compact"/>
              <w:jc w:val="center"/>
            </w:pPr>
            <w:r>
              <w:drawing>
                <wp:inline>
                  <wp:extent cx="5943600" cy="5943600"/>
                  <wp:effectExtent b="0" l="0" r="0" t="0"/>
                  <wp:docPr descr="" title="" id="30" name="Picture"/>
                  <a:graphic>
                    <a:graphicData uri="http://schemas.openxmlformats.org/drawingml/2006/picture">
                      <pic:pic>
                        <pic:nvPicPr>
                          <pic:cNvPr descr="paper_files/figure-docx/fig-variation-by-journal-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w:t>
            </w:r>
          </w:p>
          <w:bookmarkEnd w:id="32"/>
        </w:tc>
      </w:tr>
    </w:tbl>
    <w:tbl>
      <w:tblPr>
        <w:tblStyle w:val="Table"/>
        <w:tblW w:type="pct" w:w="5000"/>
        <w:tblLook w:firstRow="0" w:lastRow="0" w:firstColumn="0" w:lastColumn="0" w:noHBand="0" w:noVBand="0" w:val="0000"/>
        <w:jc w:val="start"/>
        <w:tblLayout w:type="fixed"/>
      </w:tblPr>
      <w:tblGrid>
        <w:gridCol w:w="7920"/>
      </w:tblGrid>
      <w:tr>
        <w:tc>
          <w:tcPr/>
          <w:bookmarkStart w:id="36" w:name="fig-pca"/>
          <w:p>
            <w:pPr>
              <w:pStyle w:val="Compact"/>
              <w:jc w:val="center"/>
            </w:pPr>
            <w:r>
              <w:drawing>
                <wp:inline>
                  <wp:extent cx="5943600" cy="3707933"/>
                  <wp:effectExtent b="0" l="0" r="0" t="0"/>
                  <wp:docPr descr="" title="" id="34" name="Picture"/>
                  <a:graphic>
                    <a:graphicData uri="http://schemas.openxmlformats.org/drawingml/2006/picture">
                      <pic:pic>
                        <pic:nvPicPr>
                          <pic:cNvPr descr="../figures/plot_pca_means.png" id="35" name="Picture"/>
                          <pic:cNvPicPr>
                            <a:picLocks noChangeArrowheads="1" noChangeAspect="1"/>
                          </pic:cNvPicPr>
                        </pic:nvPicPr>
                        <pic:blipFill>
                          <a:blip r:embed="rId33"/>
                          <a:stretch>
                            <a:fillRect/>
                          </a:stretch>
                        </pic:blipFill>
                        <pic:spPr bwMode="auto">
                          <a:xfrm>
                            <a:off x="0" y="0"/>
                            <a:ext cx="5943600" cy="37079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Biplot of the first and second principal components of a PCA computed on the means of the five bibliometric variables for each journal in the sample. The arrows represent the correlation between each original variable and the principal components. The direction and length of the arrows indicate how strongly each variable contributes to each component.</w:t>
            </w:r>
          </w:p>
          <w:bookmarkEnd w:id="36"/>
        </w:tc>
      </w:tr>
    </w:tbl>
    <w:p>
      <w:pPr>
        <w:pStyle w:val="BodyText"/>
      </w:pPr>
      <w:hyperlink w:anchor="fig-variation-by-journal">
        <w:r>
          <w:rPr>
            <w:rStyle w:val="Hyperlink"/>
          </w:rPr>
          <w:t xml:space="preserve">Figure 2</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2</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2</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w:t>
      </w:r>
      <w:r>
        <w:t xml:space="preserve"> </w:t>
      </w:r>
      <w:hyperlink w:anchor="fig-pca">
        <w:r>
          <w:rPr>
            <w:rStyle w:val="Hyperlink"/>
          </w:rPr>
          <w:t xml:space="preserve">Figure 3</w:t>
        </w:r>
      </w:hyperlink>
      <w:r>
        <w:t xml:space="preserve"> </w:t>
      </w:r>
      <w:r>
        <w:t xml:space="preserve">shows 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PC1 is explained by title length, number of pages, and the diversity of references. Journals with higher PC1 values have articles with longer titles, fewer pages, and less diverse reference lists. The distribution of PC1 values is skewed left, with most of the journals concentrated at the harder end of the spectrum. PC2 is explained by number of authors and recency of references.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characterised by fewer authors and more recent references. In the positive range of PC2 are more specialised journals, characterised by higher numbers of authors and less recent references cited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generalist communities of practice.</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a factor contributing to the hardness of a field. Specifically, reproducibility is linked to to concept of consensus in a field because if more researchers provide sufficient detail for others to reproduce their results, then consensus on new knowledge can more often, and more, rapidly be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2025-05-05T16:58:05Z</dcterms:created>
  <dcterms:modified xsi:type="dcterms:W3CDTF">2025-05-05T16:58:05Z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status of archaeology as a science has been debated for decades. This study presents a bibliometric assessment of archaeology’s status relative to other fields, alongside a systematic review of computational reproducibility in published archaeological research. Reproducibility is a factor in the hardness/softness of a field because of it importance in establishing consensus.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5,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