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7,</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and</w:t>
      </w:r>
      <w:r>
        <w:t xml:space="preserve"> </w:t>
      </w:r>
      <w:r>
        <w:t xml:space="preserve">influences</w:t>
      </w:r>
      <w:r>
        <w:t xml:space="preserve"> </w:t>
      </w:r>
      <w:r>
        <w:t xml:space="preserve">how</w:t>
      </w:r>
      <w:r>
        <w:t xml:space="preserve"> </w:t>
      </w:r>
      <w:r>
        <w:t xml:space="preserve">we</w:t>
      </w:r>
      <w:r>
        <w:t xml:space="preserve"> </w:t>
      </w:r>
      <w:r>
        <w:t xml:space="preserve">practice</w:t>
      </w:r>
      <w:r>
        <w:t xml:space="preserve"> </w:t>
      </w:r>
      <w:r>
        <w:t xml:space="preserve">and</w:t>
      </w:r>
      <w:r>
        <w:t xml:space="preserve"> </w:t>
      </w:r>
      <w:r>
        <w:t xml:space="preserve">teach</w:t>
      </w:r>
      <w:r>
        <w:t xml:space="preserve"> </w:t>
      </w:r>
      <w:r>
        <w:t xml:space="preserve">archaeology.</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novel</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using</w:t>
      </w:r>
      <w:r>
        <w:t xml:space="preserve"> </w:t>
      </w:r>
      <w:r>
        <w:t xml:space="preserve">a</w:t>
      </w:r>
      <w:r>
        <w:t xml:space="preserve"> </w:t>
      </w:r>
      <w:r>
        <w:t xml:space="preserve">hard/soft</w:t>
      </w:r>
      <w:r>
        <w:t xml:space="preserve"> </w:t>
      </w:r>
      <w:r>
        <w:t xml:space="preserve">framework.</w:t>
      </w:r>
      <w:r>
        <w:t xml:space="preserve"> </w:t>
      </w:r>
      <w:r>
        <w:t xml:space="preserve">It</w:t>
      </w:r>
      <w:r>
        <w:t xml:space="preserve"> </w:t>
      </w:r>
      <w:r>
        <w:t xml:space="preserve">also</w:t>
      </w:r>
      <w:r>
        <w:t xml:space="preserve"> </w:t>
      </w:r>
      <w:r>
        <w:t xml:space="preserve">presents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variables that contribute to variation in PC1 are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Variation in PC2 is influenced by the number of authors and recency of references. The distribution of PC2 values reveals additional structure to the data and can be roughly separated into generalist journals in the negative range of the PC2 axis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the PC2 axis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both specialised and generalist communities of practice in archaeology.</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2025-05-07T21:17:27Z</dcterms:created>
  <dcterms:modified xsi:type="dcterms:W3CDTF">2025-05-07T21:17:27Z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and influences how we practice and teach archaeology. This study presents a novel bibliometric assessment of archaeology’s status relative to other fields using a hard/soft framework. It also presents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7,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