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F663C" w14:textId="77777777" w:rsidR="00CE0121" w:rsidRPr="00CE0121" w:rsidRDefault="00CE0121">
      <w:pPr>
        <w:rPr>
          <w:b/>
          <w:bCs/>
        </w:rPr>
      </w:pPr>
      <w:r w:rsidRPr="00CE0121">
        <w:rPr>
          <w:b/>
          <w:bCs/>
        </w:rPr>
        <w:t>Cruce 1: Grado de lesividad con tipo de persona</w:t>
      </w:r>
    </w:p>
    <w:p w14:paraId="5A962EA6" w14:textId="77777777" w:rsidR="00CE0121" w:rsidRPr="00CE0121" w:rsidRDefault="00CE0121" w:rsidP="00CE0121">
      <w:r w:rsidRPr="00CE0121">
        <w:t xml:space="preserve">A continuación, se analiza la distribución del grado de lesividad según si la persona es un conductor, un pasajero o un peatón. Para los siguientes dos análisis la categoría “Fallecido” se ha excluido porque su frecuencia es extremadamente baja (solo 29 casos), lo que invalida </w:t>
      </w:r>
      <w:proofErr w:type="gramStart"/>
      <w:r w:rsidRPr="00CE0121">
        <w:t>el test</w:t>
      </w:r>
      <w:proofErr w:type="gramEnd"/>
      <w:r w:rsidRPr="00CE0121">
        <w:t xml:space="preserve"> Chi-cuadrado al generar más del 20% de valores de frecuencias esperadas inferiores a 5, o generar valores menores que 1. De esta forma se garantiza que las frecuencias esperadas sean adecuadas y se mejora la robustez del contraste estadístico.</w:t>
      </w:r>
    </w:p>
    <w:p w14:paraId="0811EA05" w14:textId="77777777" w:rsidR="00CE0121" w:rsidRDefault="00CE0121" w:rsidP="00CE0121">
      <w:pPr>
        <w:keepNext/>
      </w:pPr>
      <w:r>
        <w:t xml:space="preserve">La </w:t>
      </w:r>
      <w:r>
        <w:rPr>
          <w:b/>
          <w:bCs/>
        </w:rPr>
        <w:t xml:space="preserve">Figura 9 </w:t>
      </w:r>
      <w:r>
        <w:t>muestra que l</w:t>
      </w:r>
      <w:r w:rsidRPr="00C57784">
        <w:t>os</w:t>
      </w:r>
      <w:r>
        <w:t xml:space="preserve"> conductores y los pasajeros tienen una distribución de grado de lesividad similar a la global. Los peatones destacan por su alta proporción en lesiones leves (un 68,1 %) y con una proporción de lesiones graves superior a la de los pasajeros y conductores. </w:t>
      </w:r>
    </w:p>
    <w:p w14:paraId="324B69FB" w14:textId="77777777" w:rsidR="00CE0121" w:rsidRDefault="00CE0121" w:rsidP="00CE0121">
      <w:pPr>
        <w:keepNext/>
      </w:pPr>
      <w:proofErr w:type="gramStart"/>
      <w:r>
        <w:t>El test</w:t>
      </w:r>
      <w:proofErr w:type="gramEnd"/>
      <w:r>
        <w:t xml:space="preserve"> Chi-cuadrado afirma que existe una relación entre el grado de lesividad y el tipo de persona implicada en el accidente.</w:t>
      </w:r>
    </w:p>
    <w:p w14:paraId="7A213548" w14:textId="77777777" w:rsidR="00CE0121" w:rsidRDefault="00CE0121"/>
    <w:p w14:paraId="0E6D33E0" w14:textId="74BAEDE7" w:rsidR="00CE0121" w:rsidRPr="00CE0121" w:rsidRDefault="00CE0121">
      <w:pPr>
        <w:rPr>
          <w:b/>
          <w:bCs/>
        </w:rPr>
      </w:pPr>
      <w:r w:rsidRPr="00CE0121">
        <w:rPr>
          <w:b/>
          <w:bCs/>
        </w:rPr>
        <w:t>Cruce 2: Grado de lesividad con rango de edad</w:t>
      </w:r>
    </w:p>
    <w:p w14:paraId="0E6BBEAB" w14:textId="77777777" w:rsidR="00CE0121" w:rsidRDefault="00CE0121" w:rsidP="00CE0121">
      <w:r w:rsidRPr="00CE0121">
        <w:t xml:space="preserve">Por último, se analiza la distribución del grado de lesividad según el rango de edad de las personas adultas implicadas. En la </w:t>
      </w:r>
      <w:r w:rsidRPr="00CE0121">
        <w:rPr>
          <w:b/>
          <w:bCs/>
        </w:rPr>
        <w:t xml:space="preserve">Figura 10 </w:t>
      </w:r>
      <w:r w:rsidRPr="00CE0121">
        <w:t>se observa que, de nuevo las personas de entre 25 y 54 años concentran la mayoría de las lesiones en todas las categorías. En particular, la mayor concentración de lesiones leves se encuentra dentro del rango de 25 a 34 años. Por otro lado, los mayores de 65 años presentan porcentajes bajos en todas las categorías, salvo los mayores de 74 años con un grado de lesividad grave. Además, a partir de los 60 años, las proporciones con lesiones graves son superiores a las proporciones de las heridas leves y a las proporciones de los que no han necesitado asistencia sanitaria. Los jóvenes de entre 18 y 24 años, tienen la menor proporción de lesiones graves, pero están presentes.</w:t>
      </w:r>
    </w:p>
    <w:p w14:paraId="758DE579" w14:textId="77777777" w:rsidR="00CE0121" w:rsidRPr="006662E9" w:rsidRDefault="00CE0121" w:rsidP="00CE0121">
      <w:r>
        <w:t xml:space="preserve">Se confirma que existe una relación estadísticamente significativa entre el rango de edad y el grado de lesividad mediante </w:t>
      </w:r>
      <w:proofErr w:type="gramStart"/>
      <w:r>
        <w:t>el test</w:t>
      </w:r>
      <w:proofErr w:type="gramEnd"/>
      <w:r>
        <w:t xml:space="preserve"> Chi-cuadrado (p-valor &lt;&lt; 0.0001), por lo que se concluye que la edad influye en la gravedad de las lesiones sufridas en un accidente. </w:t>
      </w:r>
    </w:p>
    <w:p w14:paraId="6107712E" w14:textId="77777777" w:rsidR="00CE0121" w:rsidRDefault="00CE0121" w:rsidP="00CE0121"/>
    <w:p w14:paraId="0B804DA3" w14:textId="3A0AAD5D" w:rsidR="00CE0121" w:rsidRPr="00CE0121" w:rsidRDefault="00CE0121" w:rsidP="00CE0121">
      <w:pPr>
        <w:rPr>
          <w:b/>
          <w:bCs/>
        </w:rPr>
      </w:pPr>
      <w:r w:rsidRPr="00CE0121">
        <w:rPr>
          <w:b/>
          <w:bCs/>
        </w:rPr>
        <w:t>Cruce 3: Grado de lesividad con tipo de accidente</w:t>
      </w:r>
    </w:p>
    <w:p w14:paraId="711C4333" w14:textId="77777777" w:rsidR="00CE0121" w:rsidRPr="00CE0121" w:rsidRDefault="00CE0121" w:rsidP="00CE0121">
      <w:r w:rsidRPr="00CE0121">
        <w:t>Se analiza cómo se distribuye los tipos de accidentes más significativos según el grado de lesividad.</w:t>
      </w:r>
    </w:p>
    <w:p w14:paraId="644AE181" w14:textId="77777777" w:rsidR="00CE0121" w:rsidRPr="00CE0121" w:rsidRDefault="00CE0121" w:rsidP="00CE0121">
      <w:r w:rsidRPr="00CE0121">
        <w:t xml:space="preserve">La </w:t>
      </w:r>
      <w:r w:rsidRPr="00CE0121">
        <w:rPr>
          <w:b/>
          <w:bCs/>
        </w:rPr>
        <w:t xml:space="preserve">Figura 11 </w:t>
      </w:r>
      <w:r w:rsidRPr="00CE0121">
        <w:t xml:space="preserve">muestra que las personas atropelladas representan una proporción dentro de los fallecidos muy elevada, un 61,5 %.  Dentro de los heridos graves también representan una proporción elevada, junto con las personas implicadas en accidentes por colisión </w:t>
      </w:r>
      <w:proofErr w:type="spellStart"/>
      <w:r w:rsidRPr="00CE0121">
        <w:t>fronto</w:t>
      </w:r>
      <w:proofErr w:type="spellEnd"/>
      <w:r w:rsidRPr="00CE0121">
        <w:t xml:space="preserve">-lateral. Como la colisión </w:t>
      </w:r>
      <w:proofErr w:type="spellStart"/>
      <w:r w:rsidRPr="00CE0121">
        <w:t>fronto</w:t>
      </w:r>
      <w:proofErr w:type="spellEnd"/>
      <w:r w:rsidRPr="00CE0121">
        <w:t>-lateral fue el tipo de accidente más común, es coherente que también muestres porcentajes altos en lesividad leve y en las personas que no han necesitado asistencia médica. Lo mismo ocurre con los accidentes por alcance. También se observa que los accidentes por colisión múltiple y choques contra obstáculos fijos tienen porcentajes bajos en todas las categorías, y que las caídas tienen una presencia relevante en lesiones leves y graves.</w:t>
      </w:r>
    </w:p>
    <w:p w14:paraId="31DC1A6E" w14:textId="77777777" w:rsidR="00CE0121" w:rsidRPr="00960939" w:rsidRDefault="00CE0121" w:rsidP="00CE0121">
      <w:proofErr w:type="gramStart"/>
      <w:r w:rsidRPr="00960939">
        <w:lastRenderedPageBreak/>
        <w:t>El test</w:t>
      </w:r>
      <w:proofErr w:type="gramEnd"/>
      <w:r w:rsidRPr="00960939">
        <w:t xml:space="preserve"> chi</w:t>
      </w:r>
      <w:r w:rsidRPr="00960939">
        <w:noBreakHyphen/>
        <w:t>cuadrado confirma que esta relación es estadísticamente significativa (p</w:t>
      </w:r>
      <w:r>
        <w:t>-valor</w:t>
      </w:r>
      <w:r w:rsidRPr="00960939">
        <w:t xml:space="preserve"> </w:t>
      </w:r>
      <w:r>
        <w:t>&lt;</w:t>
      </w:r>
      <w:r w:rsidRPr="00960939">
        <w:t>&lt; 0.00</w:t>
      </w:r>
      <w:r>
        <w:t>01</w:t>
      </w:r>
      <w:r w:rsidRPr="00960939">
        <w:t xml:space="preserve">), lo que indica una fuerte </w:t>
      </w:r>
      <w:r>
        <w:t>relación</w:t>
      </w:r>
      <w:r w:rsidRPr="00960939">
        <w:t xml:space="preserve"> entre </w:t>
      </w:r>
      <w:r>
        <w:t xml:space="preserve">el </w:t>
      </w:r>
      <w:r w:rsidRPr="00960939">
        <w:t xml:space="preserve">tipo de accidente y </w:t>
      </w:r>
      <w:r>
        <w:t xml:space="preserve">el </w:t>
      </w:r>
      <w:r w:rsidRPr="00960939">
        <w:t>grado de lesividad</w:t>
      </w:r>
      <w:r>
        <w:t>.</w:t>
      </w:r>
    </w:p>
    <w:p w14:paraId="74F6041D" w14:textId="77777777" w:rsidR="00CE0121" w:rsidRDefault="00CE0121" w:rsidP="00CE0121"/>
    <w:p w14:paraId="62A7FF3B" w14:textId="1DD69E46" w:rsidR="00CE0121" w:rsidRPr="00CE0121" w:rsidRDefault="00CE0121" w:rsidP="00CE0121">
      <w:pPr>
        <w:rPr>
          <w:b/>
          <w:bCs/>
        </w:rPr>
      </w:pPr>
      <w:r w:rsidRPr="00CE0121">
        <w:rPr>
          <w:b/>
          <w:bCs/>
        </w:rPr>
        <w:t>Cruce 4: Grado de lesividad con franja horaria</w:t>
      </w:r>
    </w:p>
    <w:p w14:paraId="53D98B4D" w14:textId="77777777" w:rsidR="00CE0121" w:rsidRPr="00CE0121" w:rsidRDefault="00CE0121" w:rsidP="00CE0121">
      <w:r w:rsidRPr="00CE0121">
        <w:t xml:space="preserve">Se sigue analizando cómo se distribuyen los accidentes según su gravedad en cada franja horaria. Se observa que los fallecidos se concentran en horarios de madrugada (28,6 %) y especialmente de tarde (42.9 %). En el resto de </w:t>
      </w:r>
      <w:proofErr w:type="gramStart"/>
      <w:r w:rsidRPr="00CE0121">
        <w:t>grados</w:t>
      </w:r>
      <w:proofErr w:type="gramEnd"/>
      <w:r w:rsidRPr="00CE0121">
        <w:t xml:space="preserve"> de lesividad, los accidentes de mañana, tarde y noche están más distribuidos, todos presentando porcentajes altos y en particular, los accidentes de tarde en heridas leves (37,9 %) y sin asistencia sanitaria (36,7 %), y los de noche los siguen, pero en menor medida (30,6 % y 30,3% respectivamente). En conclusión, los accidentes más graves se concentran en la tarde, la madrugada y la noche, mientras que los leves y sin asistencia sanitaria predominan en la noche y en especial, en la tarde. </w:t>
      </w:r>
    </w:p>
    <w:p w14:paraId="5BC1F53E" w14:textId="77777777" w:rsidR="00CE0121" w:rsidRPr="00CE0121" w:rsidRDefault="00CE0121" w:rsidP="00CE0121">
      <w:r w:rsidRPr="00CE0121">
        <w:t xml:space="preserve">Se confirma mediante </w:t>
      </w:r>
      <w:proofErr w:type="gramStart"/>
      <w:r w:rsidRPr="00CE0121">
        <w:t>el test</w:t>
      </w:r>
      <w:proofErr w:type="gramEnd"/>
      <w:r w:rsidRPr="00CE0121">
        <w:t xml:space="preserve"> Chi-cuadrado la relación entre la franja horaria y el grado de lesividad en un accidente (p-valor &lt;&lt; 0.00001).</w:t>
      </w:r>
    </w:p>
    <w:p w14:paraId="515977F0" w14:textId="3AEA376C" w:rsidR="00CE0121" w:rsidRPr="00CE0121" w:rsidRDefault="00CE0121" w:rsidP="00CE0121"/>
    <w:p w14:paraId="05FCE13C" w14:textId="77777777" w:rsidR="00CE0121" w:rsidRPr="00CE0121" w:rsidRDefault="00CE0121" w:rsidP="00CE0121"/>
    <w:p w14:paraId="03128248" w14:textId="7AD3122D" w:rsidR="00CE0121" w:rsidRDefault="00CE0121">
      <w:r>
        <w:br w:type="page"/>
      </w:r>
    </w:p>
    <w:p w14:paraId="1FB73EF7" w14:textId="060EB46E" w:rsidR="00CE0121" w:rsidRPr="00CE0121" w:rsidRDefault="00CE0121" w:rsidP="00CE0121">
      <w:r w:rsidRPr="00CE0121">
        <w:lastRenderedPageBreak/>
        <w:t>Cruce</w:t>
      </w:r>
      <w:r>
        <w:t>5</w:t>
      </w:r>
      <w:r w:rsidRPr="00CE0121">
        <w:t xml:space="preserve">: </w:t>
      </w:r>
      <w:r w:rsidRPr="00CE0121">
        <w:rPr>
          <w:b/>
          <w:bCs/>
        </w:rPr>
        <w:t>test de alcoholemia con franja horaria</w:t>
      </w:r>
    </w:p>
    <w:p w14:paraId="5DCBA641" w14:textId="54AA2E18" w:rsidR="00CE0121" w:rsidRPr="00CE0121" w:rsidRDefault="00CE0121" w:rsidP="00CE0121">
      <w:r w:rsidRPr="00CE0121">
        <w:t>Se analiza la distribución de las franjas horarias del día en los positivos y negativos de alcohol de conductores, considerando un único accidente por expediente según el siguiente criterio: si dentro de un expediente hay involucrado más de un conductor y alguno dio positivo, cuenta como positivo y si todos dieron negativo, se considera negativo.</w:t>
      </w:r>
    </w:p>
    <w:p w14:paraId="6F5B650A" w14:textId="77777777" w:rsidR="00CE0121" w:rsidRPr="00CE0121" w:rsidRDefault="00CE0121" w:rsidP="00CE0121">
      <w:pPr>
        <w:rPr>
          <w:i/>
          <w:iCs/>
        </w:rPr>
      </w:pPr>
      <w:r w:rsidRPr="00CE0121">
        <w:t>En la</w:t>
      </w:r>
      <w:r w:rsidRPr="00CE0121">
        <w:rPr>
          <w:i/>
          <w:iCs/>
        </w:rPr>
        <w:t xml:space="preserve"> </w:t>
      </w:r>
      <w:r w:rsidRPr="00CE0121">
        <w:rPr>
          <w:b/>
          <w:bCs/>
        </w:rPr>
        <w:t>Figura 6</w:t>
      </w:r>
      <w:r w:rsidRPr="00CE0121">
        <w:t xml:space="preserve"> se observa que los accidentes con alcohol positivo se concentran en Madrugada y Noche, representando un 71,5 %.  En cambio, los accidentes con alcohol negativo se concentran especialmente durante la tarde (posible causa: actividad laboral). Al realizar </w:t>
      </w:r>
      <w:proofErr w:type="gramStart"/>
      <w:r w:rsidRPr="00CE0121">
        <w:t>el test</w:t>
      </w:r>
      <w:proofErr w:type="gramEnd"/>
      <w:r w:rsidRPr="00CE0121">
        <w:t xml:space="preserve"> se confirma que existe una relación estadísticamente significativa entre la franja horaria y el resultado de alcohol del accidente. Como conclusión, la prevalencia de alcohol positivo en conductores varía significativamente según la hora del día.</w:t>
      </w:r>
    </w:p>
    <w:p w14:paraId="20401A6F" w14:textId="77777777" w:rsidR="00CE0121" w:rsidRPr="00CE0121" w:rsidRDefault="00CE0121" w:rsidP="00CE0121">
      <w:r w:rsidRPr="00CE0121">
        <w:t>Más adelante se analiza si la franja horaria también afecta en la gravedad del accidente y si hay relación entre el alcohol y la lesividad.</w:t>
      </w:r>
    </w:p>
    <w:p w14:paraId="1011696A" w14:textId="77777777" w:rsidR="00CE0121" w:rsidRDefault="00CE0121" w:rsidP="00CE0121"/>
    <w:p w14:paraId="394C24AA" w14:textId="77777777" w:rsidR="00CE0121" w:rsidRDefault="00CE0121" w:rsidP="00CE0121"/>
    <w:p w14:paraId="006D7809" w14:textId="7D2C8D70" w:rsidR="00CE0121" w:rsidRPr="00CE0121" w:rsidRDefault="00CE0121" w:rsidP="00CE0121">
      <w:r w:rsidRPr="00CE0121">
        <w:t>Cruce</w:t>
      </w:r>
      <w:r>
        <w:t>6</w:t>
      </w:r>
      <w:r w:rsidRPr="00CE0121">
        <w:t xml:space="preserve">: </w:t>
      </w:r>
      <w:r w:rsidRPr="00CE0121">
        <w:rPr>
          <w:b/>
          <w:bCs/>
        </w:rPr>
        <w:t>test de alcoholemia con rango de edad</w:t>
      </w:r>
    </w:p>
    <w:p w14:paraId="74F76B06" w14:textId="0705B13F" w:rsidR="00CE0121" w:rsidRPr="00CE0121" w:rsidRDefault="00CE0121" w:rsidP="00CE0121">
      <w:r w:rsidRPr="00CE0121">
        <w:t>Se analiza la distribución de los rangos de edad de los accidentes con alcohol positivo y negativo del conductor, de nuevo por accidentes únicos.</w:t>
      </w:r>
    </w:p>
    <w:p w14:paraId="52D1CA67" w14:textId="77777777" w:rsidR="00CE0121" w:rsidRPr="00CE0121" w:rsidRDefault="00CE0121" w:rsidP="00CE0121">
      <w:r w:rsidRPr="00CE0121">
        <w:t xml:space="preserve">En el análisis univariante se ha concluido que los rangos de 25 a 54 </w:t>
      </w:r>
      <w:proofErr w:type="gramStart"/>
      <w:r w:rsidRPr="00CE0121">
        <w:t>años,</w:t>
      </w:r>
      <w:proofErr w:type="gramEnd"/>
      <w:r w:rsidRPr="00CE0121">
        <w:t xml:space="preserve"> concentran la mayor proporción de conductores en general. Por tanto, es coherente que en el mapa de calor estos rangos acumulen los valores más altos tanto en positivos como en negativos, como se observa en la </w:t>
      </w:r>
      <w:r w:rsidRPr="00CE0121">
        <w:rPr>
          <w:b/>
          <w:bCs/>
        </w:rPr>
        <w:t>Figura 8</w:t>
      </w:r>
      <w:r w:rsidRPr="00CE0121">
        <w:t xml:space="preserve">. </w:t>
      </w:r>
    </w:p>
    <w:p w14:paraId="554EA9C2" w14:textId="77777777" w:rsidR="00CE0121" w:rsidRPr="00CE0121" w:rsidRDefault="00CE0121" w:rsidP="00CE0121">
      <w:r w:rsidRPr="00CE0121">
        <w:t>Hasta los 39 años, los valores de positivos son mayores que los negativos y el máximo de positivos se encuentra en el rango de 25 a 29. A partir de los 55 años, los positivos descienden de forma progresiva. Por tanto, se observa que hay una mayor presencia de alcohol en los jóvenes-adultos.</w:t>
      </w:r>
    </w:p>
    <w:p w14:paraId="76000098" w14:textId="77777777" w:rsidR="00CE0121" w:rsidRDefault="00CE0121" w:rsidP="00CE0121">
      <w:proofErr w:type="gramStart"/>
      <w:r w:rsidRPr="00107ECE">
        <w:t>El test</w:t>
      </w:r>
      <w:proofErr w:type="gramEnd"/>
      <w:r w:rsidRPr="00107ECE">
        <w:t xml:space="preserve"> </w:t>
      </w:r>
      <w:r>
        <w:t>C</w:t>
      </w:r>
      <w:r w:rsidRPr="00107ECE">
        <w:t>hi</w:t>
      </w:r>
      <w:r w:rsidRPr="00107ECE">
        <w:noBreakHyphen/>
        <w:t xml:space="preserve">cuadrado revela una </w:t>
      </w:r>
      <w:r>
        <w:t>relación</w:t>
      </w:r>
      <w:r w:rsidRPr="00107ECE">
        <w:t xml:space="preserve"> estadísticamente significativa entre el rango de edad y el resultado de alcohol en accidentes (p</w:t>
      </w:r>
      <w:r>
        <w:t>-valor</w:t>
      </w:r>
      <w:r w:rsidRPr="00107ECE">
        <w:t xml:space="preserve"> </w:t>
      </w:r>
      <w:r>
        <w:t>&lt;</w:t>
      </w:r>
      <w:r w:rsidRPr="00107ECE">
        <w:t>&lt; 0.000</w:t>
      </w:r>
      <w:r>
        <w:t>1</w:t>
      </w:r>
      <w:r w:rsidRPr="00107ECE">
        <w:t>)</w:t>
      </w:r>
      <w:r>
        <w:t>, lo que indica</w:t>
      </w:r>
      <w:r w:rsidRPr="00107ECE">
        <w:t xml:space="preserve"> que el patrón de edades en accidentes con alcohol positivo es diferente al de los negativos</w:t>
      </w:r>
      <w:r>
        <w:t>.</w:t>
      </w:r>
    </w:p>
    <w:p w14:paraId="2F7C17D2" w14:textId="77792E46" w:rsidR="001C014C" w:rsidRDefault="001C014C">
      <w:r>
        <w:br w:type="page"/>
      </w:r>
    </w:p>
    <w:p w14:paraId="57B12E29" w14:textId="77777777" w:rsidR="001C014C" w:rsidRDefault="001C014C" w:rsidP="001C014C">
      <w:pPr>
        <w:spacing w:before="100" w:beforeAutospacing="1" w:after="100" w:afterAutospacing="1" w:line="240" w:lineRule="auto"/>
        <w:rPr>
          <w:rFonts w:eastAsia="Times New Roman" w:cs="Calibri"/>
          <w:b/>
          <w:bCs/>
          <w:kern w:val="0"/>
          <w:lang w:eastAsia="es-ES"/>
          <w14:ligatures w14:val="none"/>
        </w:rPr>
      </w:pPr>
    </w:p>
    <w:p w14:paraId="0A15B352" w14:textId="77777777" w:rsidR="001C014C" w:rsidRPr="001C014C" w:rsidRDefault="001C014C" w:rsidP="001C014C">
      <w:pPr>
        <w:spacing w:before="100" w:beforeAutospacing="1" w:after="100" w:afterAutospacing="1" w:line="240" w:lineRule="auto"/>
        <w:rPr>
          <w:rFonts w:eastAsia="Times New Roman" w:cs="Calibri"/>
          <w:b/>
          <w:bCs/>
          <w:kern w:val="0"/>
          <w:lang w:eastAsia="es-ES"/>
          <w14:ligatures w14:val="none"/>
        </w:rPr>
      </w:pPr>
      <w:r w:rsidRPr="001C014C">
        <w:rPr>
          <w:rFonts w:eastAsia="Times New Roman" w:cs="Calibri"/>
          <w:b/>
          <w:bCs/>
          <w:kern w:val="0"/>
          <w:lang w:eastAsia="es-ES"/>
          <w14:ligatures w14:val="none"/>
        </w:rPr>
        <w:t>3.3 Análisis multivariante</w:t>
      </w:r>
    </w:p>
    <w:p w14:paraId="7D8D09CE" w14:textId="77777777" w:rsidR="001C014C" w:rsidRPr="001C014C" w:rsidRDefault="001C014C" w:rsidP="001C014C">
      <w:p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El presente análisis multivariante tiene como objetivo comprender cómo interactúan simultáneamente distintos factores geográficos, demográficos y de gravedad en los accidentes de tráfico registrados en la ciudad de Madrid durante el año 2024. A diferencia de los análisis univariantes o bivariantes, este enfoque permite identificar patrones complejos que solo emergen cuando se estudian varias variables de forma conjunta, proporcionando una visión más profunda y estructural del fenómeno de la accidentalidad urbana.</w:t>
      </w:r>
    </w:p>
    <w:p w14:paraId="26BE2CCF" w14:textId="77777777" w:rsidR="001C014C" w:rsidRPr="001C014C" w:rsidRDefault="001C014C" w:rsidP="001C014C">
      <w:p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El análisis multivariante desarrollado en este estudio tiene un carácter fundamentalmente descriptivo</w:t>
      </w:r>
      <w:r w:rsidRPr="001C014C">
        <w:rPr>
          <w:rFonts w:eastAsia="Times New Roman" w:cs="Calibri"/>
          <w:kern w:val="0"/>
          <w:lang w:eastAsia="es-ES"/>
          <w14:ligatures w14:val="none"/>
        </w:rPr>
        <w:noBreakHyphen/>
        <w:t>exploratorio. Su propósito es identificar patrones, concentraciones espaciales y perfiles de riesgo derivados de la combinación simultánea de varias variables, sin pretender establecer relaciones causales ni evaluar formalmente la significancia estadística de sus interacciones. Bajo este enfoque, se plantean las siguientes preguntas de investigación:</w:t>
      </w:r>
    </w:p>
    <w:p w14:paraId="68C9B62C" w14:textId="77777777" w:rsidR="001C014C" w:rsidRPr="001C014C" w:rsidRDefault="001C014C" w:rsidP="001C014C">
      <w:pPr>
        <w:numPr>
          <w:ilvl w:val="0"/>
          <w:numId w:val="8"/>
        </w:num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¿Qué distritos presentan mayor densidad de accidentes por km² en Madrid?</w:t>
      </w:r>
    </w:p>
    <w:p w14:paraId="1D5E9FEF" w14:textId="77777777" w:rsidR="001C014C" w:rsidRPr="001C014C" w:rsidRDefault="001C014C" w:rsidP="001C014C">
      <w:pPr>
        <w:numPr>
          <w:ilvl w:val="0"/>
          <w:numId w:val="8"/>
        </w:num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¿Cómo varía el grado de lesividad en función del distrito y del tipo de accidente?</w:t>
      </w:r>
    </w:p>
    <w:p w14:paraId="522A6785" w14:textId="77777777" w:rsidR="001C014C" w:rsidRPr="001C014C" w:rsidRDefault="001C014C" w:rsidP="001C014C">
      <w:pPr>
        <w:numPr>
          <w:ilvl w:val="0"/>
          <w:numId w:val="8"/>
        </w:num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¿Cómo varía el grado de lesividad en función del sexo y la edad de las personas implicadas en accidentes de tráfico?</w:t>
      </w:r>
    </w:p>
    <w:p w14:paraId="3FD22F09" w14:textId="77777777" w:rsidR="001C014C" w:rsidRPr="001C014C" w:rsidRDefault="001C014C" w:rsidP="001C014C">
      <w:pPr>
        <w:spacing w:before="100" w:beforeAutospacing="1" w:after="100" w:afterAutospacing="1" w:line="240" w:lineRule="auto"/>
        <w:rPr>
          <w:rFonts w:eastAsia="Times New Roman" w:cs="Calibri"/>
          <w:i/>
          <w:kern w:val="0"/>
          <w:lang w:eastAsia="es-ES"/>
          <w14:ligatures w14:val="none"/>
        </w:rPr>
      </w:pPr>
      <w:r w:rsidRPr="001C014C">
        <w:rPr>
          <w:rFonts w:eastAsia="Times New Roman" w:cs="Calibri"/>
          <w:i/>
          <w:kern w:val="0"/>
          <w:lang w:eastAsia="es-ES"/>
          <w14:ligatures w14:val="none"/>
        </w:rPr>
        <w:t xml:space="preserve">3.3.1 Variables geográficas </w:t>
      </w:r>
    </w:p>
    <w:p w14:paraId="7D633E50" w14:textId="77777777" w:rsidR="001C014C" w:rsidRPr="001C014C" w:rsidRDefault="001C014C" w:rsidP="001C014C">
      <w:pPr>
        <w:spacing w:before="100" w:beforeAutospacing="1" w:after="100" w:afterAutospacing="1" w:line="240" w:lineRule="auto"/>
        <w:rPr>
          <w:rFonts w:eastAsia="Times New Roman" w:cs="Calibri"/>
          <w:b/>
          <w:bCs/>
          <w:kern w:val="0"/>
          <w:lang w:eastAsia="es-ES"/>
          <w14:ligatures w14:val="none"/>
        </w:rPr>
      </w:pPr>
      <w:r w:rsidRPr="001C014C">
        <w:rPr>
          <w:rFonts w:eastAsia="Times New Roman" w:cs="Calibri"/>
          <w:kern w:val="0"/>
          <w:lang w:eastAsia="es-ES"/>
          <w14:ligatures w14:val="none"/>
        </w:rPr>
        <w:t>En este primer bloque se examina la localización espacial de los accidentes mediante sus coordenadas UTM (X e Y), coloreadas por distrito. Esta representación permite visualizar la forma aproximada de cada distrito, su extensión y su estructura territorial sin necesidad de un mapa explícito. Además, la densidad visual de puntos revela áreas con mayor concentración de siniestros. También se calcula la densidad de accidentes por kilómetro cuadrado.</w:t>
      </w:r>
    </w:p>
    <w:p w14:paraId="3C6BAE97" w14:textId="77777777" w:rsidR="001C014C" w:rsidRDefault="001C014C" w:rsidP="001C014C">
      <w:pPr>
        <w:spacing w:before="100" w:beforeAutospacing="1" w:after="100" w:afterAutospacing="1" w:line="240" w:lineRule="auto"/>
        <w:rPr>
          <w:rFonts w:eastAsia="Times New Roman" w:cs="Calibri"/>
          <w:b/>
          <w:bCs/>
          <w:kern w:val="0"/>
          <w:lang w:eastAsia="es-ES"/>
          <w14:ligatures w14:val="none"/>
        </w:rPr>
      </w:pPr>
    </w:p>
    <w:p w14:paraId="4688065B" w14:textId="51C2E22D" w:rsidR="001C014C" w:rsidRPr="001C014C" w:rsidRDefault="001C014C" w:rsidP="001C014C">
      <w:pPr>
        <w:spacing w:before="100" w:beforeAutospacing="1" w:after="100" w:afterAutospacing="1" w:line="240" w:lineRule="auto"/>
        <w:rPr>
          <w:rFonts w:eastAsia="Times New Roman" w:cs="Calibri"/>
          <w:b/>
          <w:bCs/>
          <w:kern w:val="0"/>
          <w:lang w:eastAsia="es-ES"/>
          <w14:ligatures w14:val="none"/>
        </w:rPr>
      </w:pPr>
      <w:r w:rsidRPr="001C014C">
        <w:rPr>
          <w:rFonts w:eastAsia="Times New Roman" w:cs="Calibri"/>
          <w:b/>
          <w:bCs/>
          <w:kern w:val="0"/>
          <w:lang w:eastAsia="es-ES"/>
          <w14:ligatures w14:val="none"/>
        </w:rPr>
        <w:t>¿Qué distritos presentan mayor densidad de accidentes por km² en Madrid?</w:t>
      </w:r>
    </w:p>
    <w:p w14:paraId="6B68AF77" w14:textId="77777777" w:rsidR="001C014C" w:rsidRPr="001C014C" w:rsidRDefault="001C014C" w:rsidP="001C014C">
      <w:p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El análisis geográfico combina dos enfoques complementarios:</w:t>
      </w:r>
    </w:p>
    <w:p w14:paraId="2A206357" w14:textId="77777777" w:rsidR="001C014C" w:rsidRPr="001C014C" w:rsidRDefault="001C014C" w:rsidP="001C014C">
      <w:pPr>
        <w:numPr>
          <w:ilvl w:val="0"/>
          <w:numId w:val="6"/>
        </w:num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b/>
          <w:bCs/>
          <w:kern w:val="0"/>
          <w:lang w:eastAsia="es-ES"/>
          <w14:ligatures w14:val="none"/>
        </w:rPr>
        <w:t xml:space="preserve">Visualización mediante </w:t>
      </w:r>
      <w:proofErr w:type="spellStart"/>
      <w:r w:rsidRPr="001C014C">
        <w:rPr>
          <w:rFonts w:eastAsia="Times New Roman" w:cs="Calibri"/>
          <w:b/>
          <w:bCs/>
          <w:kern w:val="0"/>
          <w:lang w:eastAsia="es-ES"/>
          <w14:ligatures w14:val="none"/>
        </w:rPr>
        <w:t>scatterplot</w:t>
      </w:r>
      <w:proofErr w:type="spellEnd"/>
      <w:r w:rsidRPr="001C014C">
        <w:rPr>
          <w:rFonts w:eastAsia="Times New Roman" w:cs="Calibri"/>
          <w:kern w:val="0"/>
          <w:lang w:eastAsia="es-ES"/>
          <w14:ligatures w14:val="none"/>
        </w:rPr>
        <w:t>, donde la superposición de puntos permite identificar zonas con alta concentración aparente de accidentes.</w:t>
      </w:r>
    </w:p>
    <w:p w14:paraId="378FC4DE" w14:textId="77777777" w:rsidR="001C014C" w:rsidRPr="001C014C" w:rsidRDefault="001C014C" w:rsidP="001C014C">
      <w:pPr>
        <w:numPr>
          <w:ilvl w:val="0"/>
          <w:numId w:val="6"/>
        </w:num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b/>
          <w:bCs/>
          <w:kern w:val="0"/>
          <w:lang w:eastAsia="es-ES"/>
          <w14:ligatures w14:val="none"/>
        </w:rPr>
        <w:t>Cálculo de densidad por km²</w:t>
      </w:r>
      <w:r w:rsidRPr="001C014C">
        <w:rPr>
          <w:rFonts w:eastAsia="Times New Roman" w:cs="Calibri"/>
          <w:kern w:val="0"/>
          <w:lang w:eastAsia="es-ES"/>
          <w14:ligatures w14:val="none"/>
        </w:rPr>
        <w:t>, que corrige el efecto del tamaño del distrito y permite determinar si la concentración observada es proporcional a su superficie o si, por el contrario, refleja una mayor intensidad real de siniestros.</w:t>
      </w:r>
    </w:p>
    <w:p w14:paraId="21803E55" w14:textId="77777777" w:rsidR="001C014C" w:rsidRPr="001C014C" w:rsidRDefault="001C014C" w:rsidP="001C014C">
      <w:p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 xml:space="preserve">Al normalizar por área, se confirma que los distritos con </w:t>
      </w:r>
      <w:r w:rsidRPr="001C014C">
        <w:rPr>
          <w:rFonts w:eastAsia="Times New Roman" w:cs="Calibri"/>
          <w:b/>
          <w:bCs/>
          <w:kern w:val="0"/>
          <w:lang w:eastAsia="es-ES"/>
          <w14:ligatures w14:val="none"/>
        </w:rPr>
        <w:t>mayor densidad de accidentes por km²</w:t>
      </w:r>
      <w:r w:rsidRPr="001C014C">
        <w:rPr>
          <w:rFonts w:eastAsia="Times New Roman" w:cs="Calibri"/>
          <w:kern w:val="0"/>
          <w:lang w:eastAsia="es-ES"/>
          <w14:ligatures w14:val="none"/>
        </w:rPr>
        <w:t xml:space="preserve"> son:</w:t>
      </w:r>
    </w:p>
    <w:p w14:paraId="4FE419DF" w14:textId="77777777" w:rsidR="001C014C" w:rsidRPr="001C014C" w:rsidRDefault="001C014C" w:rsidP="001C014C">
      <w:pPr>
        <w:numPr>
          <w:ilvl w:val="0"/>
          <w:numId w:val="7"/>
        </w:num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b/>
          <w:bCs/>
          <w:kern w:val="0"/>
          <w:lang w:eastAsia="es-ES"/>
          <w14:ligatures w14:val="none"/>
        </w:rPr>
        <w:t>Salamanca</w:t>
      </w:r>
    </w:p>
    <w:p w14:paraId="7CC1556D" w14:textId="77777777" w:rsidR="001C014C" w:rsidRPr="001C014C" w:rsidRDefault="001C014C" w:rsidP="001C014C">
      <w:pPr>
        <w:numPr>
          <w:ilvl w:val="0"/>
          <w:numId w:val="7"/>
        </w:num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b/>
          <w:bCs/>
          <w:kern w:val="0"/>
          <w:lang w:eastAsia="es-ES"/>
          <w14:ligatures w14:val="none"/>
        </w:rPr>
        <w:t>Centro</w:t>
      </w:r>
    </w:p>
    <w:p w14:paraId="1FF73980" w14:textId="77777777" w:rsidR="001C014C" w:rsidRPr="001C014C" w:rsidRDefault="001C014C" w:rsidP="001C014C">
      <w:pPr>
        <w:numPr>
          <w:ilvl w:val="0"/>
          <w:numId w:val="7"/>
        </w:num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b/>
          <w:bCs/>
          <w:kern w:val="0"/>
          <w:lang w:eastAsia="es-ES"/>
          <w14:ligatures w14:val="none"/>
        </w:rPr>
        <w:t>Chamartín</w:t>
      </w:r>
    </w:p>
    <w:p w14:paraId="6A65A390" w14:textId="77777777" w:rsidR="001C014C" w:rsidRPr="001C014C" w:rsidRDefault="001C014C" w:rsidP="001C014C">
      <w:pPr>
        <w:numPr>
          <w:ilvl w:val="0"/>
          <w:numId w:val="7"/>
        </w:num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b/>
          <w:bCs/>
          <w:kern w:val="0"/>
          <w:lang w:eastAsia="es-ES"/>
          <w14:ligatures w14:val="none"/>
        </w:rPr>
        <w:lastRenderedPageBreak/>
        <w:t>Chamberí</w:t>
      </w:r>
    </w:p>
    <w:p w14:paraId="5840B0C4" w14:textId="77777777" w:rsidR="001C014C" w:rsidRPr="001C014C" w:rsidRDefault="001C014C" w:rsidP="001C014C">
      <w:pPr>
        <w:numPr>
          <w:ilvl w:val="0"/>
          <w:numId w:val="7"/>
        </w:num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b/>
          <w:bCs/>
          <w:kern w:val="0"/>
          <w:lang w:eastAsia="es-ES"/>
          <w14:ligatures w14:val="none"/>
        </w:rPr>
        <w:t>Tetuán</w:t>
      </w:r>
    </w:p>
    <w:p w14:paraId="44CA26CB" w14:textId="77777777" w:rsidR="001C014C" w:rsidRPr="001C014C" w:rsidRDefault="001C014C" w:rsidP="001C014C">
      <w:p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 xml:space="preserve">Estos distritos presentan una combinación de </w:t>
      </w:r>
      <w:r w:rsidRPr="001C014C">
        <w:rPr>
          <w:rFonts w:eastAsia="Times New Roman" w:cs="Calibri"/>
          <w:b/>
          <w:bCs/>
          <w:kern w:val="0"/>
          <w:lang w:eastAsia="es-ES"/>
          <w14:ligatures w14:val="none"/>
        </w:rPr>
        <w:t>alta actividad urbana</w:t>
      </w:r>
      <w:r w:rsidRPr="001C014C">
        <w:rPr>
          <w:rFonts w:eastAsia="Times New Roman" w:cs="Calibri"/>
          <w:kern w:val="0"/>
          <w:lang w:eastAsia="es-ES"/>
          <w14:ligatures w14:val="none"/>
        </w:rPr>
        <w:t xml:space="preserve">, </w:t>
      </w:r>
      <w:r w:rsidRPr="001C014C">
        <w:rPr>
          <w:rFonts w:eastAsia="Times New Roman" w:cs="Calibri"/>
          <w:b/>
          <w:bCs/>
          <w:kern w:val="0"/>
          <w:lang w:eastAsia="es-ES"/>
          <w14:ligatures w14:val="none"/>
        </w:rPr>
        <w:t>intenso flujo peatonal y vehicular</w:t>
      </w:r>
      <w:r w:rsidRPr="001C014C">
        <w:rPr>
          <w:rFonts w:eastAsia="Times New Roman" w:cs="Calibri"/>
          <w:kern w:val="0"/>
          <w:lang w:eastAsia="es-ES"/>
          <w14:ligatures w14:val="none"/>
        </w:rPr>
        <w:t xml:space="preserve"> y </w:t>
      </w:r>
      <w:r w:rsidRPr="001C014C">
        <w:rPr>
          <w:rFonts w:eastAsia="Times New Roman" w:cs="Calibri"/>
          <w:b/>
          <w:bCs/>
          <w:kern w:val="0"/>
          <w:lang w:eastAsia="es-ES"/>
          <w14:ligatures w14:val="none"/>
        </w:rPr>
        <w:t>elevada densidad poblacional</w:t>
      </w:r>
      <w:r w:rsidRPr="001C014C">
        <w:rPr>
          <w:rFonts w:eastAsia="Times New Roman" w:cs="Calibri"/>
          <w:kern w:val="0"/>
          <w:lang w:eastAsia="es-ES"/>
          <w14:ligatures w14:val="none"/>
        </w:rPr>
        <w:t>, lo que explica que concentren un número de accidentes significativamente mayor en relación con su superficie.</w:t>
      </w:r>
    </w:p>
    <w:p w14:paraId="382D8D07" w14:textId="77777777" w:rsidR="001C014C" w:rsidRDefault="001C014C" w:rsidP="001C014C">
      <w:pPr>
        <w:spacing w:before="100" w:beforeAutospacing="1" w:after="100" w:afterAutospacing="1" w:line="240" w:lineRule="auto"/>
        <w:rPr>
          <w:rFonts w:eastAsia="Times New Roman" w:cs="Calibri"/>
          <w:b/>
          <w:bCs/>
          <w:i/>
          <w:iCs/>
          <w:kern w:val="0"/>
          <w:lang w:eastAsia="es-ES"/>
          <w14:ligatures w14:val="none"/>
        </w:rPr>
      </w:pPr>
    </w:p>
    <w:p w14:paraId="449CB2A9" w14:textId="404F2AE6" w:rsidR="001C014C" w:rsidRPr="001C014C" w:rsidRDefault="001C014C" w:rsidP="001C014C">
      <w:pPr>
        <w:spacing w:before="100" w:beforeAutospacing="1" w:after="100" w:afterAutospacing="1" w:line="240" w:lineRule="auto"/>
        <w:rPr>
          <w:rFonts w:eastAsia="Times New Roman" w:cs="Calibri"/>
          <w:b/>
          <w:bCs/>
          <w:i/>
          <w:iCs/>
          <w:kern w:val="0"/>
          <w:lang w:eastAsia="es-ES"/>
          <w14:ligatures w14:val="none"/>
        </w:rPr>
      </w:pPr>
      <w:r w:rsidRPr="001C014C">
        <w:rPr>
          <w:rFonts w:eastAsia="Times New Roman" w:cs="Calibri"/>
          <w:b/>
          <w:bCs/>
          <w:i/>
          <w:iCs/>
          <w:kern w:val="0"/>
          <w:lang w:eastAsia="es-ES"/>
          <w14:ligatures w14:val="none"/>
        </w:rPr>
        <w:t>3.3.2 Variables demográfico</w:t>
      </w:r>
    </w:p>
    <w:p w14:paraId="4A7EE758" w14:textId="77777777" w:rsidR="001C014C" w:rsidRPr="001C014C" w:rsidRDefault="001C014C" w:rsidP="001C014C">
      <w:p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El tercer bloque examina cómo se distribuye la lesividad entre hombres y mujeres a lo largo del ciclo vital, analizando simultáneamente el sexo y el rango de edad de las personas implicadas en accidentes de tráfico. Este enfoque permite identificar no solo diferencias globales entre hombres y mujeres, sino también cómo estas diferencias se modifican en función de la etapa vital, revelando patrones de vulnerabilidad específicos para cada grupo demográfico.</w:t>
      </w:r>
    </w:p>
    <w:p w14:paraId="1093B209" w14:textId="33086D52" w:rsidR="001C014C" w:rsidRPr="001C014C" w:rsidRDefault="001C014C" w:rsidP="001C014C">
      <w:p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El análisis pone especial atención en la interacción entre ambas variables, ya que la exposición al riesgo y la gravedad de las lesiones no se distribuyen de manera uniforme a lo largo de la vida.</w:t>
      </w:r>
    </w:p>
    <w:p w14:paraId="42EB5476"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Sin asistencia sanitaria</w:t>
      </w:r>
    </w:p>
    <w:p w14:paraId="5914007E"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En la categoría “Sin asistencia sanitaria” se observa un predominio masculino constante a partir de los 15 años. Este patrón se intensifica en edades medias y avanzadas:</w:t>
      </w:r>
    </w:p>
    <w:p w14:paraId="6F63C281" w14:textId="77777777" w:rsidR="001C014C" w:rsidRPr="001C014C" w:rsidRDefault="001C014C" w:rsidP="001C014C">
      <w:pPr>
        <w:numPr>
          <w:ilvl w:val="0"/>
          <w:numId w:val="2"/>
        </w:num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A partir de los 50 años, los hombres representan más del 70 % de los casos sin asistencia.</w:t>
      </w:r>
    </w:p>
    <w:p w14:paraId="6129BBCF"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Este comportamiento sugiere que los hombres tienden a verse implicados en accidentes que no requieren atención médica, posiblemente debido a una mayor exposición vial, diferencias en los patrones de movilidad o una menor percepción del riesgo.</w:t>
      </w:r>
    </w:p>
    <w:p w14:paraId="1916D23D"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Lesiones leves</w:t>
      </w:r>
    </w:p>
    <w:p w14:paraId="1B8C2011"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Las lesiones leves también muestran un predominio masculino en la mayoría de los grupos de edad, especialmente entre los 35 y 59 años, donde los hombres superan el 64 % de los casos.</w:t>
      </w:r>
    </w:p>
    <w:p w14:paraId="69B6DE9A"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Sin embargo, en edades avanzadas el patrón se invierte:</w:t>
      </w:r>
    </w:p>
    <w:p w14:paraId="27869D27" w14:textId="77777777" w:rsidR="001C014C" w:rsidRPr="001C014C" w:rsidRDefault="001C014C" w:rsidP="001C014C">
      <w:pPr>
        <w:numPr>
          <w:ilvl w:val="0"/>
          <w:numId w:val="3"/>
        </w:num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En el grupo 70–74 años, las mujeres representan más del 60% de los casos.</w:t>
      </w:r>
    </w:p>
    <w:p w14:paraId="7247A786" w14:textId="77777777" w:rsidR="001C014C" w:rsidRPr="001C014C" w:rsidRDefault="001C014C" w:rsidP="001C014C">
      <w:pPr>
        <w:numPr>
          <w:ilvl w:val="0"/>
          <w:numId w:val="3"/>
        </w:num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En mayores de 74 años, las mujeres alcanzan el 53,7 %.</w:t>
      </w:r>
    </w:p>
    <w:p w14:paraId="41F2AF06"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Este cambio puede reflejar una mayor vulnerabilidad femenina en edades avanzadas, diferencias en la fragilidad física o una mayor propensión a reportar lesiones leves.</w:t>
      </w:r>
    </w:p>
    <w:p w14:paraId="16315006"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Lesiones graves</w:t>
      </w:r>
    </w:p>
    <w:p w14:paraId="7CD7BDA8"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lastRenderedPageBreak/>
        <w:t>En la categoría de lesiones graves se mantiene un fuerte predominio masculino en la mayoría de los grupos de edad, con valores que oscilan entre el 70 % y el 87 % en edades adultas.</w:t>
      </w:r>
    </w:p>
    <w:p w14:paraId="7B93E12B"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No obstante, existen excepciones relevantes:</w:t>
      </w:r>
    </w:p>
    <w:p w14:paraId="73323AA9" w14:textId="77777777" w:rsidR="001C014C" w:rsidRPr="001C014C" w:rsidRDefault="001C014C" w:rsidP="001C014C">
      <w:pPr>
        <w:numPr>
          <w:ilvl w:val="0"/>
          <w:numId w:val="4"/>
        </w:num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10–14 años: predominio femenino (66,7 %).</w:t>
      </w:r>
    </w:p>
    <w:p w14:paraId="690151F7" w14:textId="77777777" w:rsidR="001C014C" w:rsidRPr="001C014C" w:rsidRDefault="001C014C" w:rsidP="001C014C">
      <w:pPr>
        <w:numPr>
          <w:ilvl w:val="0"/>
          <w:numId w:val="4"/>
        </w:num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70–74 años: predominio femenino (71,4 %).</w:t>
      </w:r>
    </w:p>
    <w:p w14:paraId="72B25236" w14:textId="77777777" w:rsidR="001C014C" w:rsidRPr="001C014C" w:rsidRDefault="001C014C" w:rsidP="001C014C">
      <w:pPr>
        <w:numPr>
          <w:ilvl w:val="0"/>
          <w:numId w:val="4"/>
        </w:num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Más de 74 años: predominio femenino (53,5 %).</w:t>
      </w:r>
    </w:p>
    <w:p w14:paraId="3E08C785"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Estos resultados indican que las mujeres mayores presentan una mayor probabilidad de sufrir lesiones graves en caso de accidente, posiblemente asociada a factores de fragilidad o condiciones de salud previas.</w:t>
      </w:r>
    </w:p>
    <w:p w14:paraId="71DB145A"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Fallecidos</w:t>
      </w:r>
    </w:p>
    <w:p w14:paraId="7CA8B521"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Aunque el número de casos es reducido, se observan patrones extremos:</w:t>
      </w:r>
    </w:p>
    <w:p w14:paraId="6F39BDAE" w14:textId="77777777" w:rsidR="001C014C" w:rsidRPr="001C014C" w:rsidRDefault="001C014C" w:rsidP="001C014C">
      <w:pPr>
        <w:numPr>
          <w:ilvl w:val="0"/>
          <w:numId w:val="5"/>
        </w:num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En edades medias (25–59 años), los fallecidos son casi exclusivamente hombres (100 % en varios grupos).</w:t>
      </w:r>
    </w:p>
    <w:p w14:paraId="152E9E72" w14:textId="77777777" w:rsidR="001C014C" w:rsidRPr="001C014C" w:rsidRDefault="001C014C" w:rsidP="001C014C">
      <w:pPr>
        <w:numPr>
          <w:ilvl w:val="0"/>
          <w:numId w:val="5"/>
        </w:num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En mayores de 74 años, la distribución se equilibra (55,6 % hombres, 44,4 % mujeres).</w:t>
      </w:r>
    </w:p>
    <w:p w14:paraId="388133FC" w14:textId="77777777" w:rsidR="001C014C" w:rsidRPr="001C014C" w:rsidRDefault="001C014C" w:rsidP="001C014C">
      <w:pPr>
        <w:numPr>
          <w:ilvl w:val="0"/>
          <w:numId w:val="5"/>
        </w:num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En el grupo 70–74 años, los fallecidos registrados son exclusivamente mujeres (100 %).</w:t>
      </w:r>
    </w:p>
    <w:p w14:paraId="4FB429B5" w14:textId="77777777" w:rsidR="001C014C" w:rsidRPr="001C014C" w:rsidRDefault="001C014C" w:rsidP="001C014C">
      <w:pPr>
        <w:spacing w:before="100" w:beforeAutospacing="1" w:after="100" w:afterAutospacing="1" w:line="240" w:lineRule="auto"/>
        <w:rPr>
          <w:rFonts w:eastAsia="Times New Roman" w:cs="Calibri"/>
          <w:i/>
          <w:iCs/>
          <w:kern w:val="0"/>
          <w:lang w:eastAsia="es-ES"/>
          <w14:ligatures w14:val="none"/>
        </w:rPr>
      </w:pPr>
      <w:r w:rsidRPr="001C014C">
        <w:rPr>
          <w:rFonts w:eastAsia="Times New Roman" w:cs="Calibri"/>
          <w:i/>
          <w:iCs/>
          <w:kern w:val="0"/>
          <w:lang w:eastAsia="es-ES"/>
          <w14:ligatures w14:val="none"/>
        </w:rPr>
        <w:t>Estos resultados sugieren que, aunque la mortalidad es mayoritariamente masculina en edades activas, en edades avanzadas la vulnerabilidad femenina aumenta de forma notable.</w:t>
      </w:r>
    </w:p>
    <w:p w14:paraId="60475C40" w14:textId="77777777" w:rsidR="001C014C" w:rsidRDefault="001C014C" w:rsidP="001C014C">
      <w:pPr>
        <w:spacing w:before="100" w:beforeAutospacing="1" w:after="100" w:afterAutospacing="1" w:line="240" w:lineRule="auto"/>
        <w:rPr>
          <w:rFonts w:eastAsia="Times New Roman" w:cs="Calibri"/>
          <w:b/>
          <w:bCs/>
          <w:i/>
          <w:iCs/>
          <w:kern w:val="0"/>
          <w:lang w:eastAsia="es-ES"/>
          <w14:ligatures w14:val="none"/>
        </w:rPr>
      </w:pPr>
    </w:p>
    <w:p w14:paraId="6C4652CC" w14:textId="0D21AF1B" w:rsidR="001C014C" w:rsidRPr="001C014C" w:rsidRDefault="001C014C" w:rsidP="001C014C">
      <w:pPr>
        <w:spacing w:before="100" w:beforeAutospacing="1" w:after="100" w:afterAutospacing="1" w:line="240" w:lineRule="auto"/>
        <w:rPr>
          <w:rFonts w:eastAsia="Times New Roman" w:cs="Calibri"/>
          <w:b/>
          <w:bCs/>
          <w:i/>
          <w:iCs/>
          <w:kern w:val="0"/>
          <w:lang w:eastAsia="es-ES"/>
          <w14:ligatures w14:val="none"/>
        </w:rPr>
      </w:pPr>
      <w:r w:rsidRPr="001C014C">
        <w:rPr>
          <w:rFonts w:eastAsia="Times New Roman" w:cs="Calibri"/>
          <w:b/>
          <w:bCs/>
          <w:i/>
          <w:iCs/>
          <w:kern w:val="0"/>
          <w:lang w:eastAsia="es-ES"/>
          <w14:ligatures w14:val="none"/>
        </w:rPr>
        <w:t xml:space="preserve">3.3.3 Gravedad accidente </w:t>
      </w:r>
    </w:p>
    <w:p w14:paraId="60E344BF" w14:textId="77777777" w:rsidR="001C014C" w:rsidRDefault="001C014C" w:rsidP="001C014C">
      <w:p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El tercer bloque del análisis multivariante aborda de manera conjunta la relación entre el distrito en el que ocurre el siniestro, el tipo de accidente y el grado de lesividad resultante. Este enfoque permite identificar patrones de severidad que no emergen cuando estas variables se analizan de forma aislada, revelando cómo el contexto territorial y la tipología del siniestro condicionan la gravedad final de las lesiones.</w:t>
      </w:r>
    </w:p>
    <w:p w14:paraId="2674DBB1" w14:textId="77777777" w:rsidR="001C014C" w:rsidRPr="001C014C" w:rsidRDefault="001C014C" w:rsidP="001C014C">
      <w:p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El análisis conjunto del sexo y el rango de edad de las personas implicadas en accidentes de tráfico permite identificar patrones diferenciados de lesividad a lo largo del ciclo vital. La distribución de las categorías de gravedad revela comportamientos específicos tanto en hombres como en mujeres, así como variaciones relevantes en edades avanzadas.</w:t>
      </w:r>
    </w:p>
    <w:p w14:paraId="6C1CD104" w14:textId="77777777" w:rsidR="001C014C" w:rsidRPr="001C014C" w:rsidRDefault="001C014C" w:rsidP="001C014C">
      <w:pPr>
        <w:spacing w:before="100" w:beforeAutospacing="1" w:after="100" w:afterAutospacing="1" w:line="240" w:lineRule="auto"/>
        <w:rPr>
          <w:rFonts w:eastAsia="Times New Roman" w:cs="Calibri"/>
          <w:kern w:val="0"/>
          <w:lang w:eastAsia="es-ES"/>
          <w14:ligatures w14:val="none"/>
        </w:rPr>
      </w:pPr>
      <w:r w:rsidRPr="001C014C">
        <w:rPr>
          <w:rFonts w:eastAsia="Times New Roman" w:cs="Calibri"/>
          <w:kern w:val="0"/>
          <w:lang w:eastAsia="es-ES"/>
          <w14:ligatures w14:val="none"/>
        </w:rPr>
        <w:t>¿Cómo varía el grado de lesividad en función del sexo y la edad de las personas implicadas en accidentes de tráfico?</w:t>
      </w:r>
    </w:p>
    <w:p w14:paraId="24E372B5" w14:textId="77777777" w:rsidR="001C014C" w:rsidRPr="001C014C" w:rsidRDefault="001C014C" w:rsidP="001C014C">
      <w:pPr>
        <w:spacing w:before="100" w:beforeAutospacing="1" w:after="100" w:afterAutospacing="1" w:line="240" w:lineRule="auto"/>
        <w:rPr>
          <w:rFonts w:eastAsia="Times New Roman" w:cs="Calibri"/>
          <w:kern w:val="0"/>
          <w:lang w:eastAsia="es-ES"/>
          <w14:ligatures w14:val="none"/>
        </w:rPr>
      </w:pPr>
    </w:p>
    <w:p w14:paraId="27A1325C" w14:textId="77777777" w:rsidR="001C014C" w:rsidRDefault="001C014C" w:rsidP="001C014C">
      <w:pPr>
        <w:spacing w:before="100" w:beforeAutospacing="1" w:after="100" w:afterAutospacing="1" w:line="240" w:lineRule="auto"/>
        <w:rPr>
          <w:rFonts w:eastAsia="Times New Roman" w:cs="Calibri"/>
          <w:b/>
          <w:bCs/>
          <w:i/>
          <w:iCs/>
          <w:kern w:val="0"/>
          <w:lang w:eastAsia="es-ES"/>
          <w14:ligatures w14:val="none"/>
        </w:rPr>
      </w:pPr>
    </w:p>
    <w:p w14:paraId="00CDDCDF" w14:textId="7293B55A" w:rsidR="001C014C" w:rsidRPr="00905788" w:rsidRDefault="001C014C" w:rsidP="001C014C">
      <w:pPr>
        <w:spacing w:before="100" w:beforeAutospacing="1" w:after="100" w:afterAutospacing="1" w:line="240" w:lineRule="auto"/>
        <w:rPr>
          <w:rFonts w:eastAsia="Times New Roman" w:cs="Calibri"/>
          <w:b/>
          <w:bCs/>
          <w:i/>
          <w:iCs/>
          <w:kern w:val="0"/>
          <w:lang w:eastAsia="es-ES"/>
          <w14:ligatures w14:val="none"/>
        </w:rPr>
      </w:pPr>
      <w:r w:rsidRPr="004E6AC1">
        <w:rPr>
          <w:rFonts w:eastAsia="Times New Roman" w:cs="Calibri"/>
          <w:b/>
          <w:bCs/>
          <w:i/>
          <w:iCs/>
          <w:kern w:val="0"/>
          <w:lang w:eastAsia="es-ES"/>
          <w14:ligatures w14:val="none"/>
        </w:rPr>
        <w:lastRenderedPageBreak/>
        <w:t>¿Cómo varía el grado de lesividad en función del distrito y del tipo de accidente?</w:t>
      </w:r>
    </w:p>
    <w:p w14:paraId="749EFD4C" w14:textId="77777777" w:rsidR="001C014C" w:rsidRDefault="001C014C" w:rsidP="001C014C">
      <w:pPr>
        <w:rPr>
          <w:noProof/>
        </w:rPr>
      </w:pPr>
      <w:r w:rsidRPr="00A12C8A">
        <w:rPr>
          <w:noProof/>
        </w:rPr>
        <w:t>En términos generales, se observa que:</w:t>
      </w:r>
    </w:p>
    <w:p w14:paraId="126845D9" w14:textId="77777777" w:rsidR="001C014C" w:rsidRDefault="001C014C" w:rsidP="001C014C">
      <w:pPr>
        <w:pStyle w:val="Prrafodelista"/>
        <w:numPr>
          <w:ilvl w:val="0"/>
          <w:numId w:val="1"/>
        </w:numPr>
        <w:spacing w:line="264" w:lineRule="auto"/>
        <w:jc w:val="both"/>
        <w:rPr>
          <w:noProof/>
        </w:rPr>
      </w:pPr>
      <w:r w:rsidRPr="001E1412">
        <w:rPr>
          <w:noProof/>
        </w:rPr>
        <w:t>Predominio de accidentes leves o sin asistencia sanitaria</w:t>
      </w:r>
      <w:r>
        <w:rPr>
          <w:noProof/>
        </w:rPr>
        <w:t xml:space="preserve">: </w:t>
      </w:r>
      <w:r w:rsidRPr="00A12C8A">
        <w:t xml:space="preserve">En la mayoría de los tipos de accidente, los porcentajes correspondientes a las categorías </w:t>
      </w:r>
      <w:r w:rsidRPr="001E1412">
        <w:rPr>
          <w:i/>
          <w:iCs/>
        </w:rPr>
        <w:t>“Sin asistencia sanitaria”</w:t>
      </w:r>
      <w:r w:rsidRPr="00A12C8A">
        <w:t xml:space="preserve"> y </w:t>
      </w:r>
      <w:r w:rsidRPr="001E1412">
        <w:rPr>
          <w:i/>
          <w:iCs/>
        </w:rPr>
        <w:t>“Leve”</w:t>
      </w:r>
      <w:r w:rsidRPr="00A12C8A">
        <w:t xml:space="preserve"> superan el 90</w:t>
      </w:r>
      <w:r>
        <w:t xml:space="preserve"> </w:t>
      </w:r>
      <w:r w:rsidRPr="00A12C8A">
        <w:t>% en numerosos distritos. Esto indica que, aunque los siniestros son frecuentes, la mayor parte no deriva en lesiones graves. Este patrón se mantiene de forma consistente en colisiones laterales, alcances y choques contra objeto fijo.</w:t>
      </w:r>
    </w:p>
    <w:p w14:paraId="454C50CD" w14:textId="77777777" w:rsidR="001C014C" w:rsidRPr="001E1412" w:rsidRDefault="001C014C" w:rsidP="001C014C">
      <w:pPr>
        <w:pStyle w:val="Prrafodelista"/>
        <w:numPr>
          <w:ilvl w:val="0"/>
          <w:numId w:val="1"/>
        </w:numPr>
        <w:spacing w:line="264" w:lineRule="auto"/>
        <w:jc w:val="both"/>
      </w:pPr>
      <w:r w:rsidRPr="001E1412">
        <w:t>Tipos de accidente con mayor gravedad</w:t>
      </w:r>
      <w:r>
        <w:t xml:space="preserve">: </w:t>
      </w:r>
      <w:r w:rsidRPr="001E1412">
        <w:t>Existen, sin embargo, ciertos tipos de accidente que presentan una distribución de lesividad más severa. En particular:</w:t>
      </w:r>
    </w:p>
    <w:p w14:paraId="1BC4A071" w14:textId="77777777" w:rsidR="001C014C" w:rsidRPr="001E1412" w:rsidRDefault="001C014C" w:rsidP="001C014C">
      <w:pPr>
        <w:pStyle w:val="Prrafodelista"/>
        <w:numPr>
          <w:ilvl w:val="1"/>
          <w:numId w:val="1"/>
        </w:numPr>
        <w:spacing w:line="264" w:lineRule="auto"/>
        <w:jc w:val="both"/>
      </w:pPr>
      <w:r w:rsidRPr="001E1412">
        <w:rPr>
          <w:b/>
          <w:bCs/>
        </w:rPr>
        <w:t>Atropello a persona</w:t>
      </w:r>
      <w:r w:rsidRPr="001E1412">
        <w:t xml:space="preserve"> Muestra porcentajes significativamente más altos en las categorías </w:t>
      </w:r>
      <w:r w:rsidRPr="001E1412">
        <w:rPr>
          <w:i/>
          <w:iCs/>
        </w:rPr>
        <w:t>“Grave”</w:t>
      </w:r>
      <w:r w:rsidRPr="001E1412">
        <w:t xml:space="preserve"> y </w:t>
      </w:r>
      <w:r w:rsidRPr="001E1412">
        <w:rPr>
          <w:i/>
          <w:iCs/>
        </w:rPr>
        <w:t>“Fallecido”</w:t>
      </w:r>
      <w:r w:rsidRPr="001E1412">
        <w:t>, especialmente en algunos distritos concretos. Esto sugiere un mayor riesgo asociado a este tipo de siniestro.</w:t>
      </w:r>
    </w:p>
    <w:p w14:paraId="614BCBF7" w14:textId="77777777" w:rsidR="001C014C" w:rsidRPr="001E1412" w:rsidRDefault="001C014C" w:rsidP="001C014C">
      <w:pPr>
        <w:pStyle w:val="Prrafodelista"/>
        <w:numPr>
          <w:ilvl w:val="1"/>
          <w:numId w:val="1"/>
        </w:numPr>
        <w:spacing w:line="264" w:lineRule="auto"/>
        <w:jc w:val="both"/>
      </w:pPr>
      <w:r w:rsidRPr="001E1412">
        <w:rPr>
          <w:b/>
          <w:bCs/>
        </w:rPr>
        <w:t>Colisión frontal</w:t>
      </w:r>
      <w:r w:rsidRPr="001E1412">
        <w:t xml:space="preserve"> También presenta una mayor proporción de lesiones graves y fallecimientos en comparación con otros tipos de accidente, lo que refuerza su carácter de alta severidad.</w:t>
      </w:r>
    </w:p>
    <w:p w14:paraId="33DCB66C" w14:textId="77777777" w:rsidR="001C014C" w:rsidRDefault="001C014C" w:rsidP="001C014C">
      <w:pPr>
        <w:pStyle w:val="Prrafodelista"/>
        <w:numPr>
          <w:ilvl w:val="0"/>
          <w:numId w:val="1"/>
        </w:numPr>
        <w:spacing w:line="264" w:lineRule="auto"/>
        <w:jc w:val="both"/>
      </w:pPr>
      <w:r w:rsidRPr="001E1412">
        <w:t>Mayor gravedad en distritos periféricos en accidentes de salida de vía</w:t>
      </w:r>
      <w:r>
        <w:t xml:space="preserve">: </w:t>
      </w:r>
      <w:r w:rsidRPr="001E1412">
        <w:t xml:space="preserve">En los accidentes clasificados como </w:t>
      </w:r>
      <w:r w:rsidRPr="001E1412">
        <w:rPr>
          <w:i/>
          <w:iCs/>
        </w:rPr>
        <w:t>“Salida de la vía”</w:t>
      </w:r>
      <w:r w:rsidRPr="001E1412">
        <w:t xml:space="preserve">, se aprecia un patrón territorial claro: distritos periféricos como </w:t>
      </w:r>
      <w:r w:rsidRPr="001E1412">
        <w:rPr>
          <w:b/>
          <w:bCs/>
        </w:rPr>
        <w:t>Fuencarral-El Pardo</w:t>
      </w:r>
      <w:r w:rsidRPr="001E1412">
        <w:t xml:space="preserve">, </w:t>
      </w:r>
      <w:r w:rsidRPr="001E1412">
        <w:rPr>
          <w:b/>
          <w:bCs/>
        </w:rPr>
        <w:t>Villa de Vallecas</w:t>
      </w:r>
      <w:r w:rsidRPr="001E1412">
        <w:t xml:space="preserve"> y </w:t>
      </w:r>
      <w:r w:rsidRPr="001E1412">
        <w:rPr>
          <w:b/>
          <w:bCs/>
        </w:rPr>
        <w:t>Arganzuela</w:t>
      </w:r>
      <w:r w:rsidRPr="001E1412">
        <w:t xml:space="preserve"> concentran una mayor proporción de heridos graves. Este comportamiento puede estar relacionado con características viales específicas, como mayor presencia de vías rápidas o menor densidad urbana.</w:t>
      </w:r>
    </w:p>
    <w:p w14:paraId="354F1218" w14:textId="77777777" w:rsidR="001C014C" w:rsidRPr="001E1412" w:rsidRDefault="001C014C" w:rsidP="001C014C">
      <w:pPr>
        <w:pStyle w:val="Prrafodelista"/>
        <w:numPr>
          <w:ilvl w:val="0"/>
          <w:numId w:val="1"/>
        </w:numPr>
        <w:spacing w:line="264" w:lineRule="auto"/>
        <w:jc w:val="both"/>
      </w:pPr>
      <w:r w:rsidRPr="001E1412">
        <w:t>Tipos de accidente con lesividad prácticamente nula</w:t>
      </w:r>
      <w:r>
        <w:t>:</w:t>
      </w:r>
      <w:r w:rsidRPr="001E1412">
        <w:rPr>
          <w:rFonts w:ascii="Times New Roman" w:eastAsia="Times New Roman" w:hAnsi="Times New Roman" w:cs="Times New Roman"/>
          <w:kern w:val="0"/>
          <w:sz w:val="24"/>
          <w:szCs w:val="24"/>
          <w:lang w:eastAsia="es-ES"/>
          <w14:ligatures w14:val="none"/>
        </w:rPr>
        <w:t xml:space="preserve"> </w:t>
      </w:r>
      <w:r w:rsidRPr="001E1412">
        <w:t>Algunos tipos de siniestro presentan perfiles de lesividad muy bajos. Por ejemplo:</w:t>
      </w:r>
    </w:p>
    <w:p w14:paraId="3575F9C9" w14:textId="77777777" w:rsidR="001C014C" w:rsidRPr="001E1412" w:rsidRDefault="001C014C" w:rsidP="001C014C">
      <w:pPr>
        <w:pStyle w:val="Prrafodelista"/>
        <w:numPr>
          <w:ilvl w:val="1"/>
          <w:numId w:val="1"/>
        </w:numPr>
        <w:spacing w:line="264" w:lineRule="auto"/>
        <w:jc w:val="both"/>
      </w:pPr>
      <w:r w:rsidRPr="001E1412">
        <w:rPr>
          <w:b/>
          <w:bCs/>
        </w:rPr>
        <w:t>Atropello a animal</w:t>
      </w:r>
      <w:r w:rsidRPr="001E1412">
        <w:t xml:space="preserve"> En la mayoría de los distritos, este tipo de accidente muestra un 100</w:t>
      </w:r>
      <w:r>
        <w:t xml:space="preserve"> </w:t>
      </w:r>
      <w:r w:rsidRPr="001E1412">
        <w:t xml:space="preserve">% de casos en la categoría </w:t>
      </w:r>
      <w:r w:rsidRPr="001E1412">
        <w:rPr>
          <w:i/>
          <w:iCs/>
        </w:rPr>
        <w:t>“Sin asistencia sanitaria”</w:t>
      </w:r>
      <w:r w:rsidRPr="001E1412">
        <w:t>, lo que indica que rara vez implica lesiones humanas.</w:t>
      </w:r>
    </w:p>
    <w:p w14:paraId="7EF13B59" w14:textId="77777777" w:rsidR="00E5563A" w:rsidRDefault="00E5563A"/>
    <w:sectPr w:rsidR="00E5563A" w:rsidSect="002E6B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900"/>
    <w:multiLevelType w:val="hybridMultilevel"/>
    <w:tmpl w:val="99BAD9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1FA7ABC"/>
    <w:multiLevelType w:val="multilevel"/>
    <w:tmpl w:val="B19A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83FA6"/>
    <w:multiLevelType w:val="multilevel"/>
    <w:tmpl w:val="2640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283F99"/>
    <w:multiLevelType w:val="multilevel"/>
    <w:tmpl w:val="0CEA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75728"/>
    <w:multiLevelType w:val="hybridMultilevel"/>
    <w:tmpl w:val="9D74DB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F752EC7"/>
    <w:multiLevelType w:val="multilevel"/>
    <w:tmpl w:val="8FD41F9C"/>
    <w:lvl w:ilvl="0">
      <w:start w:val="1"/>
      <w:numFmt w:val="decimal"/>
      <w:lvlText w:val="%1."/>
      <w:lvlJc w:val="left"/>
      <w:pPr>
        <w:tabs>
          <w:tab w:val="num" w:pos="720"/>
        </w:tabs>
        <w:ind w:left="720" w:hanging="360"/>
      </w:pPr>
      <w:rPr>
        <w:rFonts w:ascii="Calibri" w:eastAsiaTheme="minorHAnsi" w:hAnsi="Calibr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30455F"/>
    <w:multiLevelType w:val="multilevel"/>
    <w:tmpl w:val="41C4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A1DEA"/>
    <w:multiLevelType w:val="multilevel"/>
    <w:tmpl w:val="A47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304901">
    <w:abstractNumId w:val="0"/>
  </w:num>
  <w:num w:numId="2" w16cid:durableId="1600331523">
    <w:abstractNumId w:val="3"/>
  </w:num>
  <w:num w:numId="3" w16cid:durableId="1173032871">
    <w:abstractNumId w:val="6"/>
  </w:num>
  <w:num w:numId="4" w16cid:durableId="839586583">
    <w:abstractNumId w:val="1"/>
  </w:num>
  <w:num w:numId="5" w16cid:durableId="664170676">
    <w:abstractNumId w:val="7"/>
  </w:num>
  <w:num w:numId="6" w16cid:durableId="1586962666">
    <w:abstractNumId w:val="2"/>
  </w:num>
  <w:num w:numId="7" w16cid:durableId="200870367">
    <w:abstractNumId w:val="5"/>
  </w:num>
  <w:num w:numId="8" w16cid:durableId="1706979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21"/>
    <w:rsid w:val="00006102"/>
    <w:rsid w:val="00016F6E"/>
    <w:rsid w:val="00022BD4"/>
    <w:rsid w:val="00024F61"/>
    <w:rsid w:val="00027549"/>
    <w:rsid w:val="0002776F"/>
    <w:rsid w:val="00027AD4"/>
    <w:rsid w:val="0003297F"/>
    <w:rsid w:val="00041D0C"/>
    <w:rsid w:val="00042D91"/>
    <w:rsid w:val="00057AE0"/>
    <w:rsid w:val="000656E4"/>
    <w:rsid w:val="00081C3B"/>
    <w:rsid w:val="00092640"/>
    <w:rsid w:val="000957C8"/>
    <w:rsid w:val="00096D63"/>
    <w:rsid w:val="000A0D4A"/>
    <w:rsid w:val="000B75E8"/>
    <w:rsid w:val="000C4CD0"/>
    <w:rsid w:val="000D0D40"/>
    <w:rsid w:val="000D442D"/>
    <w:rsid w:val="000E3A4C"/>
    <w:rsid w:val="000E7F26"/>
    <w:rsid w:val="000F266C"/>
    <w:rsid w:val="00124385"/>
    <w:rsid w:val="001275B8"/>
    <w:rsid w:val="0013196B"/>
    <w:rsid w:val="00145C27"/>
    <w:rsid w:val="00162ECA"/>
    <w:rsid w:val="001816E6"/>
    <w:rsid w:val="001932DD"/>
    <w:rsid w:val="001A635C"/>
    <w:rsid w:val="001A6619"/>
    <w:rsid w:val="001B04D3"/>
    <w:rsid w:val="001C014C"/>
    <w:rsid w:val="001C0E96"/>
    <w:rsid w:val="001C17FA"/>
    <w:rsid w:val="001E34D7"/>
    <w:rsid w:val="001E5C33"/>
    <w:rsid w:val="001E653A"/>
    <w:rsid w:val="001E7283"/>
    <w:rsid w:val="001F324D"/>
    <w:rsid w:val="001F4A3D"/>
    <w:rsid w:val="001F7218"/>
    <w:rsid w:val="00201177"/>
    <w:rsid w:val="00205740"/>
    <w:rsid w:val="0021155A"/>
    <w:rsid w:val="002209BB"/>
    <w:rsid w:val="002211F9"/>
    <w:rsid w:val="002315C3"/>
    <w:rsid w:val="00232337"/>
    <w:rsid w:val="002356C9"/>
    <w:rsid w:val="002612D5"/>
    <w:rsid w:val="002625A1"/>
    <w:rsid w:val="00270A7E"/>
    <w:rsid w:val="00272E45"/>
    <w:rsid w:val="00273B00"/>
    <w:rsid w:val="00283C3D"/>
    <w:rsid w:val="002845F5"/>
    <w:rsid w:val="00293749"/>
    <w:rsid w:val="00296526"/>
    <w:rsid w:val="00296AE9"/>
    <w:rsid w:val="002D0664"/>
    <w:rsid w:val="002D7F07"/>
    <w:rsid w:val="002D7F82"/>
    <w:rsid w:val="002E6447"/>
    <w:rsid w:val="002E6B2F"/>
    <w:rsid w:val="002E7A80"/>
    <w:rsid w:val="002F39D3"/>
    <w:rsid w:val="002F5496"/>
    <w:rsid w:val="00306046"/>
    <w:rsid w:val="003066CA"/>
    <w:rsid w:val="00313688"/>
    <w:rsid w:val="00313BE4"/>
    <w:rsid w:val="00321065"/>
    <w:rsid w:val="003223FB"/>
    <w:rsid w:val="00323210"/>
    <w:rsid w:val="003260E1"/>
    <w:rsid w:val="00336511"/>
    <w:rsid w:val="00337A00"/>
    <w:rsid w:val="00342B35"/>
    <w:rsid w:val="003512C8"/>
    <w:rsid w:val="0035151D"/>
    <w:rsid w:val="00361EFF"/>
    <w:rsid w:val="00367349"/>
    <w:rsid w:val="003747C7"/>
    <w:rsid w:val="00377D6D"/>
    <w:rsid w:val="003849CE"/>
    <w:rsid w:val="0038781D"/>
    <w:rsid w:val="003A391C"/>
    <w:rsid w:val="003B0BE0"/>
    <w:rsid w:val="003C6CD6"/>
    <w:rsid w:val="003E2AE1"/>
    <w:rsid w:val="003E333B"/>
    <w:rsid w:val="003E4025"/>
    <w:rsid w:val="003E6B19"/>
    <w:rsid w:val="003F01E6"/>
    <w:rsid w:val="003F7E51"/>
    <w:rsid w:val="004026BE"/>
    <w:rsid w:val="004047C7"/>
    <w:rsid w:val="00413CE7"/>
    <w:rsid w:val="00420066"/>
    <w:rsid w:val="00432572"/>
    <w:rsid w:val="004339D7"/>
    <w:rsid w:val="004443FF"/>
    <w:rsid w:val="00465ABD"/>
    <w:rsid w:val="0049576F"/>
    <w:rsid w:val="004A0863"/>
    <w:rsid w:val="004A202A"/>
    <w:rsid w:val="004A6B54"/>
    <w:rsid w:val="004C2004"/>
    <w:rsid w:val="004D3B1F"/>
    <w:rsid w:val="004F4DC9"/>
    <w:rsid w:val="004F5BAF"/>
    <w:rsid w:val="005109D1"/>
    <w:rsid w:val="0051139F"/>
    <w:rsid w:val="005116DF"/>
    <w:rsid w:val="00514792"/>
    <w:rsid w:val="00523F88"/>
    <w:rsid w:val="00534C87"/>
    <w:rsid w:val="00544160"/>
    <w:rsid w:val="0054439F"/>
    <w:rsid w:val="00550F0B"/>
    <w:rsid w:val="00551230"/>
    <w:rsid w:val="005543CA"/>
    <w:rsid w:val="00555995"/>
    <w:rsid w:val="00562880"/>
    <w:rsid w:val="0057307A"/>
    <w:rsid w:val="00576A45"/>
    <w:rsid w:val="00586147"/>
    <w:rsid w:val="005907F4"/>
    <w:rsid w:val="00596A4B"/>
    <w:rsid w:val="005A7A19"/>
    <w:rsid w:val="005B090E"/>
    <w:rsid w:val="005B2259"/>
    <w:rsid w:val="005C0DE4"/>
    <w:rsid w:val="005D22B3"/>
    <w:rsid w:val="005D3213"/>
    <w:rsid w:val="005E5791"/>
    <w:rsid w:val="005E6F9B"/>
    <w:rsid w:val="005F6858"/>
    <w:rsid w:val="005F6C8E"/>
    <w:rsid w:val="00601034"/>
    <w:rsid w:val="00613D4F"/>
    <w:rsid w:val="006214F5"/>
    <w:rsid w:val="00627BC4"/>
    <w:rsid w:val="00632944"/>
    <w:rsid w:val="00650C27"/>
    <w:rsid w:val="00661707"/>
    <w:rsid w:val="00667AA3"/>
    <w:rsid w:val="00687240"/>
    <w:rsid w:val="0069312A"/>
    <w:rsid w:val="00694477"/>
    <w:rsid w:val="00696F6C"/>
    <w:rsid w:val="006A1439"/>
    <w:rsid w:val="006C2C79"/>
    <w:rsid w:val="006C6BC3"/>
    <w:rsid w:val="006E26D6"/>
    <w:rsid w:val="006E5C08"/>
    <w:rsid w:val="006E60F3"/>
    <w:rsid w:val="006E765A"/>
    <w:rsid w:val="006F2CEC"/>
    <w:rsid w:val="006F3C8B"/>
    <w:rsid w:val="006F4E2D"/>
    <w:rsid w:val="007033A6"/>
    <w:rsid w:val="00722CD7"/>
    <w:rsid w:val="00722D3F"/>
    <w:rsid w:val="00726783"/>
    <w:rsid w:val="0073074C"/>
    <w:rsid w:val="00735F34"/>
    <w:rsid w:val="00741028"/>
    <w:rsid w:val="00741060"/>
    <w:rsid w:val="00746ADC"/>
    <w:rsid w:val="007534E4"/>
    <w:rsid w:val="00764412"/>
    <w:rsid w:val="00771507"/>
    <w:rsid w:val="00774267"/>
    <w:rsid w:val="00792AA5"/>
    <w:rsid w:val="007B18EE"/>
    <w:rsid w:val="007B3124"/>
    <w:rsid w:val="007E0E94"/>
    <w:rsid w:val="00800475"/>
    <w:rsid w:val="00803C72"/>
    <w:rsid w:val="00804D4B"/>
    <w:rsid w:val="008073BF"/>
    <w:rsid w:val="008165DB"/>
    <w:rsid w:val="008427F4"/>
    <w:rsid w:val="00842B0E"/>
    <w:rsid w:val="00857CDF"/>
    <w:rsid w:val="00864F6E"/>
    <w:rsid w:val="00886B37"/>
    <w:rsid w:val="00887C69"/>
    <w:rsid w:val="008940DC"/>
    <w:rsid w:val="008A4700"/>
    <w:rsid w:val="008D4766"/>
    <w:rsid w:val="008E78BC"/>
    <w:rsid w:val="008F4685"/>
    <w:rsid w:val="008F54E2"/>
    <w:rsid w:val="008F6EC5"/>
    <w:rsid w:val="009033D0"/>
    <w:rsid w:val="00915C24"/>
    <w:rsid w:val="00920B80"/>
    <w:rsid w:val="00924C78"/>
    <w:rsid w:val="00931066"/>
    <w:rsid w:val="009435BF"/>
    <w:rsid w:val="00950BB2"/>
    <w:rsid w:val="009522FB"/>
    <w:rsid w:val="00966F42"/>
    <w:rsid w:val="00985243"/>
    <w:rsid w:val="00992821"/>
    <w:rsid w:val="00994EAD"/>
    <w:rsid w:val="009975A2"/>
    <w:rsid w:val="009B754E"/>
    <w:rsid w:val="009C2FF3"/>
    <w:rsid w:val="009C7A6A"/>
    <w:rsid w:val="009D1D24"/>
    <w:rsid w:val="009F280C"/>
    <w:rsid w:val="00A04AA0"/>
    <w:rsid w:val="00A0624A"/>
    <w:rsid w:val="00A076FD"/>
    <w:rsid w:val="00A12551"/>
    <w:rsid w:val="00A22449"/>
    <w:rsid w:val="00A24B2C"/>
    <w:rsid w:val="00A2792F"/>
    <w:rsid w:val="00A30929"/>
    <w:rsid w:val="00A368A6"/>
    <w:rsid w:val="00A37603"/>
    <w:rsid w:val="00A42EFD"/>
    <w:rsid w:val="00A440C8"/>
    <w:rsid w:val="00A46E6A"/>
    <w:rsid w:val="00A6427E"/>
    <w:rsid w:val="00A669F3"/>
    <w:rsid w:val="00A67CEC"/>
    <w:rsid w:val="00A71432"/>
    <w:rsid w:val="00A76D29"/>
    <w:rsid w:val="00A92874"/>
    <w:rsid w:val="00AB3198"/>
    <w:rsid w:val="00AC41B6"/>
    <w:rsid w:val="00AC4BBC"/>
    <w:rsid w:val="00AD2B8B"/>
    <w:rsid w:val="00AE36FA"/>
    <w:rsid w:val="00AE7EE0"/>
    <w:rsid w:val="00B14AB6"/>
    <w:rsid w:val="00B14D38"/>
    <w:rsid w:val="00B202B8"/>
    <w:rsid w:val="00B267FE"/>
    <w:rsid w:val="00B45059"/>
    <w:rsid w:val="00B619CB"/>
    <w:rsid w:val="00B640AC"/>
    <w:rsid w:val="00B76A86"/>
    <w:rsid w:val="00B833AB"/>
    <w:rsid w:val="00B9180E"/>
    <w:rsid w:val="00B91A5F"/>
    <w:rsid w:val="00B96289"/>
    <w:rsid w:val="00BA1E14"/>
    <w:rsid w:val="00BC5B43"/>
    <w:rsid w:val="00BC5F12"/>
    <w:rsid w:val="00BD2FC3"/>
    <w:rsid w:val="00BD5FE4"/>
    <w:rsid w:val="00BD76F1"/>
    <w:rsid w:val="00BE0F60"/>
    <w:rsid w:val="00BE44B4"/>
    <w:rsid w:val="00BE6889"/>
    <w:rsid w:val="00BF1CEC"/>
    <w:rsid w:val="00BF7C4D"/>
    <w:rsid w:val="00C00025"/>
    <w:rsid w:val="00C21E58"/>
    <w:rsid w:val="00C2342B"/>
    <w:rsid w:val="00C320D5"/>
    <w:rsid w:val="00C43FAF"/>
    <w:rsid w:val="00C47585"/>
    <w:rsid w:val="00C477D6"/>
    <w:rsid w:val="00C55B32"/>
    <w:rsid w:val="00C6196F"/>
    <w:rsid w:val="00C7001B"/>
    <w:rsid w:val="00C80CC7"/>
    <w:rsid w:val="00C815A3"/>
    <w:rsid w:val="00CA0806"/>
    <w:rsid w:val="00CC551B"/>
    <w:rsid w:val="00CD239C"/>
    <w:rsid w:val="00CD32FF"/>
    <w:rsid w:val="00CE0121"/>
    <w:rsid w:val="00D0603F"/>
    <w:rsid w:val="00D061D1"/>
    <w:rsid w:val="00D2286A"/>
    <w:rsid w:val="00D23728"/>
    <w:rsid w:val="00D32846"/>
    <w:rsid w:val="00D47773"/>
    <w:rsid w:val="00D62B47"/>
    <w:rsid w:val="00D65063"/>
    <w:rsid w:val="00D668B4"/>
    <w:rsid w:val="00D70732"/>
    <w:rsid w:val="00D71C6D"/>
    <w:rsid w:val="00D729DA"/>
    <w:rsid w:val="00D77BA2"/>
    <w:rsid w:val="00D840D9"/>
    <w:rsid w:val="00D97451"/>
    <w:rsid w:val="00DA1484"/>
    <w:rsid w:val="00DA289D"/>
    <w:rsid w:val="00DB5451"/>
    <w:rsid w:val="00DC7630"/>
    <w:rsid w:val="00DE1FD1"/>
    <w:rsid w:val="00DE2AEB"/>
    <w:rsid w:val="00DF2905"/>
    <w:rsid w:val="00E0381A"/>
    <w:rsid w:val="00E10CA4"/>
    <w:rsid w:val="00E15730"/>
    <w:rsid w:val="00E21B21"/>
    <w:rsid w:val="00E26E38"/>
    <w:rsid w:val="00E53921"/>
    <w:rsid w:val="00E54E72"/>
    <w:rsid w:val="00E5563A"/>
    <w:rsid w:val="00E55DA0"/>
    <w:rsid w:val="00E57C1B"/>
    <w:rsid w:val="00E65E4E"/>
    <w:rsid w:val="00E74D67"/>
    <w:rsid w:val="00E76D8C"/>
    <w:rsid w:val="00E77187"/>
    <w:rsid w:val="00E8282D"/>
    <w:rsid w:val="00E96596"/>
    <w:rsid w:val="00EA240C"/>
    <w:rsid w:val="00EA5FBE"/>
    <w:rsid w:val="00EA6267"/>
    <w:rsid w:val="00EA645A"/>
    <w:rsid w:val="00EB406F"/>
    <w:rsid w:val="00EC37B4"/>
    <w:rsid w:val="00EC39A6"/>
    <w:rsid w:val="00EE11A7"/>
    <w:rsid w:val="00EE371E"/>
    <w:rsid w:val="00EE5828"/>
    <w:rsid w:val="00EF272D"/>
    <w:rsid w:val="00EF282A"/>
    <w:rsid w:val="00F231A2"/>
    <w:rsid w:val="00F63068"/>
    <w:rsid w:val="00F636E2"/>
    <w:rsid w:val="00F665FE"/>
    <w:rsid w:val="00F67EFA"/>
    <w:rsid w:val="00F713DE"/>
    <w:rsid w:val="00F77D62"/>
    <w:rsid w:val="00F804EC"/>
    <w:rsid w:val="00F80D81"/>
    <w:rsid w:val="00F9005C"/>
    <w:rsid w:val="00F9271D"/>
    <w:rsid w:val="00F96412"/>
    <w:rsid w:val="00FA1023"/>
    <w:rsid w:val="00FA46CE"/>
    <w:rsid w:val="00FA54B2"/>
    <w:rsid w:val="00FA7559"/>
    <w:rsid w:val="00FB115B"/>
    <w:rsid w:val="00FC1D4F"/>
    <w:rsid w:val="00FD18AD"/>
    <w:rsid w:val="00FD5E09"/>
    <w:rsid w:val="00FD7C00"/>
    <w:rsid w:val="00FE08BB"/>
    <w:rsid w:val="00FE253F"/>
    <w:rsid w:val="00FF6F22"/>
    <w:rsid w:val="00FF71A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7ED5"/>
  <w15:chartTrackingRefBased/>
  <w15:docId w15:val="{3DB56CCB-71E0-46B8-BB34-37D42130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0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0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01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01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01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01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01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01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01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01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01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01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01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01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01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01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01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0121"/>
    <w:rPr>
      <w:rFonts w:eastAsiaTheme="majorEastAsia" w:cstheme="majorBidi"/>
      <w:color w:val="272727" w:themeColor="text1" w:themeTint="D8"/>
    </w:rPr>
  </w:style>
  <w:style w:type="paragraph" w:styleId="Ttulo">
    <w:name w:val="Title"/>
    <w:basedOn w:val="Normal"/>
    <w:next w:val="Normal"/>
    <w:link w:val="TtuloCar"/>
    <w:uiPriority w:val="10"/>
    <w:qFormat/>
    <w:rsid w:val="00CE0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01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01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01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0121"/>
    <w:pPr>
      <w:spacing w:before="160"/>
      <w:jc w:val="center"/>
    </w:pPr>
    <w:rPr>
      <w:i/>
      <w:iCs/>
      <w:color w:val="404040" w:themeColor="text1" w:themeTint="BF"/>
    </w:rPr>
  </w:style>
  <w:style w:type="character" w:customStyle="1" w:styleId="CitaCar">
    <w:name w:val="Cita Car"/>
    <w:basedOn w:val="Fuentedeprrafopredeter"/>
    <w:link w:val="Cita"/>
    <w:uiPriority w:val="29"/>
    <w:rsid w:val="00CE0121"/>
    <w:rPr>
      <w:i/>
      <w:iCs/>
      <w:color w:val="404040" w:themeColor="text1" w:themeTint="BF"/>
    </w:rPr>
  </w:style>
  <w:style w:type="paragraph" w:styleId="Prrafodelista">
    <w:name w:val="List Paragraph"/>
    <w:basedOn w:val="Normal"/>
    <w:uiPriority w:val="34"/>
    <w:qFormat/>
    <w:rsid w:val="00CE0121"/>
    <w:pPr>
      <w:ind w:left="720"/>
      <w:contextualSpacing/>
    </w:pPr>
  </w:style>
  <w:style w:type="character" w:styleId="nfasisintenso">
    <w:name w:val="Intense Emphasis"/>
    <w:basedOn w:val="Fuentedeprrafopredeter"/>
    <w:uiPriority w:val="21"/>
    <w:qFormat/>
    <w:rsid w:val="00CE0121"/>
    <w:rPr>
      <w:i/>
      <w:iCs/>
      <w:color w:val="0F4761" w:themeColor="accent1" w:themeShade="BF"/>
    </w:rPr>
  </w:style>
  <w:style w:type="paragraph" w:styleId="Citadestacada">
    <w:name w:val="Intense Quote"/>
    <w:basedOn w:val="Normal"/>
    <w:next w:val="Normal"/>
    <w:link w:val="CitadestacadaCar"/>
    <w:uiPriority w:val="30"/>
    <w:qFormat/>
    <w:rsid w:val="00CE0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0121"/>
    <w:rPr>
      <w:i/>
      <w:iCs/>
      <w:color w:val="0F4761" w:themeColor="accent1" w:themeShade="BF"/>
    </w:rPr>
  </w:style>
  <w:style w:type="character" w:styleId="Referenciaintensa">
    <w:name w:val="Intense Reference"/>
    <w:basedOn w:val="Fuentedeprrafopredeter"/>
    <w:uiPriority w:val="32"/>
    <w:qFormat/>
    <w:rsid w:val="00CE01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TotalTime>
  <Pages>7</Pages>
  <Words>2243</Words>
  <Characters>12342</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Quindimil Rengel</dc:creator>
  <cp:keywords/>
  <dc:description/>
  <cp:lastModifiedBy>Adrian Quindimil Rengel</cp:lastModifiedBy>
  <cp:revision>1</cp:revision>
  <dcterms:created xsi:type="dcterms:W3CDTF">2026-01-08T15:19:00Z</dcterms:created>
  <dcterms:modified xsi:type="dcterms:W3CDTF">2026-01-08T22:01:00Z</dcterms:modified>
</cp:coreProperties>
</file>