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D534" w14:textId="6863E751" w:rsidR="00D44F56" w:rsidRPr="00312322" w:rsidRDefault="00312322" w:rsidP="00312322">
      <w:pPr>
        <w:spacing w:after="0"/>
        <w:jc w:val="center"/>
        <w:rPr>
          <w:rFonts w:ascii="Century Gothic" w:hAnsi="Century Gothic"/>
          <w:b/>
          <w:bCs/>
          <w:sz w:val="60"/>
          <w:szCs w:val="60"/>
        </w:rPr>
      </w:pPr>
      <w:r w:rsidRPr="00312322">
        <w:rPr>
          <w:rFonts w:ascii="Century Gothic" w:hAnsi="Century Gothic"/>
          <w:b/>
          <w:bCs/>
          <w:sz w:val="60"/>
          <w:szCs w:val="60"/>
        </w:rPr>
        <w:t>Node.js</w:t>
      </w:r>
    </w:p>
    <w:p w14:paraId="5BAE088F" w14:textId="329F4008" w:rsidR="00312322" w:rsidRDefault="00312322" w:rsidP="00312322">
      <w:pPr>
        <w:spacing w:after="0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Task</w:t>
      </w:r>
      <w:r w:rsidR="00072DFA">
        <w:rPr>
          <w:rFonts w:ascii="Century Gothic" w:hAnsi="Century Gothic"/>
          <w:sz w:val="36"/>
          <w:szCs w:val="36"/>
        </w:rPr>
        <w:t>2</w:t>
      </w:r>
    </w:p>
    <w:p w14:paraId="7CE9174E" w14:textId="152FFBF5" w:rsidR="00312322" w:rsidRDefault="00312322" w:rsidP="00312322">
      <w:pPr>
        <w:spacing w:after="0"/>
        <w:jc w:val="center"/>
        <w:rPr>
          <w:rFonts w:ascii="Century Gothic" w:hAnsi="Century Gothic"/>
          <w:sz w:val="36"/>
          <w:szCs w:val="36"/>
        </w:rPr>
      </w:pPr>
    </w:p>
    <w:p w14:paraId="6CE199C7" w14:textId="25D554D7" w:rsidR="00312322" w:rsidRPr="002D2AC9" w:rsidRDefault="00312322" w:rsidP="00312322">
      <w:pPr>
        <w:spacing w:after="0"/>
        <w:rPr>
          <w:rFonts w:ascii="Century Gothic" w:hAnsi="Century Gothic"/>
          <w:sz w:val="28"/>
          <w:szCs w:val="28"/>
        </w:rPr>
      </w:pPr>
    </w:p>
    <w:p w14:paraId="0424852A" w14:textId="1EF3454D" w:rsidR="00312322" w:rsidRPr="00072DFA" w:rsidRDefault="00072DFA" w:rsidP="00312322">
      <w:pPr>
        <w:spacing w:after="0"/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</w:pPr>
      <w:r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  <w:t>TypeScript Generics</w:t>
      </w:r>
    </w:p>
    <w:p w14:paraId="0367FDC5" w14:textId="477F2BB5" w:rsidR="00312322" w:rsidRPr="00312322" w:rsidRDefault="00312322" w:rsidP="00312322">
      <w:pPr>
        <w:spacing w:after="0"/>
        <w:rPr>
          <w:rFonts w:ascii="Century Gothic" w:hAnsi="Century Gothic"/>
          <w:b/>
          <w:bCs/>
          <w:color w:val="2E74B5" w:themeColor="accent5" w:themeShade="BF"/>
          <w:sz w:val="20"/>
          <w:szCs w:val="20"/>
          <w:u w:val="single"/>
        </w:rPr>
      </w:pPr>
    </w:p>
    <w:p w14:paraId="5360E06A" w14:textId="74E1B9A5" w:rsidR="00977C88" w:rsidRDefault="00312322" w:rsidP="00977C88">
      <w:pPr>
        <w:spacing w:after="0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312322">
        <w:rPr>
          <w:rFonts w:ascii="Century Gothic" w:hAnsi="Century Gothic"/>
          <w:b/>
          <w:bCs/>
          <w:color w:val="2E74B5" w:themeColor="accent5" w:themeShade="BF"/>
          <w:sz w:val="24"/>
          <w:szCs w:val="24"/>
        </w:rPr>
        <w:t xml:space="preserve">    </w:t>
      </w:r>
      <w:r w:rsidRPr="00312322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977C88">
        <w:rPr>
          <w:rFonts w:ascii="Century Gothic" w:hAnsi="Century Gothic"/>
          <w:color w:val="000000" w:themeColor="text1"/>
          <w:sz w:val="24"/>
          <w:szCs w:val="24"/>
        </w:rPr>
        <w:t xml:space="preserve">Generics are a built-in </w:t>
      </w:r>
      <w:r w:rsidR="00AC0A35">
        <w:rPr>
          <w:rFonts w:ascii="Century Gothic" w:hAnsi="Century Gothic"/>
          <w:color w:val="000000" w:themeColor="text1"/>
          <w:sz w:val="24"/>
          <w:szCs w:val="24"/>
        </w:rPr>
        <w:t>tool</w:t>
      </w:r>
      <w:r w:rsidR="00977C88">
        <w:rPr>
          <w:rFonts w:ascii="Century Gothic" w:hAnsi="Century Gothic"/>
          <w:color w:val="000000" w:themeColor="text1"/>
          <w:sz w:val="24"/>
          <w:szCs w:val="24"/>
        </w:rPr>
        <w:t xml:space="preserve"> in type script that helps in identifying the type of the object, since TypeScript is a strongly typed language. This </w:t>
      </w:r>
      <w:r w:rsidR="00AC0A35">
        <w:rPr>
          <w:rFonts w:ascii="Century Gothic" w:hAnsi="Century Gothic"/>
          <w:color w:val="000000" w:themeColor="text1"/>
          <w:sz w:val="24"/>
          <w:szCs w:val="24"/>
        </w:rPr>
        <w:t>tool</w:t>
      </w:r>
      <w:r w:rsidR="00977C88">
        <w:rPr>
          <w:rFonts w:ascii="Century Gothic" w:hAnsi="Century Gothic"/>
          <w:color w:val="000000" w:themeColor="text1"/>
          <w:sz w:val="24"/>
          <w:szCs w:val="24"/>
        </w:rPr>
        <w:t xml:space="preserve"> helps in case an input was typed generically yet still contains a type, for example:</w:t>
      </w:r>
    </w:p>
    <w:p w14:paraId="2197B2CF" w14:textId="77777777" w:rsidR="00EB760C" w:rsidRDefault="00EB760C" w:rsidP="00977C88">
      <w:pPr>
        <w:spacing w:after="0" w:line="240" w:lineRule="auto"/>
        <w:rPr>
          <w:rFonts w:ascii="Century Gothic" w:hAnsi="Century Gothic"/>
          <w:color w:val="000000" w:themeColor="text1"/>
          <w:sz w:val="24"/>
          <w:szCs w:val="24"/>
        </w:rPr>
      </w:pPr>
    </w:p>
    <w:p w14:paraId="6A76A415" w14:textId="56C54B35" w:rsidR="002D2AC9" w:rsidRPr="00282161" w:rsidRDefault="00977C88" w:rsidP="00977C88">
      <w:pPr>
        <w:spacing w:after="0" w:line="240" w:lineRule="auto"/>
        <w:ind w:left="1080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282161">
        <w:rPr>
          <w:rFonts w:ascii="Century Gothic" w:hAnsi="Century Gothic"/>
          <w:b/>
          <w:bCs/>
          <w:color w:val="000000" w:themeColor="text1"/>
          <w:sz w:val="24"/>
          <w:szCs w:val="24"/>
        </w:rPr>
        <w:t>Let test = ‘’testing’’</w:t>
      </w:r>
    </w:p>
    <w:p w14:paraId="69E31EB2" w14:textId="77777777" w:rsidR="00977C88" w:rsidRDefault="00977C88" w:rsidP="00977C88">
      <w:pPr>
        <w:spacing w:after="0" w:line="240" w:lineRule="auto"/>
        <w:ind w:left="1080"/>
        <w:rPr>
          <w:rFonts w:ascii="Century Gothic" w:hAnsi="Century Gothic"/>
          <w:color w:val="000000" w:themeColor="text1"/>
          <w:sz w:val="24"/>
          <w:szCs w:val="24"/>
        </w:rPr>
      </w:pPr>
    </w:p>
    <w:p w14:paraId="649F487F" w14:textId="48257A85" w:rsidR="002D2AC9" w:rsidRPr="00282161" w:rsidRDefault="00977C88" w:rsidP="00282161">
      <w:pPr>
        <w:spacing w:after="0"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In this case the variable test was not written with a type</w:t>
      </w:r>
      <w:r w:rsidR="00282161">
        <w:rPr>
          <w:rFonts w:ascii="Century Gothic" w:hAnsi="Century Gothic"/>
          <w:color w:val="000000" w:themeColor="text1"/>
          <w:sz w:val="24"/>
          <w:szCs w:val="24"/>
        </w:rPr>
        <w:t>, however it will be identified with type string, since the variable hold a string.</w:t>
      </w:r>
    </w:p>
    <w:p w14:paraId="2C9AE5D7" w14:textId="77777777" w:rsidR="005B202E" w:rsidRDefault="005B202E" w:rsidP="00DD7961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4DB32138" w14:textId="6384454E" w:rsidR="00327900" w:rsidRDefault="00DD7961" w:rsidP="00DD7961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As mentioned that generics can identify typ</w:t>
      </w:r>
      <w:r w:rsidR="00022F9F">
        <w:rPr>
          <w:rFonts w:ascii="Century Gothic" w:hAnsi="Century Gothic"/>
          <w:sz w:val="24"/>
          <w:szCs w:val="24"/>
        </w:rPr>
        <w:t>es, this provides flexibility to reuse the code through setting a variable as a type.</w:t>
      </w:r>
    </w:p>
    <w:p w14:paraId="6463BD57" w14:textId="77777777" w:rsidR="00022F9F" w:rsidRDefault="00022F9F" w:rsidP="00DD7961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47E87B8E" w14:textId="41B1A236" w:rsidR="00022F9F" w:rsidRDefault="00022F9F" w:rsidP="00022F9F">
      <w:pPr>
        <w:spacing w:after="0" w:line="240" w:lineRule="auto"/>
        <w:ind w:left="1080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022F9F">
        <w:rPr>
          <w:rFonts w:ascii="Century Gothic" w:hAnsi="Century Gothic"/>
          <w:color w:val="000000" w:themeColor="text1"/>
          <w:sz w:val="24"/>
          <w:szCs w:val="24"/>
        </w:rPr>
        <w:t>Function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input &lt; </w:t>
      </w:r>
      <w:r w:rsidRPr="00022F9F">
        <w:rPr>
          <w:rFonts w:ascii="Century Gothic" w:hAnsi="Century Gothic"/>
          <w:color w:val="000000" w:themeColor="text1"/>
          <w:sz w:val="24"/>
          <w:szCs w:val="24"/>
        </w:rPr>
        <w:t>type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&gt; ( x : </w:t>
      </w:r>
      <w:r w:rsidRPr="00022F9F">
        <w:rPr>
          <w:rFonts w:ascii="Century Gothic" w:hAnsi="Century Gothic"/>
          <w:color w:val="000000" w:themeColor="text1"/>
          <w:sz w:val="24"/>
          <w:szCs w:val="24"/>
        </w:rPr>
        <w:t>type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) : </w:t>
      </w:r>
      <w:r w:rsidRPr="00022F9F">
        <w:rPr>
          <w:rFonts w:ascii="Century Gothic" w:hAnsi="Century Gothic"/>
          <w:color w:val="000000" w:themeColor="text1"/>
          <w:sz w:val="24"/>
          <w:szCs w:val="24"/>
        </w:rPr>
        <w:t>type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{</w:t>
      </w:r>
    </w:p>
    <w:p w14:paraId="730D6262" w14:textId="1E333BF4" w:rsidR="00022F9F" w:rsidRDefault="00022F9F" w:rsidP="00022F9F">
      <w:pPr>
        <w:spacing w:after="0" w:line="240" w:lineRule="auto"/>
        <w:ind w:left="1080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Return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x </w:t>
      </w:r>
    </w:p>
    <w:p w14:paraId="69F7A354" w14:textId="5C41AF4C" w:rsidR="00022F9F" w:rsidRDefault="00022F9F" w:rsidP="00022F9F">
      <w:pPr>
        <w:spacing w:after="0"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5EEED205" w14:textId="0D8275C2" w:rsidR="00022F9F" w:rsidRPr="00022F9F" w:rsidRDefault="00022F9F" w:rsidP="00022F9F">
      <w:pPr>
        <w:spacing w:after="0" w:line="240" w:lineRule="auto"/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in this case the generics feature will automatically identify the type of variable, as a result if a string is set to the </w:t>
      </w:r>
      <w:r w:rsidR="00331B16">
        <w:rPr>
          <w:rFonts w:ascii="Century Gothic" w:hAnsi="Century Gothic"/>
          <w:color w:val="000000" w:themeColor="text1"/>
          <w:sz w:val="24"/>
          <w:szCs w:val="24"/>
        </w:rPr>
        <w:t>variable,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it will be set with type string and if a number was set</w:t>
      </w:r>
      <w:r w:rsidR="00331B16">
        <w:rPr>
          <w:rFonts w:ascii="Century Gothic" w:hAnsi="Century Gothic"/>
          <w:color w:val="000000" w:themeColor="text1"/>
          <w:sz w:val="24"/>
          <w:szCs w:val="24"/>
        </w:rPr>
        <w:t xml:space="preserve">, will be of type number. This function however will not respond to arrays, so if the function was set to receive arrays, then the “type” should be written as “type[]” and it will identify the type of the array based on </w:t>
      </w:r>
      <w:r w:rsidR="00CA2CE5">
        <w:rPr>
          <w:rFonts w:ascii="Century Gothic" w:hAnsi="Century Gothic"/>
          <w:color w:val="000000" w:themeColor="text1"/>
          <w:sz w:val="24"/>
          <w:szCs w:val="24"/>
        </w:rPr>
        <w:t>its</w:t>
      </w:r>
      <w:r w:rsidR="00331B16">
        <w:rPr>
          <w:rFonts w:ascii="Century Gothic" w:hAnsi="Century Gothic"/>
          <w:color w:val="000000" w:themeColor="text1"/>
          <w:sz w:val="24"/>
          <w:szCs w:val="24"/>
        </w:rPr>
        <w:t xml:space="preserve"> inputs. 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14:paraId="44F67CEB" w14:textId="3F232DD8" w:rsidR="00022F9F" w:rsidRDefault="00022F9F" w:rsidP="00DD7961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43A29594" w14:textId="77777777" w:rsidR="00022F9F" w:rsidRDefault="00022F9F" w:rsidP="00DD7961">
      <w:pPr>
        <w:spacing w:after="0" w:line="276" w:lineRule="auto"/>
        <w:rPr>
          <w:rFonts w:ascii="Century Gothic" w:hAnsi="Century Gothic"/>
          <w:sz w:val="24"/>
          <w:szCs w:val="24"/>
        </w:rPr>
      </w:pPr>
    </w:p>
    <w:p w14:paraId="7C1FEB15" w14:textId="69F93C19" w:rsidR="00327900" w:rsidRPr="00CA2CE5" w:rsidRDefault="00327900" w:rsidP="00CA2CE5">
      <w:pPr>
        <w:spacing w:after="0"/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</w:pPr>
      <w:r w:rsidRPr="00072DFA"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  <w:t>Reference</w:t>
      </w:r>
      <w:r w:rsidR="00072DFA">
        <w:rPr>
          <w:rFonts w:ascii="Century Gothic" w:hAnsi="Century Gothic"/>
          <w:b/>
          <w:bCs/>
          <w:color w:val="2E74B5" w:themeColor="accent5" w:themeShade="BF"/>
          <w:sz w:val="32"/>
          <w:szCs w:val="32"/>
        </w:rPr>
        <w:t>s</w:t>
      </w:r>
    </w:p>
    <w:p w14:paraId="17B7CA5C" w14:textId="76C19327" w:rsidR="00CA2CE5" w:rsidRPr="00CA2CE5" w:rsidRDefault="00CA2CE5" w:rsidP="00CA2CE5">
      <w:pPr>
        <w:pStyle w:val="NormalWeb"/>
        <w:ind w:left="567" w:hanging="567"/>
        <w:rPr>
          <w:rFonts w:ascii="Century Gothic" w:hAnsi="Century Gothic"/>
        </w:rPr>
      </w:pPr>
      <w:r w:rsidRPr="00CA2CE5">
        <w:rPr>
          <w:rFonts w:ascii="Century Gothic" w:hAnsi="Century Gothic"/>
        </w:rPr>
        <w:t xml:space="preserve">Documentation - generics (no date) TypeScript. Microsoft. Available at: </w:t>
      </w:r>
      <w:hyperlink r:id="rId6" w:history="1">
        <w:r w:rsidRPr="00CA2CE5">
          <w:rPr>
            <w:rStyle w:val="Hyperlink"/>
            <w:rFonts w:ascii="Century Gothic" w:hAnsi="Century Gothic"/>
            <w:u w:val="none"/>
          </w:rPr>
          <w:t>https://www.typescriptlang.org/docs/handbook/2/generics.html</w:t>
        </w:r>
      </w:hyperlink>
      <w:r w:rsidRPr="00CA2CE5">
        <w:rPr>
          <w:rFonts w:ascii="Century Gothic" w:hAnsi="Century Gothic"/>
        </w:rPr>
        <w:t xml:space="preserve">.(Accessed: February 9, 2023). </w:t>
      </w:r>
    </w:p>
    <w:p w14:paraId="00DAFA40" w14:textId="6E2058BD" w:rsidR="00CA2CE5" w:rsidRPr="00CA2CE5" w:rsidRDefault="00CA2CE5" w:rsidP="00CA2CE5">
      <w:pPr>
        <w:pStyle w:val="NormalWeb"/>
        <w:ind w:left="567" w:hanging="567"/>
        <w:rPr>
          <w:rFonts w:ascii="Century Gothic" w:hAnsi="Century Gothic"/>
        </w:rPr>
      </w:pPr>
      <w:r w:rsidRPr="00CA2CE5">
        <w:rPr>
          <w:rFonts w:ascii="Century Gothic" w:hAnsi="Century Gothic"/>
        </w:rPr>
        <w:t xml:space="preserve">TypeScript Basic Generics (no date) Typescript basic generics. W3Schools. Available at: </w:t>
      </w:r>
      <w:hyperlink r:id="rId7" w:history="1">
        <w:r w:rsidRPr="00CA2CE5">
          <w:rPr>
            <w:rStyle w:val="Hyperlink"/>
            <w:rFonts w:ascii="Century Gothic" w:hAnsi="Century Gothic"/>
            <w:u w:val="none"/>
          </w:rPr>
          <w:t>https://www.w3schools.com/typescript/typescript_basic_generics.php</w:t>
        </w:r>
      </w:hyperlink>
      <w:r w:rsidRPr="00CA2CE5">
        <w:rPr>
          <w:rFonts w:ascii="Century Gothic" w:hAnsi="Century Gothic"/>
        </w:rPr>
        <w:t xml:space="preserve">.(Accessed: February 9, 2023). </w:t>
      </w:r>
    </w:p>
    <w:p w14:paraId="7B7D974A" w14:textId="77777777" w:rsidR="002D2AC9" w:rsidRPr="002D2AC9" w:rsidRDefault="002D2AC9" w:rsidP="002D2AC9">
      <w:pPr>
        <w:spacing w:after="0" w:line="360" w:lineRule="auto"/>
        <w:rPr>
          <w:rFonts w:ascii="Century Gothic" w:hAnsi="Century Gothic"/>
          <w:sz w:val="24"/>
          <w:szCs w:val="24"/>
        </w:rPr>
      </w:pPr>
    </w:p>
    <w:sectPr w:rsidR="002D2AC9" w:rsidRPr="002D2AC9" w:rsidSect="002D2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116"/>
    <w:multiLevelType w:val="hybridMultilevel"/>
    <w:tmpl w:val="3DECD730"/>
    <w:lvl w:ilvl="0" w:tplc="E46E162C">
      <w:start w:val="1"/>
      <w:numFmt w:val="decimal"/>
      <w:lvlText w:val="%1-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204A"/>
    <w:multiLevelType w:val="hybridMultilevel"/>
    <w:tmpl w:val="D23E1818"/>
    <w:lvl w:ilvl="0" w:tplc="7CAE927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B46C38"/>
    <w:multiLevelType w:val="hybridMultilevel"/>
    <w:tmpl w:val="03BEF570"/>
    <w:lvl w:ilvl="0" w:tplc="DF9E3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363225">
    <w:abstractNumId w:val="0"/>
  </w:num>
  <w:num w:numId="2" w16cid:durableId="1794011733">
    <w:abstractNumId w:val="2"/>
  </w:num>
  <w:num w:numId="3" w16cid:durableId="24950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14"/>
    <w:rsid w:val="00022F9F"/>
    <w:rsid w:val="00044385"/>
    <w:rsid w:val="00072DFA"/>
    <w:rsid w:val="00282161"/>
    <w:rsid w:val="002D2AC9"/>
    <w:rsid w:val="00312322"/>
    <w:rsid w:val="00327900"/>
    <w:rsid w:val="00331B16"/>
    <w:rsid w:val="00494314"/>
    <w:rsid w:val="00587417"/>
    <w:rsid w:val="005B202E"/>
    <w:rsid w:val="00977C88"/>
    <w:rsid w:val="00AC0A35"/>
    <w:rsid w:val="00CA2CE5"/>
    <w:rsid w:val="00D44F56"/>
    <w:rsid w:val="00DD7961"/>
    <w:rsid w:val="00E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8703"/>
  <w15:chartTrackingRefBased/>
  <w15:docId w15:val="{B27948EA-227C-4261-9226-CCEE50D3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9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typescript/typescript_basic_generics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ypescriptlang.org/docs/handbook/2/generic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2D9F4-CBEC-47CB-BD80-2A38CE12A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fayed</dc:creator>
  <cp:keywords/>
  <dc:description/>
  <cp:lastModifiedBy>Abdelrahman fayed</cp:lastModifiedBy>
  <cp:revision>5</cp:revision>
  <dcterms:created xsi:type="dcterms:W3CDTF">2023-01-30T01:27:00Z</dcterms:created>
  <dcterms:modified xsi:type="dcterms:W3CDTF">2023-02-09T08:40:00Z</dcterms:modified>
</cp:coreProperties>
</file>