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D50"/>
          <w:spacing w:val="30"/>
          <w:sz w:val="18"/>
          <w:szCs w:val="18"/>
        </w:rPr>
        <w:t xml:space="preserve">IAM SYSTEM DEPLOYMENT — PROJECT PLAN v1.0</w:t>
      </w:r>
    </w:p>
    <w:p>
      <w:pPr>
        <w:spacing w:after="40"/>
      </w:pPr>
      <w:r>
        <w:rPr>
          <w:b/>
          <w:bCs/>
          <w:color w:val="1F2A30"/>
          <w:sz w:val="36"/>
          <w:szCs w:val="36"/>
        </w:rPr>
        <w:t xml:space="preserve">Sections 1, 3, 4, 5, 6 and 8</w:t>
      </w:r>
    </w:p>
    <w:p>
      <w:pPr>
        <w:spacing w:after="160"/>
      </w:pPr>
      <w:r>
        <w:rPr>
          <w:color w:val="5D666B"/>
          <w:sz w:val="22"/>
          <w:szCs w:val="22"/>
        </w:rPr>
        <w:t xml:space="preserve">Toufiq Ahmed Joy · Project Manager (team lead)</w:t>
      </w:r>
    </w:p>
    <w:p>
      <w:pPr>
        <w:pBdr>
          <w:bottom w:val="single" w:color="2F5D50" w:sz="8" w:space="8"/>
        </w:pBdr>
        <w:spacing w:after="360"/>
      </w:pPr>
      <w:r>
        <w:rPr>
          <w:i/>
          <w:iCs/>
          <w:color w:val="5D666B"/>
          <w:sz w:val="18"/>
          <w:szCs w:val="18"/>
        </w:rPr>
        <w:t xml:space="preserve">Your sections only, taken from the full plan (plan/IAM_ProjectPlan_v1.0.docx). Table, figure and reference numbers match the full plan, so some numbers are skipped. If you change anything here, send the change to Toufiq so it goes into the full plan before release.</w:t>
      </w:r>
    </w:p>
    <w:p>
      <w:pPr>
        <w:pStyle w:val="Heading1"/>
      </w:pPr>
      <w:r>
        <w:t xml:space="preserve">1. Introduction</w:t>
      </w:r>
    </w:p>
    <w:p>
      <w:pPr>
        <w:keepNext/>
        <w:spacing w:after="120"/>
      </w:pPr>
      <w:r>
        <w:rPr>
          <w:i/>
          <w:iCs/>
          <w:color w:val="5D666B"/>
          <w:sz w:val="18"/>
          <w:szCs w:val="18"/>
        </w:rPr>
        <w:t xml:space="preserve">Section owner: Toufiq Ahmed Joy</w:t>
      </w:r>
    </w:p>
    <w:p>
      <w:r>
        <w:t xml:space="preserve">Corella Health Group (CHG) is a not-for-profit healthcare provider in regional New South Wales. It has 1,180 staff and about 320 contractors and visiting clinicians across 9 sites. They use 42 applications, including an electronic medical record (EMR) and a patient administration system (PAS).</w:t>
      </w:r>
    </w:p>
    <w:p>
      <w:r>
        <w:rPr>
          <w:b/>
          <w:bCs/>
        </w:rPr>
        <w:t xml:space="preserve">Problem statement.</w:t>
      </w:r>
      <w:r>
        <w:t xml:space="preserve"> CHG cannot reliably control who has access to what. Every application keeps its own accounts, which are added and removed by hand. A 2026 internal audit found:</w:t>
      </w:r>
    </w:p>
    <w:p>
      <w:pPr>
        <w:pStyle w:val="ListParagraph"/>
        <w:numPr>
          <w:ilvl w:val="0"/>
          <w:numId w:val="2"/>
        </w:numPr>
        <w:spacing w:after="60"/>
      </w:pPr>
      <w:r>
        <w:t xml:space="preserve">186 active accounts belonging to people who had left;</w:t>
      </w:r>
    </w:p>
    <w:p>
      <w:pPr>
        <w:pStyle w:val="ListParagraph"/>
        <w:numPr>
          <w:ilvl w:val="0"/>
          <w:numId w:val="2"/>
        </w:numPr>
        <w:spacing w:after="60"/>
      </w:pPr>
      <w:r>
        <w:t xml:space="preserve">38 administrator accounts where about 12 are needed;</w:t>
      </w:r>
    </w:p>
    <w:p>
      <w:pPr>
        <w:pStyle w:val="ListParagraph"/>
        <w:numPr>
          <w:ilvl w:val="0"/>
          <w:numId w:val="2"/>
        </w:numPr>
        <w:spacing w:after="60"/>
      </w:pPr>
      <w:r>
        <w:t xml:space="preserve">a 6.5-day wait for a new starter's access;</w:t>
      </w:r>
    </w:p>
    <w:p>
      <w:pPr>
        <w:pStyle w:val="ListParagraph"/>
        <w:numPr>
          <w:ilvl w:val="0"/>
          <w:numId w:val="2"/>
        </w:numPr>
        <w:spacing w:after="60"/>
      </w:pPr>
      <w:r>
        <w:t xml:space="preserve">multi-factor authentication (MFA) used by only 31% of staff.</w:t>
      </w:r>
    </w:p>
    <w:p>
      <w:r>
        <w:t xml:space="preserve">In 2026 a phished password exposed a manager's mailbox, and CHG had to report a notifiable data breach. Health is a target: credentials were stolen in a quarter of healthcare breaches worldwide [1], and Australian health providers made more breach notifications in 2025 than any other sector [2].</w:t>
      </w:r>
    </w:p>
    <w:p>
      <w:r>
        <w:rPr>
          <w:b/>
          <w:bCs/>
        </w:rPr>
        <w:t xml:space="preserve">The project.</w:t>
      </w:r>
      <w:r>
        <w:t xml:space="preserve"> CHG will deploy a central identity and access management (IAM) system with these parts:</w:t>
      </w:r>
    </w:p>
    <w:p>
      <w:pPr>
        <w:pStyle w:val="ListParagraph"/>
        <w:numPr>
          <w:ilvl w:val="0"/>
          <w:numId w:val="2"/>
        </w:numPr>
        <w:spacing w:after="60"/>
      </w:pPr>
      <w:r>
        <w:t xml:space="preserve">single sign-on (SSO);</w:t>
      </w:r>
    </w:p>
    <w:p>
      <w:pPr>
        <w:pStyle w:val="ListParagraph"/>
        <w:numPr>
          <w:ilvl w:val="0"/>
          <w:numId w:val="2"/>
        </w:numPr>
        <w:spacing w:after="60"/>
      </w:pPr>
      <w:r>
        <w:t xml:space="preserve">phishing-resistant MFA for every user;</w:t>
      </w:r>
    </w:p>
    <w:p>
      <w:pPr>
        <w:pStyle w:val="ListParagraph"/>
        <w:numPr>
          <w:ilvl w:val="0"/>
          <w:numId w:val="2"/>
        </w:numPr>
        <w:spacing w:after="60"/>
      </w:pPr>
      <w:r>
        <w:t xml:space="preserve">access granted and removed automatically from the HR system;</w:t>
      </w:r>
    </w:p>
    <w:p>
      <w:pPr>
        <w:pStyle w:val="ListParagraph"/>
        <w:numPr>
          <w:ilvl w:val="0"/>
          <w:numId w:val="2"/>
        </w:numPr>
        <w:spacing w:after="60"/>
      </w:pPr>
      <w:r>
        <w:t xml:space="preserve">role-based access;</w:t>
      </w:r>
    </w:p>
    <w:p>
      <w:pPr>
        <w:pStyle w:val="ListParagraph"/>
        <w:numPr>
          <w:ilvl w:val="0"/>
          <w:numId w:val="2"/>
        </w:numPr>
        <w:spacing w:after="60"/>
      </w:pPr>
      <w:r>
        <w:t xml:space="preserve">quarterly access reviews;</w:t>
      </w:r>
    </w:p>
    <w:p>
      <w:pPr>
        <w:pStyle w:val="ListParagraph"/>
        <w:numPr>
          <w:ilvl w:val="0"/>
          <w:numId w:val="2"/>
        </w:numPr>
        <w:spacing w:after="60"/>
      </w:pPr>
      <w:r>
        <w:t xml:space="preserve">privileged access management.</w:t>
      </w:r>
    </w:p>
    <w:p>
      <w:r>
        <w:t xml:space="preserve">The project runs from 2 November 2026 to 28 July 2027, with a budget ceiling of AUD 1,250,000. Sections 2–14 follow the order in the contents list.</w:t>
      </w:r>
    </w:p>
    <w:p>
      <w:pPr>
        <w:pStyle w:val="Heading1"/>
      </w:pPr>
      <w:r>
        <w:t xml:space="preserve">3. Project overview and objectives</w:t>
      </w:r>
    </w:p>
    <w:p>
      <w:pPr>
        <w:keepNext/>
        <w:spacing w:after="120"/>
      </w:pPr>
      <w:r>
        <w:rPr>
          <w:i/>
          <w:iCs/>
          <w:color w:val="5D666B"/>
          <w:sz w:val="18"/>
          <w:szCs w:val="18"/>
        </w:rPr>
        <w:t xml:space="preserve">Section owner: Toufiq Ahmed Joy</w:t>
      </w:r>
    </w:p>
    <w:p>
      <w:r>
        <w:t xml:space="preserve">The project replaces account management application by application with one identity platform fed by the HR system. When People and Culture records a hire, move or exit, the platform creates, changes or removes access in connected applications using role-based rules. Staff sign in once with phishing-resistant MFA; administrators use separate privileged accounts; managers re-certify their staff's access every quarter. The business case is to close the audit findings, lower the likelihood and cost of another breach, end the wait for new-starter access, cut password-reset calls and reach Essential Eight Maturity Level Two for MFA and restricting administrative privileges [7], which the board has set as its target for 30 June 2027. Table 1 lists the measurable objectives.</w:t>
      </w:r>
    </w:p>
    <w:p>
      <w:pPr>
        <w:pStyle w:val="Caption"/>
        <w:keepNext/>
        <w:spacing w:after="80" w:before="200"/>
      </w:pPr>
      <w:r>
        <w:rPr>
          <w:b/>
          <w:bCs/>
        </w:rPr>
        <w:t xml:space="preserve">Table 1. </w:t>
      </w:r>
      <w:r>
        <w:t xml:space="preserve">SMART objectives</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600"/>
        <w:gridCol w:w="2300"/>
        <w:gridCol w:w="4638"/>
        <w:gridCol w:w="2100"/>
      </w:tblGrid>
      <w:tr>
        <w:trPr>
          <w:cantSplit/>
          <w:tblHeader/>
        </w:trPr>
        <w:tc>
          <w:tcPr>
            <w:tcW w:type="dxa" w:w="6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ID</w:t>
            </w:r>
          </w:p>
        </w:tc>
        <w:tc>
          <w:tcPr>
            <w:tcW w:type="dxa" w:w="23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Objective</w:t>
            </w:r>
          </w:p>
        </w:tc>
        <w:tc>
          <w:tcPr>
            <w:tcW w:type="dxa" w:w="4638"/>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Measure and target</w:t>
            </w:r>
          </w:p>
        </w:tc>
        <w:tc>
          <w:tcPr>
            <w:tcW w:type="dxa" w:w="21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Date</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b/>
                <w:bCs/>
                <w:sz w:val="18"/>
                <w:szCs w:val="18"/>
              </w:rPr>
              <w:t xml:space="preserve">O1</w:t>
            </w:r>
          </w:p>
        </w:tc>
        <w:tc>
          <w:tcPr>
            <w:tcW w:type="dxa" w:w="2300"/>
            <w:shd w:fill="FFFFFF" w:color="auto" w:val="clear"/>
            <w:tcMar>
              <w:top w:type="dxa" w:w="50"/>
              <w:left w:type="dxa" w:w="80"/>
              <w:bottom w:type="dxa" w:w="50"/>
              <w:right w:type="dxa" w:w="80"/>
            </w:tcMar>
            <w:vAlign w:val="top"/>
          </w:tcPr>
          <w:p>
            <w:pPr>
              <w:spacing w:after="0" w:before="0" w:line="240"/>
            </w:pPr>
            <w:r>
              <w:rPr>
                <w:sz w:val="18"/>
                <w:szCs w:val="18"/>
              </w:rPr>
              <w:t xml:space="preserve">Phishing-resistant MFA for every identity</w:t>
            </w:r>
          </w:p>
        </w:tc>
        <w:tc>
          <w:tcPr>
            <w:tcW w:type="dxa" w:w="4638"/>
            <w:shd w:fill="FFFFFF" w:color="auto" w:val="clear"/>
            <w:tcMar>
              <w:top w:type="dxa" w:w="50"/>
              <w:left w:type="dxa" w:w="80"/>
              <w:bottom w:type="dxa" w:w="50"/>
              <w:right w:type="dxa" w:w="80"/>
            </w:tcMar>
            <w:vAlign w:val="top"/>
          </w:tcPr>
          <w:p>
            <w:pPr>
              <w:spacing w:after="0" w:before="0" w:line="240"/>
            </w:pPr>
            <w:r>
              <w:rPr>
                <w:sz w:val="18"/>
                <w:szCs w:val="18"/>
              </w:rPr>
              <w:t xml:space="preserve">100% of 1,500 in-scope identities enrolled and enforced (passkeys or FIDO2 keys); SMS used only by approved exception</w:t>
            </w:r>
          </w:p>
        </w:tc>
        <w:tc>
          <w:tcPr>
            <w:tcW w:type="dxa" w:w="2100"/>
            <w:shd w:fill="FFFFFF" w:color="auto" w:val="clear"/>
            <w:tcMar>
              <w:top w:type="dxa" w:w="50"/>
              <w:left w:type="dxa" w:w="80"/>
              <w:bottom w:type="dxa" w:w="50"/>
              <w:right w:type="dxa" w:w="80"/>
            </w:tcMar>
            <w:vAlign w:val="top"/>
          </w:tcPr>
          <w:p>
            <w:pPr>
              <w:spacing w:after="0" w:before="0" w:line="240"/>
            </w:pPr>
            <w:r>
              <w:rPr>
                <w:sz w:val="18"/>
                <w:szCs w:val="18"/>
              </w:rPr>
              <w:t xml:space="preserve">16 Jun 2027</w:t>
            </w:r>
          </w:p>
        </w:tc>
      </w:tr>
      <w:tr>
        <w:trPr>
          <w:cantSplit/>
        </w:trPr>
        <w:tc>
          <w:tcPr>
            <w:tcW w:type="dxa" w:w="600"/>
            <w:shd w:fill="F2F5F4" w:color="auto" w:val="clear"/>
            <w:tcMar>
              <w:top w:type="dxa" w:w="50"/>
              <w:left w:type="dxa" w:w="80"/>
              <w:bottom w:type="dxa" w:w="50"/>
              <w:right w:type="dxa" w:w="80"/>
            </w:tcMar>
            <w:vAlign w:val="top"/>
          </w:tcPr>
          <w:p>
            <w:pPr>
              <w:spacing w:after="0" w:before="0" w:line="240"/>
            </w:pPr>
            <w:r>
              <w:rPr>
                <w:b/>
                <w:bCs/>
                <w:sz w:val="18"/>
                <w:szCs w:val="18"/>
              </w:rPr>
              <w:t xml:space="preserve">O2</w:t>
            </w:r>
          </w:p>
        </w:tc>
        <w:tc>
          <w:tcPr>
            <w:tcW w:type="dxa" w:w="2300"/>
            <w:shd w:fill="F2F5F4" w:color="auto" w:val="clear"/>
            <w:tcMar>
              <w:top w:type="dxa" w:w="50"/>
              <w:left w:type="dxa" w:w="80"/>
              <w:bottom w:type="dxa" w:w="50"/>
              <w:right w:type="dxa" w:w="80"/>
            </w:tcMar>
            <w:vAlign w:val="top"/>
          </w:tcPr>
          <w:p>
            <w:pPr>
              <w:spacing w:after="0" w:before="0" w:line="240"/>
            </w:pPr>
            <w:r>
              <w:rPr>
                <w:sz w:val="18"/>
                <w:szCs w:val="18"/>
              </w:rPr>
              <w:t xml:space="preserve">Single sign-on</w:t>
            </w:r>
          </w:p>
        </w:tc>
        <w:tc>
          <w:tcPr>
            <w:tcW w:type="dxa" w:w="4638"/>
            <w:shd w:fill="F2F5F4" w:color="auto" w:val="clear"/>
            <w:tcMar>
              <w:top w:type="dxa" w:w="50"/>
              <w:left w:type="dxa" w:w="80"/>
              <w:bottom w:type="dxa" w:w="50"/>
              <w:right w:type="dxa" w:w="80"/>
            </w:tcMar>
            <w:vAlign w:val="top"/>
          </w:tcPr>
          <w:p>
            <w:pPr>
              <w:spacing w:after="0" w:before="0" w:line="240"/>
            </w:pPr>
            <w:r>
              <w:rPr>
                <w:sz w:val="18"/>
                <w:szCs w:val="18"/>
              </w:rPr>
              <w:t xml:space="preserve">12 priority applications sign in through the IAM platform</w:t>
            </w:r>
          </w:p>
        </w:tc>
        <w:tc>
          <w:tcPr>
            <w:tcW w:type="dxa" w:w="2100"/>
            <w:shd w:fill="F2F5F4" w:color="auto" w:val="clear"/>
            <w:tcMar>
              <w:top w:type="dxa" w:w="50"/>
              <w:left w:type="dxa" w:w="80"/>
              <w:bottom w:type="dxa" w:w="50"/>
              <w:right w:type="dxa" w:w="80"/>
            </w:tcMar>
            <w:vAlign w:val="top"/>
          </w:tcPr>
          <w:p>
            <w:pPr>
              <w:spacing w:after="0" w:before="0" w:line="240"/>
            </w:pPr>
            <w:r>
              <w:rPr>
                <w:sz w:val="18"/>
                <w:szCs w:val="18"/>
              </w:rPr>
              <w:t xml:space="preserve">16 Jun 2027</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b/>
                <w:bCs/>
                <w:sz w:val="18"/>
                <w:szCs w:val="18"/>
              </w:rPr>
              <w:t xml:space="preserve">O3</w:t>
            </w:r>
          </w:p>
        </w:tc>
        <w:tc>
          <w:tcPr>
            <w:tcW w:type="dxa" w:w="2300"/>
            <w:shd w:fill="FFFFFF" w:color="auto" w:val="clear"/>
            <w:tcMar>
              <w:top w:type="dxa" w:w="50"/>
              <w:left w:type="dxa" w:w="80"/>
              <w:bottom w:type="dxa" w:w="50"/>
              <w:right w:type="dxa" w:w="80"/>
            </w:tcMar>
            <w:vAlign w:val="top"/>
          </w:tcPr>
          <w:p>
            <w:pPr>
              <w:spacing w:after="0" w:before="0" w:line="240"/>
            </w:pPr>
            <w:r>
              <w:rPr>
                <w:sz w:val="18"/>
                <w:szCs w:val="18"/>
              </w:rPr>
              <w:t xml:space="preserve">Fast, reliable leavers</w:t>
            </w:r>
          </w:p>
        </w:tc>
        <w:tc>
          <w:tcPr>
            <w:tcW w:type="dxa" w:w="4638"/>
            <w:shd w:fill="FFFFFF" w:color="auto" w:val="clear"/>
            <w:tcMar>
              <w:top w:type="dxa" w:w="50"/>
              <w:left w:type="dxa" w:w="80"/>
              <w:bottom w:type="dxa" w:w="50"/>
              <w:right w:type="dxa" w:w="80"/>
            </w:tcMar>
            <w:vAlign w:val="top"/>
          </w:tcPr>
          <w:p>
            <w:pPr>
              <w:spacing w:after="0" w:before="0" w:line="240"/>
            </w:pPr>
            <w:r>
              <w:rPr>
                <w:sz w:val="18"/>
                <w:szCs w:val="18"/>
              </w:rPr>
              <w:t xml:space="preserve">Access to all in-scope applications removed within 4 hours of the HR termination record, in a monthly sample of 30 leavers</w:t>
            </w:r>
          </w:p>
        </w:tc>
        <w:tc>
          <w:tcPr>
            <w:tcW w:type="dxa" w:w="2100"/>
            <w:shd w:fill="FFFFFF" w:color="auto" w:val="clear"/>
            <w:tcMar>
              <w:top w:type="dxa" w:w="50"/>
              <w:left w:type="dxa" w:w="80"/>
              <w:bottom w:type="dxa" w:w="50"/>
              <w:right w:type="dxa" w:w="80"/>
            </w:tcMar>
            <w:vAlign w:val="top"/>
          </w:tcPr>
          <w:p>
            <w:pPr>
              <w:spacing w:after="0" w:before="0" w:line="240"/>
            </w:pPr>
            <w:r>
              <w:rPr>
                <w:sz w:val="18"/>
                <w:szCs w:val="18"/>
              </w:rPr>
              <w:t xml:space="preserve">From 16 Jun 2027; first check 14 Jul 2027</w:t>
            </w:r>
          </w:p>
        </w:tc>
      </w:tr>
      <w:tr>
        <w:trPr>
          <w:cantSplit/>
        </w:trPr>
        <w:tc>
          <w:tcPr>
            <w:tcW w:type="dxa" w:w="600"/>
            <w:shd w:fill="F2F5F4" w:color="auto" w:val="clear"/>
            <w:tcMar>
              <w:top w:type="dxa" w:w="50"/>
              <w:left w:type="dxa" w:w="80"/>
              <w:bottom w:type="dxa" w:w="50"/>
              <w:right w:type="dxa" w:w="80"/>
            </w:tcMar>
            <w:vAlign w:val="top"/>
          </w:tcPr>
          <w:p>
            <w:pPr>
              <w:spacing w:after="0" w:before="0" w:line="240"/>
            </w:pPr>
            <w:r>
              <w:rPr>
                <w:b/>
                <w:bCs/>
                <w:sz w:val="18"/>
                <w:szCs w:val="18"/>
              </w:rPr>
              <w:t xml:space="preserve">O4</w:t>
            </w:r>
          </w:p>
        </w:tc>
        <w:tc>
          <w:tcPr>
            <w:tcW w:type="dxa" w:w="2300"/>
            <w:shd w:fill="F2F5F4" w:color="auto" w:val="clear"/>
            <w:tcMar>
              <w:top w:type="dxa" w:w="50"/>
              <w:left w:type="dxa" w:w="80"/>
              <w:bottom w:type="dxa" w:w="50"/>
              <w:right w:type="dxa" w:w="80"/>
            </w:tcMar>
            <w:vAlign w:val="top"/>
          </w:tcPr>
          <w:p>
            <w:pPr>
              <w:spacing w:after="0" w:before="0" w:line="240"/>
            </w:pPr>
            <w:r>
              <w:rPr>
                <w:sz w:val="18"/>
                <w:szCs w:val="18"/>
              </w:rPr>
              <w:t xml:space="preserve">Day-one access</w:t>
            </w:r>
          </w:p>
        </w:tc>
        <w:tc>
          <w:tcPr>
            <w:tcW w:type="dxa" w:w="4638"/>
            <w:shd w:fill="F2F5F4" w:color="auto" w:val="clear"/>
            <w:tcMar>
              <w:top w:type="dxa" w:w="50"/>
              <w:left w:type="dxa" w:w="80"/>
              <w:bottom w:type="dxa" w:w="50"/>
              <w:right w:type="dxa" w:w="80"/>
            </w:tcMar>
            <w:vAlign w:val="top"/>
          </w:tcPr>
          <w:p>
            <w:pPr>
              <w:spacing w:after="0" w:before="0" w:line="240"/>
            </w:pPr>
            <w:r>
              <w:rPr>
                <w:sz w:val="18"/>
                <w:szCs w:val="18"/>
              </w:rPr>
              <w:t xml:space="preserve">At least 95% of new starters have role-based access before their first shift (currently a 6.5-day wait)</w:t>
            </w:r>
          </w:p>
        </w:tc>
        <w:tc>
          <w:tcPr>
            <w:tcW w:type="dxa" w:w="2100"/>
            <w:shd w:fill="F2F5F4" w:color="auto" w:val="clear"/>
            <w:tcMar>
              <w:top w:type="dxa" w:w="50"/>
              <w:left w:type="dxa" w:w="80"/>
              <w:bottom w:type="dxa" w:w="50"/>
              <w:right w:type="dxa" w:w="80"/>
            </w:tcMar>
            <w:vAlign w:val="top"/>
          </w:tcPr>
          <w:p>
            <w:pPr>
              <w:spacing w:after="0" w:before="0" w:line="240"/>
            </w:pPr>
            <w:r>
              <w:rPr>
                <w:sz w:val="18"/>
                <w:szCs w:val="18"/>
              </w:rPr>
              <w:t xml:space="preserve">Measured over the 3 months to 30 Sep 2027</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b/>
                <w:bCs/>
                <w:sz w:val="18"/>
                <w:szCs w:val="18"/>
              </w:rPr>
              <w:t xml:space="preserve">O5</w:t>
            </w:r>
          </w:p>
        </w:tc>
        <w:tc>
          <w:tcPr>
            <w:tcW w:type="dxa" w:w="2300"/>
            <w:shd w:fill="FFFFFF" w:color="auto" w:val="clear"/>
            <w:tcMar>
              <w:top w:type="dxa" w:w="50"/>
              <w:left w:type="dxa" w:w="80"/>
              <w:bottom w:type="dxa" w:w="50"/>
              <w:right w:type="dxa" w:w="80"/>
            </w:tcMar>
            <w:vAlign w:val="top"/>
          </w:tcPr>
          <w:p>
            <w:pPr>
              <w:spacing w:after="0" w:before="0" w:line="240"/>
            </w:pPr>
            <w:r>
              <w:rPr>
                <w:sz w:val="18"/>
                <w:szCs w:val="18"/>
              </w:rPr>
              <w:t xml:space="preserve">Account clean-up</w:t>
            </w:r>
          </w:p>
        </w:tc>
        <w:tc>
          <w:tcPr>
            <w:tcW w:type="dxa" w:w="4638"/>
            <w:shd w:fill="FFFFFF" w:color="auto" w:val="clear"/>
            <w:tcMar>
              <w:top w:type="dxa" w:w="50"/>
              <w:left w:type="dxa" w:w="80"/>
              <w:bottom w:type="dxa" w:w="50"/>
              <w:right w:type="dxa" w:w="80"/>
            </w:tcMar>
            <w:vAlign w:val="top"/>
          </w:tcPr>
          <w:p>
            <w:pPr>
              <w:spacing w:after="0" w:before="0" w:line="240"/>
            </w:pPr>
            <w:r>
              <w:rPr>
                <w:sz w:val="18"/>
                <w:szCs w:val="18"/>
              </w:rPr>
              <w:t xml:space="preserve">All 186 orphaned accounts disabled; administrator accounts cut from 38 to 12 or fewer</w:t>
            </w:r>
          </w:p>
        </w:tc>
        <w:tc>
          <w:tcPr>
            <w:tcW w:type="dxa" w:w="2100"/>
            <w:shd w:fill="FFFFFF" w:color="auto" w:val="clear"/>
            <w:tcMar>
              <w:top w:type="dxa" w:w="50"/>
              <w:left w:type="dxa" w:w="80"/>
              <w:bottom w:type="dxa" w:w="50"/>
              <w:right w:type="dxa" w:w="80"/>
            </w:tcMar>
            <w:vAlign w:val="top"/>
          </w:tcPr>
          <w:p>
            <w:pPr>
              <w:spacing w:after="0" w:before="0" w:line="240"/>
            </w:pPr>
            <w:r>
              <w:rPr>
                <w:sz w:val="18"/>
                <w:szCs w:val="18"/>
              </w:rPr>
              <w:t xml:space="preserve">28 Jul 2027</w:t>
            </w:r>
          </w:p>
        </w:tc>
      </w:tr>
      <w:tr>
        <w:trPr>
          <w:cantSplit/>
        </w:trPr>
        <w:tc>
          <w:tcPr>
            <w:tcW w:type="dxa" w:w="600"/>
            <w:shd w:fill="F2F5F4" w:color="auto" w:val="clear"/>
            <w:tcMar>
              <w:top w:type="dxa" w:w="50"/>
              <w:left w:type="dxa" w:w="80"/>
              <w:bottom w:type="dxa" w:w="50"/>
              <w:right w:type="dxa" w:w="80"/>
            </w:tcMar>
            <w:vAlign w:val="top"/>
          </w:tcPr>
          <w:p>
            <w:pPr>
              <w:spacing w:after="0" w:before="0" w:line="240"/>
            </w:pPr>
            <w:r>
              <w:rPr>
                <w:b/>
                <w:bCs/>
                <w:sz w:val="18"/>
                <w:szCs w:val="18"/>
              </w:rPr>
              <w:t xml:space="preserve">O6</w:t>
            </w:r>
          </w:p>
        </w:tc>
        <w:tc>
          <w:tcPr>
            <w:tcW w:type="dxa" w:w="2300"/>
            <w:shd w:fill="F2F5F4" w:color="auto" w:val="clear"/>
            <w:tcMar>
              <w:top w:type="dxa" w:w="50"/>
              <w:left w:type="dxa" w:w="80"/>
              <w:bottom w:type="dxa" w:w="50"/>
              <w:right w:type="dxa" w:w="80"/>
            </w:tcMar>
            <w:vAlign w:val="top"/>
          </w:tcPr>
          <w:p>
            <w:pPr>
              <w:spacing w:after="0" w:before="0" w:line="240"/>
            </w:pPr>
            <w:r>
              <w:rPr>
                <w:sz w:val="18"/>
                <w:szCs w:val="18"/>
              </w:rPr>
              <w:t xml:space="preserve">Access reviews</w:t>
            </w:r>
          </w:p>
        </w:tc>
        <w:tc>
          <w:tcPr>
            <w:tcW w:type="dxa" w:w="4638"/>
            <w:shd w:fill="F2F5F4" w:color="auto" w:val="clear"/>
            <w:tcMar>
              <w:top w:type="dxa" w:w="50"/>
              <w:left w:type="dxa" w:w="80"/>
              <w:bottom w:type="dxa" w:w="50"/>
              <w:right w:type="dxa" w:w="80"/>
            </w:tcMar>
            <w:vAlign w:val="top"/>
          </w:tcPr>
          <w:p>
            <w:pPr>
              <w:spacing w:after="0" w:before="0" w:line="240"/>
            </w:pPr>
            <w:r>
              <w:rPr>
                <w:sz w:val="18"/>
                <w:szCs w:val="18"/>
              </w:rPr>
              <w:t xml:space="preserve">First quarterly review covers 100% of entitlements in the 12 applications, with every revocation actioned</w:t>
            </w:r>
          </w:p>
        </w:tc>
        <w:tc>
          <w:tcPr>
            <w:tcW w:type="dxa" w:w="2100"/>
            <w:shd w:fill="F2F5F4" w:color="auto" w:val="clear"/>
            <w:tcMar>
              <w:top w:type="dxa" w:w="50"/>
              <w:left w:type="dxa" w:w="80"/>
              <w:bottom w:type="dxa" w:w="50"/>
              <w:right w:type="dxa" w:w="80"/>
            </w:tcMar>
            <w:vAlign w:val="top"/>
          </w:tcPr>
          <w:p>
            <w:pPr>
              <w:spacing w:after="0" w:before="0" w:line="240"/>
            </w:pPr>
            <w:r>
              <w:rPr>
                <w:sz w:val="18"/>
                <w:szCs w:val="18"/>
              </w:rPr>
              <w:t xml:space="preserve">14 Jul 2027</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b/>
                <w:bCs/>
                <w:sz w:val="18"/>
                <w:szCs w:val="18"/>
              </w:rPr>
              <w:t xml:space="preserve">O7</w:t>
            </w:r>
          </w:p>
        </w:tc>
        <w:tc>
          <w:tcPr>
            <w:tcW w:type="dxa" w:w="2300"/>
            <w:shd w:fill="FFFFFF" w:color="auto" w:val="clear"/>
            <w:tcMar>
              <w:top w:type="dxa" w:w="50"/>
              <w:left w:type="dxa" w:w="80"/>
              <w:bottom w:type="dxa" w:w="50"/>
              <w:right w:type="dxa" w:w="80"/>
            </w:tcMar>
            <w:vAlign w:val="top"/>
          </w:tcPr>
          <w:p>
            <w:pPr>
              <w:spacing w:after="0" w:before="0" w:line="240"/>
            </w:pPr>
            <w:r>
              <w:rPr>
                <w:sz w:val="18"/>
                <w:szCs w:val="18"/>
              </w:rPr>
              <w:t xml:space="preserve">On time and on budget</w:t>
            </w:r>
          </w:p>
        </w:tc>
        <w:tc>
          <w:tcPr>
            <w:tcW w:type="dxa" w:w="4638"/>
            <w:shd w:fill="FFFFFF" w:color="auto" w:val="clear"/>
            <w:tcMar>
              <w:top w:type="dxa" w:w="50"/>
              <w:left w:type="dxa" w:w="80"/>
              <w:bottom w:type="dxa" w:w="50"/>
              <w:right w:type="dxa" w:w="80"/>
            </w:tcMar>
            <w:vAlign w:val="top"/>
          </w:tcPr>
          <w:p>
            <w:pPr>
              <w:spacing w:after="0" w:before="0" w:line="240"/>
            </w:pPr>
            <w:r>
              <w:rPr>
                <w:sz w:val="18"/>
                <w:szCs w:val="18"/>
              </w:rPr>
              <w:t xml:space="preserve">Project closed within the AUD 1,250,000 budget ceiling</w:t>
            </w:r>
          </w:p>
        </w:tc>
        <w:tc>
          <w:tcPr>
            <w:tcW w:type="dxa" w:w="2100"/>
            <w:shd w:fill="FFFFFF" w:color="auto" w:val="clear"/>
            <w:tcMar>
              <w:top w:type="dxa" w:w="50"/>
              <w:left w:type="dxa" w:w="80"/>
              <w:bottom w:type="dxa" w:w="50"/>
              <w:right w:type="dxa" w:w="80"/>
            </w:tcMar>
            <w:vAlign w:val="top"/>
          </w:tcPr>
          <w:p>
            <w:pPr>
              <w:spacing w:after="0" w:before="0" w:line="240"/>
            </w:pPr>
            <w:r>
              <w:rPr>
                <w:sz w:val="18"/>
                <w:szCs w:val="18"/>
              </w:rPr>
              <w:t xml:space="preserve">28 Jul 2027</w:t>
            </w:r>
          </w:p>
        </w:tc>
      </w:tr>
    </w:tbl>
    <w:p>
      <w:pPr>
        <w:pStyle w:val="Heading1"/>
      </w:pPr>
      <w:r>
        <w:t xml:space="preserve">4. Project charter and scope statement</w:t>
      </w:r>
    </w:p>
    <w:p>
      <w:pPr>
        <w:keepNext/>
        <w:spacing w:after="120"/>
      </w:pPr>
      <w:r>
        <w:rPr>
          <w:i/>
          <w:iCs/>
          <w:color w:val="5D666B"/>
          <w:sz w:val="18"/>
          <w:szCs w:val="18"/>
        </w:rPr>
        <w:t xml:space="preserve">Section owner: Toufiq Ahmed Joy</w:t>
      </w:r>
    </w:p>
    <w:p>
      <w:pPr>
        <w:pStyle w:val="Heading2"/>
      </w:pPr>
      <w:r>
        <w:t xml:space="preserve">4.1 Charter summary</w:t>
      </w:r>
    </w:p>
    <w:p>
      <w:pPr>
        <w:pStyle w:val="Caption"/>
        <w:keepNext/>
        <w:spacing w:after="80" w:before="200"/>
      </w:pPr>
      <w:r>
        <w:rPr>
          <w:b/>
          <w:bCs/>
        </w:rPr>
        <w:t xml:space="preserve">Table 2. </w:t>
      </w:r>
      <w:r>
        <w:t xml:space="preserve">Project charter</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200"/>
        <w:gridCol w:w="7438"/>
      </w:tblGrid>
      <w:tr>
        <w:trPr>
          <w:cantSplit/>
        </w:trPr>
        <w:tc>
          <w:tcPr>
            <w:tcW w:type="dxa" w:w="2200"/>
            <w:shd w:fill="E4ECE9" w:color="auto" w:val="clear"/>
            <w:tcMar>
              <w:top w:type="dxa" w:w="60"/>
              <w:left w:type="dxa" w:w="100"/>
              <w:bottom w:type="dxa" w:w="60"/>
              <w:right w:type="dxa" w:w="100"/>
            </w:tcMar>
          </w:tcPr>
          <w:p>
            <w:pPr>
              <w:spacing w:after="0" w:before="0" w:line="240"/>
            </w:pPr>
            <w:r>
              <w:rPr>
                <w:b/>
                <w:bCs/>
                <w:sz w:val="19"/>
                <w:szCs w:val="19"/>
              </w:rPr>
              <w:t xml:space="preserve">Project title</w:t>
            </w:r>
          </w:p>
        </w:tc>
        <w:tc>
          <w:tcPr>
            <w:tcW w:type="dxa" w:w="7438"/>
            <w:tcMar>
              <w:top w:type="dxa" w:w="60"/>
              <w:left w:type="dxa" w:w="100"/>
              <w:bottom w:type="dxa" w:w="60"/>
              <w:right w:type="dxa" w:w="100"/>
            </w:tcMar>
          </w:tcPr>
          <w:p>
            <w:pPr>
              <w:spacing w:after="0" w:before="0" w:line="240"/>
            </w:pPr>
            <w:r>
              <w:rPr>
                <w:sz w:val="19"/>
                <w:szCs w:val="19"/>
              </w:rPr>
              <w:t xml:space="preserve">Identity and Access Management (IAM) System Deployment for Cybersecurity Enhancement</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9"/>
                <w:szCs w:val="19"/>
              </w:rPr>
              <w:t xml:space="preserve">Organisation</w:t>
            </w:r>
          </w:p>
        </w:tc>
        <w:tc>
          <w:tcPr>
            <w:tcW w:type="dxa" w:w="7438"/>
            <w:tcMar>
              <w:top w:type="dxa" w:w="60"/>
              <w:left w:type="dxa" w:w="100"/>
              <w:bottom w:type="dxa" w:w="60"/>
              <w:right w:type="dxa" w:w="100"/>
            </w:tcMar>
          </w:tcPr>
          <w:p>
            <w:pPr>
              <w:spacing w:after="0" w:before="0" w:line="240"/>
            </w:pPr>
            <w:r>
              <w:rPr>
                <w:sz w:val="19"/>
                <w:szCs w:val="19"/>
              </w:rPr>
              <w:t xml:space="preserve">Corella Health Group (CHG), regional New South Wales</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9"/>
                <w:szCs w:val="19"/>
              </w:rPr>
              <w:t xml:space="preserve">Project sponsor</w:t>
            </w:r>
          </w:p>
        </w:tc>
        <w:tc>
          <w:tcPr>
            <w:tcW w:type="dxa" w:w="7438"/>
            <w:tcMar>
              <w:top w:type="dxa" w:w="60"/>
              <w:left w:type="dxa" w:w="100"/>
              <w:bottom w:type="dxa" w:w="60"/>
              <w:right w:type="dxa" w:w="100"/>
            </w:tcMar>
          </w:tcPr>
          <w:p>
            <w:pPr>
              <w:spacing w:after="0" w:before="0" w:line="240"/>
            </w:pPr>
            <w:r>
              <w:rPr>
                <w:sz w:val="19"/>
                <w:szCs w:val="19"/>
              </w:rPr>
              <w:t xml:space="preserve">Catherine Doyle, Chief Operating Officer</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9"/>
                <w:szCs w:val="19"/>
              </w:rPr>
              <w:t xml:space="preserve">Project manager</w:t>
            </w:r>
          </w:p>
        </w:tc>
        <w:tc>
          <w:tcPr>
            <w:tcW w:type="dxa" w:w="7438"/>
            <w:tcMar>
              <w:top w:type="dxa" w:w="60"/>
              <w:left w:type="dxa" w:w="100"/>
              <w:bottom w:type="dxa" w:w="60"/>
              <w:right w:type="dxa" w:w="100"/>
            </w:tcMar>
          </w:tcPr>
          <w:p>
            <w:pPr>
              <w:spacing w:after="0" w:before="0" w:line="240"/>
            </w:pPr>
            <w:r>
              <w:rPr>
                <w:sz w:val="19"/>
                <w:szCs w:val="19"/>
              </w:rPr>
              <w:t xml:space="preserve">Toufiq Ahmed Joy</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9"/>
                <w:szCs w:val="19"/>
              </w:rPr>
              <w:t xml:space="preserve">Purpose</w:t>
            </w:r>
          </w:p>
        </w:tc>
        <w:tc>
          <w:tcPr>
            <w:tcW w:type="dxa" w:w="7438"/>
            <w:tcMar>
              <w:top w:type="dxa" w:w="60"/>
              <w:left w:type="dxa" w:w="100"/>
              <w:bottom w:type="dxa" w:w="60"/>
              <w:right w:type="dxa" w:w="100"/>
            </w:tcMar>
          </w:tcPr>
          <w:p>
            <w:pPr>
              <w:spacing w:after="0" w:before="0" w:line="240"/>
            </w:pPr>
            <w:r>
              <w:rPr>
                <w:sz w:val="19"/>
                <w:szCs w:val="19"/>
              </w:rPr>
              <w:t xml:space="preserve">Give every staff member and contractor the right access at the right time, protected by phishing-resistant MFA, and remove access promptly when it is no longer needed.</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9"/>
                <w:szCs w:val="19"/>
              </w:rPr>
              <w:t xml:space="preserve">Start and finish</w:t>
            </w:r>
          </w:p>
        </w:tc>
        <w:tc>
          <w:tcPr>
            <w:tcW w:type="dxa" w:w="7438"/>
            <w:tcMar>
              <w:top w:type="dxa" w:w="60"/>
              <w:left w:type="dxa" w:w="100"/>
              <w:bottom w:type="dxa" w:w="60"/>
              <w:right w:type="dxa" w:w="100"/>
            </w:tcMar>
          </w:tcPr>
          <w:p>
            <w:pPr>
              <w:spacing w:after="0" w:before="0" w:line="240"/>
            </w:pPr>
            <w:r>
              <w:rPr>
                <w:sz w:val="19"/>
                <w:szCs w:val="19"/>
              </w:rPr>
              <w:t xml:space="preserve">2 Nov 2026 to 28 Jul 2027 (182 working days)</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9"/>
                <w:szCs w:val="19"/>
              </w:rPr>
              <w:t xml:space="preserve">Budget</w:t>
            </w:r>
          </w:p>
        </w:tc>
        <w:tc>
          <w:tcPr>
            <w:tcW w:type="dxa" w:w="7438"/>
            <w:tcMar>
              <w:top w:type="dxa" w:w="60"/>
              <w:left w:type="dxa" w:w="100"/>
              <w:bottom w:type="dxa" w:w="60"/>
              <w:right w:type="dxa" w:w="100"/>
            </w:tcMar>
          </w:tcPr>
          <w:p>
            <w:pPr>
              <w:spacing w:after="0" w:before="0" w:line="240"/>
            </w:pPr>
            <w:r>
              <w:rPr>
                <w:sz w:val="19"/>
                <w:szCs w:val="19"/>
              </w:rPr>
              <w:t xml:space="preserve">Ceiling AUD 1,250,000: cost baseline AUD 1,199,030 (including AUD 159,000 contingency reserve) plus AUD 50,970 management reserve held by the sponsor. Excludes GST.</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9"/>
                <w:szCs w:val="19"/>
              </w:rPr>
              <w:t xml:space="preserve">Authority</w:t>
            </w:r>
          </w:p>
        </w:tc>
        <w:tc>
          <w:tcPr>
            <w:tcW w:type="dxa" w:w="7438"/>
            <w:tcMar>
              <w:top w:type="dxa" w:w="60"/>
              <w:left w:type="dxa" w:w="100"/>
              <w:bottom w:type="dxa" w:w="60"/>
              <w:right w:type="dxa" w:w="100"/>
            </w:tcMar>
          </w:tcPr>
          <w:p>
            <w:pPr>
              <w:spacing w:after="0" w:before="0" w:line="240"/>
            </w:pPr>
            <w:r>
              <w:rPr>
                <w:sz w:val="19"/>
                <w:szCs w:val="19"/>
              </w:rPr>
              <w:t xml:space="preserve">The project manager may commit funds within approved work packages and approve changes within the limits in Section 10.</w:t>
            </w:r>
          </w:p>
        </w:tc>
      </w:tr>
    </w:tbl>
    <w:p>
      <w:pPr>
        <w:pStyle w:val="Heading2"/>
      </w:pPr>
      <w:r>
        <w:t xml:space="preserve">4.2 Scope</w:t>
      </w:r>
    </w:p>
    <w:p>
      <w:r>
        <w:t xml:space="preserve">Table 3 shows what is in and out of scope. Anything not listed as in scope is out unless the change control board adds it (Section 10). Table 4 lists the deliverables, assumptions, constraints and acceptance criteria.</w:t>
      </w:r>
    </w:p>
    <w:p>
      <w:pPr>
        <w:pStyle w:val="Caption"/>
        <w:keepNext/>
        <w:spacing w:after="80" w:before="200"/>
      </w:pPr>
      <w:r>
        <w:rPr>
          <w:b/>
          <w:bCs/>
        </w:rPr>
        <w:t xml:space="preserve">Table 3. </w:t>
      </w:r>
      <w:r>
        <w:t xml:space="preserve">In-scope and out-of-scope items</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4819"/>
        <w:gridCol w:w="4819"/>
      </w:tblGrid>
      <w:tr>
        <w:trPr>
          <w:cantSplit/>
          <w:tblHeader/>
        </w:trPr>
        <w:tc>
          <w:tcPr>
            <w:tcW w:type="dxa" w:w="4819"/>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In scope</w:t>
            </w:r>
          </w:p>
        </w:tc>
        <w:tc>
          <w:tcPr>
            <w:tcW w:type="dxa" w:w="4819"/>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Out of scope</w:t>
            </w:r>
          </w:p>
        </w:tc>
      </w:tr>
      <w:tr>
        <w:trPr>
          <w:cantSplit w:val="off"/>
        </w:trPr>
        <w:tc>
          <w:tcPr>
            <w:tcW w:type="dxa" w:w="4819"/>
            <w:shd w:fill="FFFFFF" w:color="auto" w:val="clear"/>
            <w:tcMar>
              <w:top w:type="dxa" w:w="50"/>
              <w:left w:type="dxa" w:w="80"/>
              <w:bottom w:type="dxa" w:w="50"/>
              <w:right w:type="dxa" w:w="80"/>
            </w:tcMar>
            <w:vAlign w:val="top"/>
          </w:tcPr>
          <w:p>
            <w:pPr>
              <w:pStyle w:val="ListParagraph"/>
              <w:numPr>
                <w:ilvl w:val="0"/>
                <w:numId w:val="3"/>
              </w:numPr>
              <w:spacing w:after="0" w:before="0" w:line="240"/>
            </w:pPr>
            <w:r>
              <w:rPr>
                <w:sz w:val="18"/>
                <w:szCs w:val="18"/>
              </w:rPr>
              <w:t xml:space="preserve">1,500 workforce identities: 1,180 staff and 320 contractors, agency staff and visiting medical officers</w:t>
            </w:r>
          </w:p>
          <w:p>
            <w:pPr>
              <w:pStyle w:val="ListParagraph"/>
              <w:numPr>
                <w:ilvl w:val="0"/>
                <w:numId w:val="3"/>
              </w:numPr>
              <w:spacing w:after="0" w:before="0" w:line="240"/>
            </w:pPr>
            <w:r>
              <w:rPr>
                <w:sz w:val="18"/>
                <w:szCs w:val="18"/>
              </w:rPr>
              <w:t xml:space="preserve">12 applications: Microsoft 365, intranet, VPN, rostering, EMR, PAS, HR system (HRIS), payroll, finance, pathology results portal, imaging viewer, incident management</w:t>
            </w:r>
          </w:p>
          <w:p>
            <w:pPr>
              <w:pStyle w:val="ListParagraph"/>
              <w:numPr>
                <w:ilvl w:val="0"/>
                <w:numId w:val="3"/>
              </w:numPr>
              <w:spacing w:after="0" w:before="0" w:line="240"/>
            </w:pPr>
            <w:r>
              <w:rPr>
                <w:sz w:val="18"/>
                <w:szCs w:val="18"/>
              </w:rPr>
              <w:t xml:space="preserve">MFA for all users; privileged access management for 40 privileged accounts</w:t>
            </w:r>
          </w:p>
          <w:p>
            <w:pPr>
              <w:pStyle w:val="ListParagraph"/>
              <w:numPr>
                <w:ilvl w:val="0"/>
                <w:numId w:val="3"/>
              </w:numPr>
              <w:spacing w:after="0" w:before="0" w:line="240"/>
            </w:pPr>
            <w:r>
              <w:rPr>
                <w:sz w:val="18"/>
                <w:szCs w:val="18"/>
              </w:rPr>
              <w:t xml:space="preserve">Joiner-mover-leaver automation from the HRIS; role catalogue of about 25 business roles</w:t>
            </w:r>
          </w:p>
          <w:p>
            <w:pPr>
              <w:pStyle w:val="ListParagraph"/>
              <w:numPr>
                <w:ilvl w:val="0"/>
                <w:numId w:val="3"/>
              </w:numPr>
              <w:spacing w:after="0" w:before="0" w:line="240"/>
            </w:pPr>
            <w:r>
              <w:rPr>
                <w:sz w:val="18"/>
                <w:szCs w:val="18"/>
              </w:rPr>
              <w:t xml:space="preserve">Quarterly access reviews; training at all 9 sites</w:t>
            </w:r>
          </w:p>
        </w:tc>
        <w:tc>
          <w:tcPr>
            <w:tcW w:type="dxa" w:w="4819"/>
            <w:shd w:fill="FFFFFF" w:color="auto" w:val="clear"/>
            <w:tcMar>
              <w:top w:type="dxa" w:w="50"/>
              <w:left w:type="dxa" w:w="80"/>
              <w:bottom w:type="dxa" w:w="50"/>
              <w:right w:type="dxa" w:w="80"/>
            </w:tcMar>
            <w:vAlign w:val="top"/>
          </w:tcPr>
          <w:p>
            <w:pPr>
              <w:pStyle w:val="ListParagraph"/>
              <w:numPr>
                <w:ilvl w:val="0"/>
                <w:numId w:val="3"/>
              </w:numPr>
              <w:spacing w:after="0" w:before="0" w:line="240"/>
            </w:pPr>
            <w:r>
              <w:rPr>
                <w:sz w:val="18"/>
                <w:szCs w:val="18"/>
              </w:rPr>
              <w:t xml:space="preserve">Patient and consumer identities (patient portal)</w:t>
            </w:r>
          </w:p>
          <w:p>
            <w:pPr>
              <w:pStyle w:val="ListParagraph"/>
              <w:numPr>
                <w:ilvl w:val="0"/>
                <w:numId w:val="3"/>
              </w:numPr>
              <w:spacing w:after="0" w:before="0" w:line="240"/>
            </w:pPr>
            <w:r>
              <w:rPr>
                <w:sz w:val="18"/>
                <w:szCs w:val="18"/>
              </w:rPr>
              <w:t xml:space="preserve">The other 30 lower-risk applications (phase 2 backlog)</w:t>
            </w:r>
          </w:p>
          <w:p>
            <w:pPr>
              <w:pStyle w:val="ListParagraph"/>
              <w:numPr>
                <w:ilvl w:val="0"/>
                <w:numId w:val="3"/>
              </w:numPr>
              <w:spacing w:after="0" w:before="0" w:line="240"/>
            </w:pPr>
            <w:r>
              <w:rPr>
                <w:sz w:val="18"/>
                <w:szCs w:val="18"/>
              </w:rPr>
              <w:t xml:space="preserve">Medical devices and building access cards</w:t>
            </w:r>
          </w:p>
          <w:p>
            <w:pPr>
              <w:pStyle w:val="ListParagraph"/>
              <w:numPr>
                <w:ilvl w:val="0"/>
                <w:numId w:val="3"/>
              </w:numPr>
              <w:spacing w:after="0" w:before="0" w:line="240"/>
            </w:pPr>
            <w:r>
              <w:rPr>
                <w:sz w:val="18"/>
                <w:szCs w:val="18"/>
              </w:rPr>
              <w:t xml:space="preserve">Replacing the HRIS, EMR or any other application</w:t>
            </w:r>
          </w:p>
          <w:p>
            <w:pPr>
              <w:pStyle w:val="ListParagraph"/>
              <w:numPr>
                <w:ilvl w:val="0"/>
                <w:numId w:val="3"/>
              </w:numPr>
              <w:spacing w:after="0" w:before="0" w:line="240"/>
            </w:pPr>
            <w:r>
              <w:rPr>
                <w:sz w:val="18"/>
                <w:szCs w:val="18"/>
              </w:rPr>
              <w:t xml:space="preserve">Endpoint management, patching and email security (Essential Eight program)</w:t>
            </w:r>
          </w:p>
          <w:p>
            <w:pPr>
              <w:pStyle w:val="ListParagraph"/>
              <w:numPr>
                <w:ilvl w:val="0"/>
                <w:numId w:val="3"/>
              </w:numPr>
              <w:spacing w:after="0" w:before="0" w:line="240"/>
            </w:pPr>
            <w:r>
              <w:rPr>
                <w:sz w:val="18"/>
                <w:szCs w:val="18"/>
              </w:rPr>
              <w:t xml:space="preserve">Identities for partner organisations other than contractors</w:t>
            </w:r>
          </w:p>
        </w:tc>
      </w:tr>
    </w:tbl>
    <w:p>
      <w:pPr>
        <w:pStyle w:val="Caption"/>
        <w:keepNext/>
        <w:spacing w:after="80" w:before="200"/>
      </w:pPr>
      <w:r>
        <w:rPr>
          <w:b/>
          <w:bCs/>
        </w:rPr>
        <w:t xml:space="preserve">Table 4. </w:t>
      </w:r>
      <w:r>
        <w:t xml:space="preserve">Deliverables, assumptions, constraints and acceptance criteria</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200"/>
        <w:gridCol w:w="7438"/>
      </w:tblGrid>
      <w:tr>
        <w:trPr>
          <w:cantSplit/>
        </w:trPr>
        <w:tc>
          <w:tcPr>
            <w:tcW w:type="dxa" w:w="2200"/>
            <w:shd w:fill="E4ECE9" w:color="auto" w:val="clear"/>
            <w:tcMar>
              <w:top w:type="dxa" w:w="60"/>
              <w:left w:type="dxa" w:w="100"/>
              <w:bottom w:type="dxa" w:w="60"/>
              <w:right w:type="dxa" w:w="100"/>
            </w:tcMar>
          </w:tcPr>
          <w:p>
            <w:pPr>
              <w:spacing w:after="0" w:before="0" w:line="240"/>
            </w:pPr>
            <w:r>
              <w:rPr>
                <w:b/>
                <w:bCs/>
                <w:sz w:val="18"/>
                <w:szCs w:val="18"/>
              </w:rPr>
              <w:t xml:space="preserve">Deliverables</w:t>
            </w:r>
          </w:p>
        </w:tc>
        <w:tc>
          <w:tcPr>
            <w:tcW w:type="dxa" w:w="7438"/>
            <w:tcMar>
              <w:top w:type="dxa" w:w="60"/>
              <w:left w:type="dxa" w:w="100"/>
              <w:bottom w:type="dxa" w:w="60"/>
              <w:right w:type="dxa" w:w="100"/>
            </w:tcMar>
          </w:tcPr>
          <w:p>
            <w:pPr>
              <w:spacing w:after="0" w:before="0" w:line="240"/>
            </w:pPr>
            <w:r>
              <w:rPr>
                <w:sz w:val="18"/>
                <w:szCs w:val="18"/>
              </w:rPr>
              <w:t xml:space="preserve">Configured IAM platform; HR-driven joiner-mover-leaver workflows; SSO for 12 applications; phishing-resistant MFA for all users; role catalogue; privileged access management; access review campaigns; trained staff and support materials; runbooks and handover; the project documents in this plan</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8"/>
                <w:szCs w:val="18"/>
              </w:rPr>
              <w:t xml:space="preserve">Assumptions</w:t>
            </w:r>
          </w:p>
        </w:tc>
        <w:tc>
          <w:tcPr>
            <w:tcW w:type="dxa" w:w="7438"/>
            <w:tcMar>
              <w:top w:type="dxa" w:w="60"/>
              <w:left w:type="dxa" w:w="100"/>
              <w:bottom w:type="dxa" w:w="60"/>
              <w:right w:type="dxa" w:w="100"/>
            </w:tcMar>
          </w:tcPr>
          <w:p>
            <w:pPr>
              <w:spacing w:after="0" w:before="0" w:line="240"/>
            </w:pPr>
            <w:r>
              <w:rPr>
                <w:sz w:val="18"/>
                <w:szCs w:val="18"/>
              </w:rPr>
              <w:t xml:space="preserve">The HRIS is the authoritative record of staff and contractors; CHG's Microsoft 365 tenant can be federated with the IAM platform; application vendors support integration under standard support; clinical testers are available with funded backfill; the implementation partner is engaged at M3</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8"/>
                <w:szCs w:val="18"/>
              </w:rPr>
              <w:t xml:space="preserve">Constraints</w:t>
            </w:r>
          </w:p>
        </w:tc>
        <w:tc>
          <w:tcPr>
            <w:tcW w:type="dxa" w:w="7438"/>
            <w:tcMar>
              <w:top w:type="dxa" w:w="60"/>
              <w:left w:type="dxa" w:w="100"/>
              <w:bottom w:type="dxa" w:w="60"/>
              <w:right w:type="dxa" w:w="100"/>
            </w:tcMar>
          </w:tcPr>
          <w:p>
            <w:pPr>
              <w:spacing w:after="0" w:before="0" w:line="240"/>
            </w:pPr>
            <w:r>
              <w:rPr>
                <w:sz w:val="18"/>
                <w:szCs w:val="18"/>
              </w:rPr>
              <w:t xml:space="preserve">Budget ceiling AUD 1,250,000; go-live before 30 June 2027; no clinical system cut-overs in business hours; identity data stored in Australia; change freeze during the Christmas shutdown (24 December to 1 January)</w:t>
            </w:r>
          </w:p>
        </w:tc>
      </w:tr>
      <w:tr>
        <w:trPr>
          <w:cantSplit/>
        </w:trPr>
        <w:tc>
          <w:tcPr>
            <w:tcW w:type="dxa" w:w="2200"/>
            <w:shd w:fill="E4ECE9" w:color="auto" w:val="clear"/>
            <w:tcMar>
              <w:top w:type="dxa" w:w="60"/>
              <w:left w:type="dxa" w:w="100"/>
              <w:bottom w:type="dxa" w:w="60"/>
              <w:right w:type="dxa" w:w="100"/>
            </w:tcMar>
          </w:tcPr>
          <w:p>
            <w:pPr>
              <w:spacing w:after="0" w:before="0" w:line="240"/>
            </w:pPr>
            <w:r>
              <w:rPr>
                <w:b/>
                <w:bCs/>
                <w:sz w:val="18"/>
                <w:szCs w:val="18"/>
              </w:rPr>
              <w:t xml:space="preserve">Acceptance criteria</w:t>
            </w:r>
          </w:p>
        </w:tc>
        <w:tc>
          <w:tcPr>
            <w:tcW w:type="dxa" w:w="7438"/>
            <w:tcMar>
              <w:top w:type="dxa" w:w="60"/>
              <w:left w:type="dxa" w:w="100"/>
              <w:bottom w:type="dxa" w:w="60"/>
              <w:right w:type="dxa" w:w="100"/>
            </w:tcMar>
          </w:tcPr>
          <w:p>
            <w:pPr>
              <w:spacing w:after="0" w:before="0" w:line="240"/>
            </w:pPr>
            <w:r>
              <w:rPr>
                <w:sz w:val="18"/>
                <w:szCs w:val="18"/>
              </w:rPr>
              <w:t xml:space="preserve">Objectives O1–O6 met and evidenced; no open severity 1–2 defects at Gate 3; all high or critical penetration-test findings fixed; runbooks accepted by the IT Operations Manager; closure report signed by the sponsor</w:t>
            </w:r>
          </w:p>
        </w:tc>
      </w:tr>
    </w:tbl>
    <w:p>
      <w:pPr>
        <w:pStyle w:val="Heading2"/>
      </w:pPr>
      <w:r>
        <w:t xml:space="preserve">4.3 Stakeholders</w:t>
      </w:r>
    </w:p>
    <w:p>
      <w:pPr>
        <w:pStyle w:val="Caption"/>
        <w:keepNext/>
        <w:spacing w:after="80" w:before="200"/>
      </w:pPr>
      <w:r>
        <w:rPr>
          <w:b/>
          <w:bCs/>
        </w:rPr>
        <w:t xml:space="preserve">Table 5. </w:t>
      </w:r>
      <w:r>
        <w:t xml:space="preserve">Stakeholder register (summary)</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900"/>
        <w:gridCol w:w="2600"/>
        <w:gridCol w:w="1000"/>
        <w:gridCol w:w="3138"/>
      </w:tblGrid>
      <w:tr>
        <w:trPr>
          <w:cantSplit/>
          <w:tblHeader/>
        </w:trPr>
        <w:tc>
          <w:tcPr>
            <w:tcW w:type="dxa" w:w="29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Stakeholder</w:t>
            </w:r>
          </w:p>
        </w:tc>
        <w:tc>
          <w:tcPr>
            <w:tcW w:type="dxa" w:w="26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Interest</w:t>
            </w:r>
          </w:p>
        </w:tc>
        <w:tc>
          <w:tcPr>
            <w:tcW w:type="dxa" w:w="10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Influence</w:t>
            </w:r>
          </w:p>
        </w:tc>
        <w:tc>
          <w:tcPr>
            <w:tcW w:type="dxa" w:w="3138"/>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Needs from the project</w:t>
            </w:r>
          </w:p>
        </w:tc>
      </w:tr>
      <w:tr>
        <w:trPr>
          <w:cantSplit/>
        </w:trPr>
        <w:tc>
          <w:tcPr>
            <w:tcW w:type="dxa" w:w="2900"/>
            <w:shd w:fill="FFFFFF" w:color="auto" w:val="clear"/>
            <w:tcMar>
              <w:top w:type="dxa" w:w="50"/>
              <w:left w:type="dxa" w:w="80"/>
              <w:bottom w:type="dxa" w:w="50"/>
              <w:right w:type="dxa" w:w="80"/>
            </w:tcMar>
            <w:vAlign w:val="top"/>
          </w:tcPr>
          <w:p>
            <w:pPr>
              <w:spacing w:after="0" w:before="0" w:line="240"/>
            </w:pPr>
            <w:r>
              <w:rPr>
                <w:b/>
                <w:bCs/>
                <w:sz w:val="18"/>
                <w:szCs w:val="18"/>
              </w:rPr>
              <w:t xml:space="preserve">Project sponsor: Catherine Doyle, Chief Operating Officer</w:t>
            </w:r>
          </w:p>
        </w:tc>
        <w:tc>
          <w:tcPr>
            <w:tcW w:type="dxa" w:w="2600"/>
            <w:shd w:fill="FFFFFF" w:color="auto" w:val="clear"/>
            <w:tcMar>
              <w:top w:type="dxa" w:w="50"/>
              <w:left w:type="dxa" w:w="80"/>
              <w:bottom w:type="dxa" w:w="50"/>
              <w:right w:type="dxa" w:w="80"/>
            </w:tcMar>
            <w:vAlign w:val="top"/>
          </w:tcPr>
          <w:p>
            <w:pPr>
              <w:spacing w:after="0" w:before="0" w:line="240"/>
            </w:pPr>
            <w:r>
              <w:rPr>
                <w:sz w:val="18"/>
                <w:szCs w:val="18"/>
              </w:rPr>
              <w:t xml:space="preserve">Close audit findings; meet the board's Essential Eight target</w:t>
            </w:r>
          </w:p>
        </w:tc>
        <w:tc>
          <w:tcPr>
            <w:tcW w:type="dxa" w:w="1000"/>
            <w:shd w:fill="FFFFFF" w:color="auto" w:val="clear"/>
            <w:tcMar>
              <w:top w:type="dxa" w:w="50"/>
              <w:left w:type="dxa" w:w="80"/>
              <w:bottom w:type="dxa" w:w="50"/>
              <w:right w:type="dxa" w:w="80"/>
            </w:tcMar>
            <w:vAlign w:val="top"/>
          </w:tcPr>
          <w:p>
            <w:pPr>
              <w:spacing w:after="0" w:before="0" w:line="240"/>
            </w:pPr>
            <w:r>
              <w:rPr>
                <w:sz w:val="18"/>
                <w:szCs w:val="18"/>
              </w:rPr>
              <w:t xml:space="preserve">High</w:t>
            </w:r>
          </w:p>
        </w:tc>
        <w:tc>
          <w:tcPr>
            <w:tcW w:type="dxa" w:w="3138"/>
            <w:shd w:fill="FFFFFF" w:color="auto" w:val="clear"/>
            <w:tcMar>
              <w:top w:type="dxa" w:w="50"/>
              <w:left w:type="dxa" w:w="80"/>
              <w:bottom w:type="dxa" w:w="50"/>
              <w:right w:type="dxa" w:w="80"/>
            </w:tcMar>
            <w:vAlign w:val="top"/>
          </w:tcPr>
          <w:p>
            <w:pPr>
              <w:spacing w:after="0" w:before="0" w:line="240"/>
            </w:pPr>
            <w:r>
              <w:rPr>
                <w:sz w:val="18"/>
                <w:szCs w:val="18"/>
              </w:rPr>
              <w:t xml:space="preserve">Early escalation; status against baseline</w:t>
            </w:r>
          </w:p>
        </w:tc>
      </w:tr>
      <w:tr>
        <w:trPr>
          <w:cantSplit/>
        </w:trPr>
        <w:tc>
          <w:tcPr>
            <w:tcW w:type="dxa" w:w="2900"/>
            <w:shd w:fill="F2F5F4" w:color="auto" w:val="clear"/>
            <w:tcMar>
              <w:top w:type="dxa" w:w="50"/>
              <w:left w:type="dxa" w:w="80"/>
              <w:bottom w:type="dxa" w:w="50"/>
              <w:right w:type="dxa" w:w="80"/>
            </w:tcMar>
            <w:vAlign w:val="top"/>
          </w:tcPr>
          <w:p>
            <w:pPr>
              <w:spacing w:after="0" w:before="0" w:line="240"/>
            </w:pPr>
            <w:r>
              <w:rPr>
                <w:b/>
                <w:bCs/>
                <w:sz w:val="18"/>
                <w:szCs w:val="18"/>
              </w:rPr>
              <w:t xml:space="preserve">Executive leadership team and Board Audit and Risk Committee</w:t>
            </w:r>
          </w:p>
        </w:tc>
        <w:tc>
          <w:tcPr>
            <w:tcW w:type="dxa" w:w="2600"/>
            <w:shd w:fill="F2F5F4" w:color="auto" w:val="clear"/>
            <w:tcMar>
              <w:top w:type="dxa" w:w="50"/>
              <w:left w:type="dxa" w:w="80"/>
              <w:bottom w:type="dxa" w:w="50"/>
              <w:right w:type="dxa" w:w="80"/>
            </w:tcMar>
            <w:vAlign w:val="top"/>
          </w:tcPr>
          <w:p>
            <w:pPr>
              <w:spacing w:after="0" w:before="0" w:line="240"/>
            </w:pPr>
            <w:r>
              <w:rPr>
                <w:sz w:val="18"/>
                <w:szCs w:val="18"/>
              </w:rPr>
              <w:t xml:space="preserve">Cyber risk, compliance, budget</w:t>
            </w:r>
          </w:p>
        </w:tc>
        <w:tc>
          <w:tcPr>
            <w:tcW w:type="dxa" w:w="1000"/>
            <w:shd w:fill="F2F5F4" w:color="auto" w:val="clear"/>
            <w:tcMar>
              <w:top w:type="dxa" w:w="50"/>
              <w:left w:type="dxa" w:w="80"/>
              <w:bottom w:type="dxa" w:w="50"/>
              <w:right w:type="dxa" w:w="80"/>
            </w:tcMar>
            <w:vAlign w:val="top"/>
          </w:tcPr>
          <w:p>
            <w:pPr>
              <w:spacing w:after="0" w:before="0" w:line="240"/>
            </w:pPr>
            <w:r>
              <w:rPr>
                <w:sz w:val="18"/>
                <w:szCs w:val="18"/>
              </w:rPr>
              <w:t xml:space="preserve">High</w:t>
            </w:r>
          </w:p>
        </w:tc>
        <w:tc>
          <w:tcPr>
            <w:tcW w:type="dxa" w:w="3138"/>
            <w:shd w:fill="F2F5F4" w:color="auto" w:val="clear"/>
            <w:tcMar>
              <w:top w:type="dxa" w:w="50"/>
              <w:left w:type="dxa" w:w="80"/>
              <w:bottom w:type="dxa" w:w="50"/>
              <w:right w:type="dxa" w:w="80"/>
            </w:tcMar>
            <w:vAlign w:val="top"/>
          </w:tcPr>
          <w:p>
            <w:pPr>
              <w:spacing w:after="0" w:before="0" w:line="240"/>
            </w:pPr>
            <w:r>
              <w:rPr>
                <w:sz w:val="18"/>
                <w:szCs w:val="18"/>
              </w:rPr>
              <w:t xml:space="preserve">Evidence of risk reduction; budget kept</w:t>
            </w:r>
          </w:p>
        </w:tc>
      </w:tr>
      <w:tr>
        <w:trPr>
          <w:cantSplit/>
        </w:trPr>
        <w:tc>
          <w:tcPr>
            <w:tcW w:type="dxa" w:w="2900"/>
            <w:shd w:fill="FFFFFF" w:color="auto" w:val="clear"/>
            <w:tcMar>
              <w:top w:type="dxa" w:w="50"/>
              <w:left w:type="dxa" w:w="80"/>
              <w:bottom w:type="dxa" w:w="50"/>
              <w:right w:type="dxa" w:w="80"/>
            </w:tcMar>
            <w:vAlign w:val="top"/>
          </w:tcPr>
          <w:p>
            <w:pPr>
              <w:spacing w:after="0" w:before="0" w:line="240"/>
            </w:pPr>
            <w:r>
              <w:rPr>
                <w:b/>
                <w:bCs/>
                <w:sz w:val="18"/>
                <w:szCs w:val="18"/>
              </w:rPr>
              <w:t xml:space="preserve">Head of Information Technology</w:t>
            </w:r>
          </w:p>
        </w:tc>
        <w:tc>
          <w:tcPr>
            <w:tcW w:type="dxa" w:w="2600"/>
            <w:shd w:fill="FFFFFF" w:color="auto" w:val="clear"/>
            <w:tcMar>
              <w:top w:type="dxa" w:w="50"/>
              <w:left w:type="dxa" w:w="80"/>
              <w:bottom w:type="dxa" w:w="50"/>
              <w:right w:type="dxa" w:w="80"/>
            </w:tcMar>
            <w:vAlign w:val="top"/>
          </w:tcPr>
          <w:p>
            <w:pPr>
              <w:spacing w:after="0" w:before="0" w:line="240"/>
            </w:pPr>
            <w:r>
              <w:rPr>
                <w:sz w:val="18"/>
                <w:szCs w:val="18"/>
              </w:rPr>
              <w:t xml:space="preserve">Owns the platform after handover</w:t>
            </w:r>
          </w:p>
        </w:tc>
        <w:tc>
          <w:tcPr>
            <w:tcW w:type="dxa" w:w="1000"/>
            <w:shd w:fill="FFFFFF" w:color="auto" w:val="clear"/>
            <w:tcMar>
              <w:top w:type="dxa" w:w="50"/>
              <w:left w:type="dxa" w:w="80"/>
              <w:bottom w:type="dxa" w:w="50"/>
              <w:right w:type="dxa" w:w="80"/>
            </w:tcMar>
            <w:vAlign w:val="top"/>
          </w:tcPr>
          <w:p>
            <w:pPr>
              <w:spacing w:after="0" w:before="0" w:line="240"/>
            </w:pPr>
            <w:r>
              <w:rPr>
                <w:sz w:val="18"/>
                <w:szCs w:val="18"/>
              </w:rPr>
              <w:t xml:space="preserve">High</w:t>
            </w:r>
          </w:p>
        </w:tc>
        <w:tc>
          <w:tcPr>
            <w:tcW w:type="dxa" w:w="3138"/>
            <w:shd w:fill="FFFFFF" w:color="auto" w:val="clear"/>
            <w:tcMar>
              <w:top w:type="dxa" w:w="50"/>
              <w:left w:type="dxa" w:w="80"/>
              <w:bottom w:type="dxa" w:w="50"/>
              <w:right w:type="dxa" w:w="80"/>
            </w:tcMar>
            <w:vAlign w:val="top"/>
          </w:tcPr>
          <w:p>
            <w:pPr>
              <w:spacing w:after="0" w:before="0" w:line="240"/>
            </w:pPr>
            <w:r>
              <w:rPr>
                <w:sz w:val="18"/>
                <w:szCs w:val="18"/>
              </w:rPr>
              <w:t xml:space="preserve">Supportable design; runbooks; trained staff</w:t>
            </w:r>
          </w:p>
        </w:tc>
      </w:tr>
      <w:tr>
        <w:trPr>
          <w:cantSplit/>
        </w:trPr>
        <w:tc>
          <w:tcPr>
            <w:tcW w:type="dxa" w:w="2900"/>
            <w:shd w:fill="F2F5F4" w:color="auto" w:val="clear"/>
            <w:tcMar>
              <w:top w:type="dxa" w:w="50"/>
              <w:left w:type="dxa" w:w="80"/>
              <w:bottom w:type="dxa" w:w="50"/>
              <w:right w:type="dxa" w:w="80"/>
            </w:tcMar>
            <w:vAlign w:val="top"/>
          </w:tcPr>
          <w:p>
            <w:pPr>
              <w:spacing w:after="0" w:before="0" w:line="240"/>
            </w:pPr>
            <w:r>
              <w:rPr>
                <w:b/>
                <w:bCs/>
                <w:sz w:val="18"/>
                <w:szCs w:val="18"/>
              </w:rPr>
              <w:t xml:space="preserve">IT operations and service desk</w:t>
            </w:r>
          </w:p>
        </w:tc>
        <w:tc>
          <w:tcPr>
            <w:tcW w:type="dxa" w:w="2600"/>
            <w:shd w:fill="F2F5F4" w:color="auto" w:val="clear"/>
            <w:tcMar>
              <w:top w:type="dxa" w:w="50"/>
              <w:left w:type="dxa" w:w="80"/>
              <w:bottom w:type="dxa" w:w="50"/>
              <w:right w:type="dxa" w:w="80"/>
            </w:tcMar>
            <w:vAlign w:val="top"/>
          </w:tcPr>
          <w:p>
            <w:pPr>
              <w:spacing w:after="0" w:before="0" w:line="240"/>
            </w:pPr>
            <w:r>
              <w:rPr>
                <w:sz w:val="18"/>
                <w:szCs w:val="18"/>
              </w:rPr>
              <w:t xml:space="preserve">Run sign-in and provisioning day to day</w:t>
            </w:r>
          </w:p>
        </w:tc>
        <w:tc>
          <w:tcPr>
            <w:tcW w:type="dxa" w:w="1000"/>
            <w:shd w:fill="F2F5F4" w:color="auto" w:val="clear"/>
            <w:tcMar>
              <w:top w:type="dxa" w:w="50"/>
              <w:left w:type="dxa" w:w="80"/>
              <w:bottom w:type="dxa" w:w="50"/>
              <w:right w:type="dxa" w:w="80"/>
            </w:tcMar>
            <w:vAlign w:val="top"/>
          </w:tcPr>
          <w:p>
            <w:pPr>
              <w:spacing w:after="0" w:before="0" w:line="240"/>
            </w:pPr>
            <w:r>
              <w:rPr>
                <w:sz w:val="18"/>
                <w:szCs w:val="18"/>
              </w:rPr>
              <w:t xml:space="preserve">Medium</w:t>
            </w:r>
          </w:p>
        </w:tc>
        <w:tc>
          <w:tcPr>
            <w:tcW w:type="dxa" w:w="3138"/>
            <w:shd w:fill="F2F5F4" w:color="auto" w:val="clear"/>
            <w:tcMar>
              <w:top w:type="dxa" w:w="50"/>
              <w:left w:type="dxa" w:w="80"/>
              <w:bottom w:type="dxa" w:w="50"/>
              <w:right w:type="dxa" w:w="80"/>
            </w:tcMar>
            <w:vAlign w:val="top"/>
          </w:tcPr>
          <w:p>
            <w:pPr>
              <w:spacing w:after="0" w:before="0" w:line="240"/>
            </w:pPr>
            <w:r>
              <w:rPr>
                <w:sz w:val="18"/>
                <w:szCs w:val="18"/>
              </w:rPr>
              <w:t xml:space="preserve">Knowledge articles; rollout dates; staffing at go-live</w:t>
            </w:r>
          </w:p>
        </w:tc>
      </w:tr>
      <w:tr>
        <w:trPr>
          <w:cantSplit/>
        </w:trPr>
        <w:tc>
          <w:tcPr>
            <w:tcW w:type="dxa" w:w="2900"/>
            <w:shd w:fill="FFFFFF" w:color="auto" w:val="clear"/>
            <w:tcMar>
              <w:top w:type="dxa" w:w="50"/>
              <w:left w:type="dxa" w:w="80"/>
              <w:bottom w:type="dxa" w:w="50"/>
              <w:right w:type="dxa" w:w="80"/>
            </w:tcMar>
            <w:vAlign w:val="top"/>
          </w:tcPr>
          <w:p>
            <w:pPr>
              <w:spacing w:after="0" w:before="0" w:line="240"/>
            </w:pPr>
            <w:r>
              <w:rPr>
                <w:b/>
                <w:bCs/>
                <w:sz w:val="18"/>
                <w:szCs w:val="18"/>
              </w:rPr>
              <w:t xml:space="preserve">Clinical staff and the Director of Nursing</w:t>
            </w:r>
          </w:p>
        </w:tc>
        <w:tc>
          <w:tcPr>
            <w:tcW w:type="dxa" w:w="2600"/>
            <w:shd w:fill="FFFFFF" w:color="auto" w:val="clear"/>
            <w:tcMar>
              <w:top w:type="dxa" w:w="50"/>
              <w:left w:type="dxa" w:w="80"/>
              <w:bottom w:type="dxa" w:w="50"/>
              <w:right w:type="dxa" w:w="80"/>
            </w:tcMar>
            <w:vAlign w:val="top"/>
          </w:tcPr>
          <w:p>
            <w:pPr>
              <w:spacing w:after="0" w:before="0" w:line="240"/>
            </w:pPr>
            <w:r>
              <w:rPr>
                <w:sz w:val="18"/>
                <w:szCs w:val="18"/>
              </w:rPr>
              <w:t xml:space="preserve">Fast, reliable access at the bedside</w:t>
            </w:r>
          </w:p>
        </w:tc>
        <w:tc>
          <w:tcPr>
            <w:tcW w:type="dxa" w:w="1000"/>
            <w:shd w:fill="FFFFFF" w:color="auto" w:val="clear"/>
            <w:tcMar>
              <w:top w:type="dxa" w:w="50"/>
              <w:left w:type="dxa" w:w="80"/>
              <w:bottom w:type="dxa" w:w="50"/>
              <w:right w:type="dxa" w:w="80"/>
            </w:tcMar>
            <w:vAlign w:val="top"/>
          </w:tcPr>
          <w:p>
            <w:pPr>
              <w:spacing w:after="0" w:before="0" w:line="240"/>
            </w:pPr>
            <w:r>
              <w:rPr>
                <w:sz w:val="18"/>
                <w:szCs w:val="18"/>
              </w:rPr>
              <w:t xml:space="preserve">High</w:t>
            </w:r>
          </w:p>
        </w:tc>
        <w:tc>
          <w:tcPr>
            <w:tcW w:type="dxa" w:w="3138"/>
            <w:shd w:fill="FFFFFF" w:color="auto" w:val="clear"/>
            <w:tcMar>
              <w:top w:type="dxa" w:w="50"/>
              <w:left w:type="dxa" w:w="80"/>
              <w:bottom w:type="dxa" w:w="50"/>
              <w:right w:type="dxa" w:w="80"/>
            </w:tcMar>
            <w:vAlign w:val="top"/>
          </w:tcPr>
          <w:p>
            <w:pPr>
              <w:spacing w:after="0" w:before="0" w:line="240"/>
            </w:pPr>
            <w:r>
              <w:rPr>
                <w:sz w:val="18"/>
                <w:szCs w:val="18"/>
              </w:rPr>
              <w:t xml:space="preserve">Tap-and-go sign-in; no disruption to care; training on shift</w:t>
            </w:r>
          </w:p>
        </w:tc>
      </w:tr>
      <w:tr>
        <w:trPr>
          <w:cantSplit/>
        </w:trPr>
        <w:tc>
          <w:tcPr>
            <w:tcW w:type="dxa" w:w="2900"/>
            <w:shd w:fill="F2F5F4" w:color="auto" w:val="clear"/>
            <w:tcMar>
              <w:top w:type="dxa" w:w="50"/>
              <w:left w:type="dxa" w:w="80"/>
              <w:bottom w:type="dxa" w:w="50"/>
              <w:right w:type="dxa" w:w="80"/>
            </w:tcMar>
            <w:vAlign w:val="top"/>
          </w:tcPr>
          <w:p>
            <w:pPr>
              <w:spacing w:after="0" w:before="0" w:line="240"/>
            </w:pPr>
            <w:r>
              <w:rPr>
                <w:b/>
                <w:bCs/>
                <w:sz w:val="18"/>
                <w:szCs w:val="18"/>
              </w:rPr>
              <w:t xml:space="preserve">Administrative and corporate staff</w:t>
            </w:r>
          </w:p>
        </w:tc>
        <w:tc>
          <w:tcPr>
            <w:tcW w:type="dxa" w:w="2600"/>
            <w:shd w:fill="F2F5F4" w:color="auto" w:val="clear"/>
            <w:tcMar>
              <w:top w:type="dxa" w:w="50"/>
              <w:left w:type="dxa" w:w="80"/>
              <w:bottom w:type="dxa" w:w="50"/>
              <w:right w:type="dxa" w:w="80"/>
            </w:tcMar>
            <w:vAlign w:val="top"/>
          </w:tcPr>
          <w:p>
            <w:pPr>
              <w:spacing w:after="0" w:before="0" w:line="240"/>
            </w:pPr>
            <w:r>
              <w:rPr>
                <w:sz w:val="18"/>
                <w:szCs w:val="18"/>
              </w:rPr>
              <w:t xml:space="preserve">Simpler sign-in</w:t>
            </w:r>
          </w:p>
        </w:tc>
        <w:tc>
          <w:tcPr>
            <w:tcW w:type="dxa" w:w="1000"/>
            <w:shd w:fill="F2F5F4" w:color="auto" w:val="clear"/>
            <w:tcMar>
              <w:top w:type="dxa" w:w="50"/>
              <w:left w:type="dxa" w:w="80"/>
              <w:bottom w:type="dxa" w:w="50"/>
              <w:right w:type="dxa" w:w="80"/>
            </w:tcMar>
            <w:vAlign w:val="top"/>
          </w:tcPr>
          <w:p>
            <w:pPr>
              <w:spacing w:after="0" w:before="0" w:line="240"/>
            </w:pPr>
            <w:r>
              <w:rPr>
                <w:sz w:val="18"/>
                <w:szCs w:val="18"/>
              </w:rPr>
              <w:t xml:space="preserve">Medium</w:t>
            </w:r>
          </w:p>
        </w:tc>
        <w:tc>
          <w:tcPr>
            <w:tcW w:type="dxa" w:w="3138"/>
            <w:shd w:fill="F2F5F4" w:color="auto" w:val="clear"/>
            <w:tcMar>
              <w:top w:type="dxa" w:w="50"/>
              <w:left w:type="dxa" w:w="80"/>
              <w:bottom w:type="dxa" w:w="50"/>
              <w:right w:type="dxa" w:w="80"/>
            </w:tcMar>
            <w:vAlign w:val="top"/>
          </w:tcPr>
          <w:p>
            <w:pPr>
              <w:spacing w:after="0" w:before="0" w:line="240"/>
            </w:pPr>
            <w:r>
              <w:rPr>
                <w:sz w:val="18"/>
                <w:szCs w:val="18"/>
              </w:rPr>
              <w:t xml:space="preserve">One sign-in; clear instructions</w:t>
            </w:r>
          </w:p>
        </w:tc>
      </w:tr>
      <w:tr>
        <w:trPr>
          <w:cantSplit/>
        </w:trPr>
        <w:tc>
          <w:tcPr>
            <w:tcW w:type="dxa" w:w="2900"/>
            <w:shd w:fill="FFFFFF" w:color="auto" w:val="clear"/>
            <w:tcMar>
              <w:top w:type="dxa" w:w="50"/>
              <w:left w:type="dxa" w:w="80"/>
              <w:bottom w:type="dxa" w:w="50"/>
              <w:right w:type="dxa" w:w="80"/>
            </w:tcMar>
            <w:vAlign w:val="top"/>
          </w:tcPr>
          <w:p>
            <w:pPr>
              <w:spacing w:after="0" w:before="0" w:line="240"/>
            </w:pPr>
            <w:r>
              <w:rPr>
                <w:b/>
                <w:bCs/>
                <w:sz w:val="18"/>
                <w:szCs w:val="18"/>
              </w:rPr>
              <w:t xml:space="preserve">Contractors, agency staff and visiting medical officers</w:t>
            </w:r>
          </w:p>
        </w:tc>
        <w:tc>
          <w:tcPr>
            <w:tcW w:type="dxa" w:w="2600"/>
            <w:shd w:fill="FFFFFF" w:color="auto" w:val="clear"/>
            <w:tcMar>
              <w:top w:type="dxa" w:w="50"/>
              <w:left w:type="dxa" w:w="80"/>
              <w:bottom w:type="dxa" w:w="50"/>
              <w:right w:type="dxa" w:w="80"/>
            </w:tcMar>
            <w:vAlign w:val="top"/>
          </w:tcPr>
          <w:p>
            <w:pPr>
              <w:spacing w:after="0" w:before="0" w:line="240"/>
            </w:pPr>
            <w:r>
              <w:rPr>
                <w:sz w:val="18"/>
                <w:szCs w:val="18"/>
              </w:rPr>
              <w:t xml:space="preserve">Access ready on first shift</w:t>
            </w:r>
          </w:p>
        </w:tc>
        <w:tc>
          <w:tcPr>
            <w:tcW w:type="dxa" w:w="1000"/>
            <w:shd w:fill="FFFFFF" w:color="auto" w:val="clear"/>
            <w:tcMar>
              <w:top w:type="dxa" w:w="50"/>
              <w:left w:type="dxa" w:w="80"/>
              <w:bottom w:type="dxa" w:w="50"/>
              <w:right w:type="dxa" w:w="80"/>
            </w:tcMar>
            <w:vAlign w:val="top"/>
          </w:tcPr>
          <w:p>
            <w:pPr>
              <w:spacing w:after="0" w:before="0" w:line="240"/>
            </w:pPr>
            <w:r>
              <w:rPr>
                <w:sz w:val="18"/>
                <w:szCs w:val="18"/>
              </w:rPr>
              <w:t xml:space="preserve">Low</w:t>
            </w:r>
          </w:p>
        </w:tc>
        <w:tc>
          <w:tcPr>
            <w:tcW w:type="dxa" w:w="3138"/>
            <w:shd w:fill="FFFFFF" w:color="auto" w:val="clear"/>
            <w:tcMar>
              <w:top w:type="dxa" w:w="50"/>
              <w:left w:type="dxa" w:w="80"/>
              <w:bottom w:type="dxa" w:w="50"/>
              <w:right w:type="dxa" w:w="80"/>
            </w:tcMar>
            <w:vAlign w:val="top"/>
          </w:tcPr>
          <w:p>
            <w:pPr>
              <w:spacing w:after="0" w:before="0" w:line="240"/>
            </w:pPr>
            <w:r>
              <w:rPr>
                <w:sz w:val="18"/>
                <w:szCs w:val="18"/>
              </w:rPr>
              <w:t xml:space="preserve">Simple enrolment and access requests</w:t>
            </w:r>
          </w:p>
        </w:tc>
      </w:tr>
      <w:tr>
        <w:trPr>
          <w:cantSplit/>
        </w:trPr>
        <w:tc>
          <w:tcPr>
            <w:tcW w:type="dxa" w:w="2900"/>
            <w:shd w:fill="F2F5F4" w:color="auto" w:val="clear"/>
            <w:tcMar>
              <w:top w:type="dxa" w:w="50"/>
              <w:left w:type="dxa" w:w="80"/>
              <w:bottom w:type="dxa" w:w="50"/>
              <w:right w:type="dxa" w:w="80"/>
            </w:tcMar>
            <w:vAlign w:val="top"/>
          </w:tcPr>
          <w:p>
            <w:pPr>
              <w:spacing w:after="0" w:before="0" w:line="240"/>
            </w:pPr>
            <w:r>
              <w:rPr>
                <w:b/>
                <w:bCs/>
                <w:sz w:val="18"/>
                <w:szCs w:val="18"/>
              </w:rPr>
              <w:t xml:space="preserve">People and Culture (HR)</w:t>
            </w:r>
          </w:p>
        </w:tc>
        <w:tc>
          <w:tcPr>
            <w:tcW w:type="dxa" w:w="2600"/>
            <w:shd w:fill="F2F5F4" w:color="auto" w:val="clear"/>
            <w:tcMar>
              <w:top w:type="dxa" w:w="50"/>
              <w:left w:type="dxa" w:w="80"/>
              <w:bottom w:type="dxa" w:w="50"/>
              <w:right w:type="dxa" w:w="80"/>
            </w:tcMar>
            <w:vAlign w:val="top"/>
          </w:tcPr>
          <w:p>
            <w:pPr>
              <w:spacing w:after="0" w:before="0" w:line="240"/>
            </w:pPr>
            <w:r>
              <w:rPr>
                <w:sz w:val="18"/>
                <w:szCs w:val="18"/>
              </w:rPr>
              <w:t xml:space="preserve">HRIS becomes the trigger for access</w:t>
            </w:r>
          </w:p>
        </w:tc>
        <w:tc>
          <w:tcPr>
            <w:tcW w:type="dxa" w:w="1000"/>
            <w:shd w:fill="F2F5F4" w:color="auto" w:val="clear"/>
            <w:tcMar>
              <w:top w:type="dxa" w:w="50"/>
              <w:left w:type="dxa" w:w="80"/>
              <w:bottom w:type="dxa" w:w="50"/>
              <w:right w:type="dxa" w:w="80"/>
            </w:tcMar>
            <w:vAlign w:val="top"/>
          </w:tcPr>
          <w:p>
            <w:pPr>
              <w:spacing w:after="0" w:before="0" w:line="240"/>
            </w:pPr>
            <w:r>
              <w:rPr>
                <w:sz w:val="18"/>
                <w:szCs w:val="18"/>
              </w:rPr>
              <w:t xml:space="preserve">High</w:t>
            </w:r>
          </w:p>
        </w:tc>
        <w:tc>
          <w:tcPr>
            <w:tcW w:type="dxa" w:w="3138"/>
            <w:shd w:fill="F2F5F4" w:color="auto" w:val="clear"/>
            <w:tcMar>
              <w:top w:type="dxa" w:w="50"/>
              <w:left w:type="dxa" w:w="80"/>
              <w:bottom w:type="dxa" w:w="50"/>
              <w:right w:type="dxa" w:w="80"/>
            </w:tcMar>
            <w:vAlign w:val="top"/>
          </w:tcPr>
          <w:p>
            <w:pPr>
              <w:spacing w:after="0" w:before="0" w:line="240"/>
            </w:pPr>
            <w:r>
              <w:rPr>
                <w:sz w:val="18"/>
                <w:szCs w:val="18"/>
              </w:rPr>
              <w:t xml:space="preserve">Data rules and process changes agreed</w:t>
            </w:r>
          </w:p>
        </w:tc>
      </w:tr>
      <w:tr>
        <w:trPr>
          <w:cantSplit/>
        </w:trPr>
        <w:tc>
          <w:tcPr>
            <w:tcW w:type="dxa" w:w="2900"/>
            <w:shd w:fill="FFFFFF" w:color="auto" w:val="clear"/>
            <w:tcMar>
              <w:top w:type="dxa" w:w="50"/>
              <w:left w:type="dxa" w:w="80"/>
              <w:bottom w:type="dxa" w:w="50"/>
              <w:right w:type="dxa" w:w="80"/>
            </w:tcMar>
            <w:vAlign w:val="top"/>
          </w:tcPr>
          <w:p>
            <w:pPr>
              <w:spacing w:after="0" w:before="0" w:line="240"/>
            </w:pPr>
            <w:r>
              <w:rPr>
                <w:b/>
                <w:bCs/>
                <w:sz w:val="18"/>
                <w:szCs w:val="18"/>
              </w:rPr>
              <w:t xml:space="preserve">Privacy Officer and compliance</w:t>
            </w:r>
          </w:p>
        </w:tc>
        <w:tc>
          <w:tcPr>
            <w:tcW w:type="dxa" w:w="2600"/>
            <w:shd w:fill="FFFFFF" w:color="auto" w:val="clear"/>
            <w:tcMar>
              <w:top w:type="dxa" w:w="50"/>
              <w:left w:type="dxa" w:w="80"/>
              <w:bottom w:type="dxa" w:w="50"/>
              <w:right w:type="dxa" w:w="80"/>
            </w:tcMar>
            <w:vAlign w:val="top"/>
          </w:tcPr>
          <w:p>
            <w:pPr>
              <w:spacing w:after="0" w:before="0" w:line="240"/>
            </w:pPr>
            <w:r>
              <w:rPr>
                <w:sz w:val="18"/>
                <w:szCs w:val="18"/>
              </w:rPr>
              <w:t xml:space="preserve">Privacy and health-record obligations</w:t>
            </w:r>
          </w:p>
        </w:tc>
        <w:tc>
          <w:tcPr>
            <w:tcW w:type="dxa" w:w="1000"/>
            <w:shd w:fill="FFFFFF" w:color="auto" w:val="clear"/>
            <w:tcMar>
              <w:top w:type="dxa" w:w="50"/>
              <w:left w:type="dxa" w:w="80"/>
              <w:bottom w:type="dxa" w:w="50"/>
              <w:right w:type="dxa" w:w="80"/>
            </w:tcMar>
            <w:vAlign w:val="top"/>
          </w:tcPr>
          <w:p>
            <w:pPr>
              <w:spacing w:after="0" w:before="0" w:line="240"/>
            </w:pPr>
            <w:r>
              <w:rPr>
                <w:sz w:val="18"/>
                <w:szCs w:val="18"/>
              </w:rPr>
              <w:t xml:space="preserve">Medium</w:t>
            </w:r>
          </w:p>
        </w:tc>
        <w:tc>
          <w:tcPr>
            <w:tcW w:type="dxa" w:w="3138"/>
            <w:shd w:fill="FFFFFF" w:color="auto" w:val="clear"/>
            <w:tcMar>
              <w:top w:type="dxa" w:w="50"/>
              <w:left w:type="dxa" w:w="80"/>
              <w:bottom w:type="dxa" w:w="50"/>
              <w:right w:type="dxa" w:w="80"/>
            </w:tcMar>
            <w:vAlign w:val="top"/>
          </w:tcPr>
          <w:p>
            <w:pPr>
              <w:spacing w:after="0" w:before="0" w:line="240"/>
            </w:pPr>
            <w:r>
              <w:rPr>
                <w:sz w:val="18"/>
                <w:szCs w:val="18"/>
              </w:rPr>
              <w:t xml:space="preserve">Privacy impact assessment; Australian data residency; audit evidence</w:t>
            </w:r>
          </w:p>
        </w:tc>
      </w:tr>
      <w:tr>
        <w:trPr>
          <w:cantSplit/>
        </w:trPr>
        <w:tc>
          <w:tcPr>
            <w:tcW w:type="dxa" w:w="2900"/>
            <w:shd w:fill="F2F5F4" w:color="auto" w:val="clear"/>
            <w:tcMar>
              <w:top w:type="dxa" w:w="50"/>
              <w:left w:type="dxa" w:w="80"/>
              <w:bottom w:type="dxa" w:w="50"/>
              <w:right w:type="dxa" w:w="80"/>
            </w:tcMar>
            <w:vAlign w:val="top"/>
          </w:tcPr>
          <w:p>
            <w:pPr>
              <w:spacing w:after="0" w:before="0" w:line="240"/>
            </w:pPr>
            <w:r>
              <w:rPr>
                <w:b/>
                <w:bCs/>
                <w:sz w:val="18"/>
                <w:szCs w:val="18"/>
              </w:rPr>
              <w:t xml:space="preserve">IAM platform vendor and implementation partner</w:t>
            </w:r>
          </w:p>
        </w:tc>
        <w:tc>
          <w:tcPr>
            <w:tcW w:type="dxa" w:w="2600"/>
            <w:shd w:fill="F2F5F4" w:color="auto" w:val="clear"/>
            <w:tcMar>
              <w:top w:type="dxa" w:w="50"/>
              <w:left w:type="dxa" w:w="80"/>
              <w:bottom w:type="dxa" w:w="50"/>
              <w:right w:type="dxa" w:w="80"/>
            </w:tcMar>
            <w:vAlign w:val="top"/>
          </w:tcPr>
          <w:p>
            <w:pPr>
              <w:spacing w:after="0" w:before="0" w:line="240"/>
            </w:pPr>
            <w:r>
              <w:rPr>
                <w:sz w:val="18"/>
                <w:szCs w:val="18"/>
              </w:rPr>
              <w:t xml:space="preserve">Deliver the contract on time</w:t>
            </w:r>
          </w:p>
        </w:tc>
        <w:tc>
          <w:tcPr>
            <w:tcW w:type="dxa" w:w="1000"/>
            <w:shd w:fill="F2F5F4" w:color="auto" w:val="clear"/>
            <w:tcMar>
              <w:top w:type="dxa" w:w="50"/>
              <w:left w:type="dxa" w:w="80"/>
              <w:bottom w:type="dxa" w:w="50"/>
              <w:right w:type="dxa" w:w="80"/>
            </w:tcMar>
            <w:vAlign w:val="top"/>
          </w:tcPr>
          <w:p>
            <w:pPr>
              <w:spacing w:after="0" w:before="0" w:line="240"/>
            </w:pPr>
            <w:r>
              <w:rPr>
                <w:sz w:val="18"/>
                <w:szCs w:val="18"/>
              </w:rPr>
              <w:t xml:space="preserve">Medium</w:t>
            </w:r>
          </w:p>
        </w:tc>
        <w:tc>
          <w:tcPr>
            <w:tcW w:type="dxa" w:w="3138"/>
            <w:shd w:fill="F2F5F4" w:color="auto" w:val="clear"/>
            <w:tcMar>
              <w:top w:type="dxa" w:w="50"/>
              <w:left w:type="dxa" w:w="80"/>
              <w:bottom w:type="dxa" w:w="50"/>
              <w:right w:type="dxa" w:w="80"/>
            </w:tcMar>
            <w:vAlign w:val="top"/>
          </w:tcPr>
          <w:p>
            <w:pPr>
              <w:spacing w:after="0" w:before="0" w:line="240"/>
            </w:pPr>
            <w:r>
              <w:rPr>
                <w:sz w:val="18"/>
                <w:szCs w:val="18"/>
              </w:rPr>
              <w:t xml:space="preserve">Clear requirements; quick decisions; system access</w:t>
            </w:r>
          </w:p>
        </w:tc>
      </w:tr>
      <w:tr>
        <w:trPr>
          <w:cantSplit/>
        </w:trPr>
        <w:tc>
          <w:tcPr>
            <w:tcW w:type="dxa" w:w="2900"/>
            <w:shd w:fill="FFFFFF" w:color="auto" w:val="clear"/>
            <w:tcMar>
              <w:top w:type="dxa" w:w="50"/>
              <w:left w:type="dxa" w:w="80"/>
              <w:bottom w:type="dxa" w:w="50"/>
              <w:right w:type="dxa" w:w="80"/>
            </w:tcMar>
            <w:vAlign w:val="top"/>
          </w:tcPr>
          <w:p>
            <w:pPr>
              <w:spacing w:after="0" w:before="0" w:line="240"/>
            </w:pPr>
            <w:r>
              <w:rPr>
                <w:b/>
                <w:bCs/>
                <w:sz w:val="18"/>
                <w:szCs w:val="18"/>
              </w:rPr>
              <w:t xml:space="preserve">Application owners (EMR, PAS, payroll, finance and others)</w:t>
            </w:r>
          </w:p>
        </w:tc>
        <w:tc>
          <w:tcPr>
            <w:tcW w:type="dxa" w:w="2600"/>
            <w:shd w:fill="FFFFFF" w:color="auto" w:val="clear"/>
            <w:tcMar>
              <w:top w:type="dxa" w:w="50"/>
              <w:left w:type="dxa" w:w="80"/>
              <w:bottom w:type="dxa" w:w="50"/>
              <w:right w:type="dxa" w:w="80"/>
            </w:tcMar>
            <w:vAlign w:val="top"/>
          </w:tcPr>
          <w:p>
            <w:pPr>
              <w:spacing w:after="0" w:before="0" w:line="240"/>
            </w:pPr>
            <w:r>
              <w:rPr>
                <w:sz w:val="18"/>
                <w:szCs w:val="18"/>
              </w:rPr>
              <w:t xml:space="preserve">Integration without breaking their systems</w:t>
            </w:r>
          </w:p>
        </w:tc>
        <w:tc>
          <w:tcPr>
            <w:tcW w:type="dxa" w:w="1000"/>
            <w:shd w:fill="FFFFFF" w:color="auto" w:val="clear"/>
            <w:tcMar>
              <w:top w:type="dxa" w:w="50"/>
              <w:left w:type="dxa" w:w="80"/>
              <w:bottom w:type="dxa" w:w="50"/>
              <w:right w:type="dxa" w:w="80"/>
            </w:tcMar>
            <w:vAlign w:val="top"/>
          </w:tcPr>
          <w:p>
            <w:pPr>
              <w:spacing w:after="0" w:before="0" w:line="240"/>
            </w:pPr>
            <w:r>
              <w:rPr>
                <w:sz w:val="18"/>
                <w:szCs w:val="18"/>
              </w:rPr>
              <w:t xml:space="preserve">Medium</w:t>
            </w:r>
          </w:p>
        </w:tc>
        <w:tc>
          <w:tcPr>
            <w:tcW w:type="dxa" w:w="3138"/>
            <w:shd w:fill="FFFFFF" w:color="auto" w:val="clear"/>
            <w:tcMar>
              <w:top w:type="dxa" w:w="50"/>
              <w:left w:type="dxa" w:w="80"/>
              <w:bottom w:type="dxa" w:w="50"/>
              <w:right w:type="dxa" w:w="80"/>
            </w:tcMar>
            <w:vAlign w:val="top"/>
          </w:tcPr>
          <w:p>
            <w:pPr>
              <w:spacing w:after="0" w:before="0" w:line="240"/>
            </w:pPr>
            <w:r>
              <w:rPr>
                <w:sz w:val="18"/>
                <w:szCs w:val="18"/>
              </w:rPr>
              <w:t xml:space="preserve">Test windows; cut-over and rollback plans</w:t>
            </w:r>
          </w:p>
        </w:tc>
      </w:tr>
    </w:tbl>
    <w:p>
      <w:pPr>
        <w:pStyle w:val="Heading2"/>
      </w:pPr>
      <w:r>
        <w:t xml:space="preserve">4.4 Project team</w:t>
      </w:r>
    </w:p>
    <w:p>
      <w:pPr>
        <w:pStyle w:val="Caption"/>
        <w:keepNext/>
        <w:spacing w:after="80" w:before="200"/>
      </w:pPr>
      <w:r>
        <w:rPr>
          <w:b/>
          <w:bCs/>
        </w:rPr>
        <w:t xml:space="preserve">Table 6. </w:t>
      </w:r>
      <w:r>
        <w:t xml:space="preserve">Project team roles and responsibilities</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100"/>
        <w:gridCol w:w="2300"/>
        <w:gridCol w:w="5238"/>
      </w:tblGrid>
      <w:tr>
        <w:trPr>
          <w:cantSplit/>
          <w:tblHeader/>
        </w:trPr>
        <w:tc>
          <w:tcPr>
            <w:tcW w:type="dxa" w:w="21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Name</w:t>
            </w:r>
          </w:p>
        </w:tc>
        <w:tc>
          <w:tcPr>
            <w:tcW w:type="dxa" w:w="23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Project role</w:t>
            </w:r>
          </w:p>
        </w:tc>
        <w:tc>
          <w:tcPr>
            <w:tcW w:type="dxa" w:w="5238"/>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Responsibilities</w:t>
            </w:r>
          </w:p>
        </w:tc>
      </w:tr>
      <w:tr>
        <w:trPr>
          <w:cantSplit/>
        </w:trPr>
        <w:tc>
          <w:tcPr>
            <w:tcW w:type="dxa" w:w="2100"/>
            <w:shd w:fill="FFFFFF" w:color="auto" w:val="clear"/>
            <w:tcMar>
              <w:top w:type="dxa" w:w="50"/>
              <w:left w:type="dxa" w:w="80"/>
              <w:bottom w:type="dxa" w:w="50"/>
              <w:right w:type="dxa" w:w="80"/>
            </w:tcMar>
            <w:vAlign w:val="top"/>
          </w:tcPr>
          <w:p>
            <w:pPr>
              <w:spacing w:after="0" w:before="0" w:line="240"/>
            </w:pPr>
            <w:r>
              <w:rPr>
                <w:b/>
                <w:bCs/>
                <w:sz w:val="18"/>
                <w:szCs w:val="18"/>
              </w:rPr>
              <w:t xml:space="preserve">Toufiq Ahmed Joy</w:t>
            </w:r>
          </w:p>
        </w:tc>
        <w:tc>
          <w:tcPr>
            <w:tcW w:type="dxa" w:w="2300"/>
            <w:shd w:fill="FFFFFF" w:color="auto" w:val="clear"/>
            <w:tcMar>
              <w:top w:type="dxa" w:w="50"/>
              <w:left w:type="dxa" w:w="80"/>
              <w:bottom w:type="dxa" w:w="50"/>
              <w:right w:type="dxa" w:w="80"/>
            </w:tcMar>
            <w:vAlign w:val="top"/>
          </w:tcPr>
          <w:p>
            <w:pPr>
              <w:spacing w:after="0" w:before="0" w:line="240"/>
            </w:pPr>
            <w:r>
              <w:rPr>
                <w:sz w:val="18"/>
                <w:szCs w:val="18"/>
              </w:rPr>
              <w:t xml:space="preserve">Project Manager (team lead)</w:t>
            </w:r>
          </w:p>
        </w:tc>
        <w:tc>
          <w:tcPr>
            <w:tcW w:type="dxa" w:w="5238"/>
            <w:shd w:fill="FFFFFF" w:color="auto" w:val="clear"/>
            <w:tcMar>
              <w:top w:type="dxa" w:w="50"/>
              <w:left w:type="dxa" w:w="80"/>
              <w:bottom w:type="dxa" w:w="50"/>
              <w:right w:type="dxa" w:w="80"/>
            </w:tcMar>
            <w:vAlign w:val="top"/>
          </w:tcPr>
          <w:p>
            <w:pPr>
              <w:spacing w:after="0" w:before="0" w:line="240"/>
            </w:pPr>
            <w:r>
              <w:rPr>
                <w:sz w:val="18"/>
                <w:szCs w:val="18"/>
              </w:rPr>
              <w:t xml:space="preserve">Leads planning and delivery; owns the charter, scope, WBS, schedule and risk register; reports to the sponsor; presents change requests to the CCB</w:t>
            </w:r>
          </w:p>
        </w:tc>
      </w:tr>
      <w:tr>
        <w:trPr>
          <w:cantSplit/>
        </w:trPr>
        <w:tc>
          <w:tcPr>
            <w:tcW w:type="dxa" w:w="2100"/>
            <w:shd w:fill="F2F5F4" w:color="auto" w:val="clear"/>
            <w:tcMar>
              <w:top w:type="dxa" w:w="50"/>
              <w:left w:type="dxa" w:w="80"/>
              <w:bottom w:type="dxa" w:w="50"/>
              <w:right w:type="dxa" w:w="80"/>
            </w:tcMar>
            <w:vAlign w:val="top"/>
          </w:tcPr>
          <w:p>
            <w:pPr>
              <w:spacing w:after="0" w:before="0" w:line="240"/>
            </w:pPr>
            <w:r>
              <w:rPr>
                <w:b/>
                <w:bCs/>
                <w:sz w:val="18"/>
                <w:szCs w:val="18"/>
              </w:rPr>
              <w:t xml:space="preserve">Kritika Bhattarai</w:t>
            </w:r>
          </w:p>
        </w:tc>
        <w:tc>
          <w:tcPr>
            <w:tcW w:type="dxa" w:w="2300"/>
            <w:shd w:fill="F2F5F4" w:color="auto" w:val="clear"/>
            <w:tcMar>
              <w:top w:type="dxa" w:w="50"/>
              <w:left w:type="dxa" w:w="80"/>
              <w:bottom w:type="dxa" w:w="50"/>
              <w:right w:type="dxa" w:w="80"/>
            </w:tcMar>
            <w:vAlign w:val="top"/>
          </w:tcPr>
          <w:p>
            <w:pPr>
              <w:spacing w:after="0" w:before="0" w:line="240"/>
            </w:pPr>
            <w:r>
              <w:rPr>
                <w:sz w:val="18"/>
                <w:szCs w:val="18"/>
              </w:rPr>
              <w:t xml:space="preserve">Resource and Communications Manager</w:t>
            </w:r>
          </w:p>
        </w:tc>
        <w:tc>
          <w:tcPr>
            <w:tcW w:type="dxa" w:w="5238"/>
            <w:shd w:fill="F2F5F4" w:color="auto" w:val="clear"/>
            <w:tcMar>
              <w:top w:type="dxa" w:w="50"/>
              <w:left w:type="dxa" w:w="80"/>
              <w:bottom w:type="dxa" w:w="50"/>
              <w:right w:type="dxa" w:w="80"/>
            </w:tcMar>
            <w:vAlign w:val="top"/>
          </w:tcPr>
          <w:p>
            <w:pPr>
              <w:spacing w:after="0" w:before="0" w:line="240"/>
            </w:pPr>
            <w:r>
              <w:rPr>
                <w:sz w:val="18"/>
                <w:szCs w:val="18"/>
              </w:rPr>
              <w:t xml:space="preserve">Resource plan and RACI matrix; issue log; stakeholder communication, training and the clinical champions network</w:t>
            </w:r>
          </w:p>
        </w:tc>
      </w:tr>
      <w:tr>
        <w:trPr>
          <w:cantSplit/>
        </w:trPr>
        <w:tc>
          <w:tcPr>
            <w:tcW w:type="dxa" w:w="2100"/>
            <w:shd w:fill="FFFFFF" w:color="auto" w:val="clear"/>
            <w:tcMar>
              <w:top w:type="dxa" w:w="50"/>
              <w:left w:type="dxa" w:w="80"/>
              <w:bottom w:type="dxa" w:w="50"/>
              <w:right w:type="dxa" w:w="80"/>
            </w:tcMar>
            <w:vAlign w:val="top"/>
          </w:tcPr>
          <w:p>
            <w:pPr>
              <w:spacing w:after="0" w:before="0" w:line="240"/>
            </w:pPr>
            <w:r>
              <w:rPr>
                <w:b/>
                <w:bCs/>
                <w:sz w:val="18"/>
                <w:szCs w:val="18"/>
              </w:rPr>
              <w:t xml:space="preserve">Fardin Rahman Tanvir</w:t>
            </w:r>
          </w:p>
        </w:tc>
        <w:tc>
          <w:tcPr>
            <w:tcW w:type="dxa" w:w="2300"/>
            <w:shd w:fill="FFFFFF" w:color="auto" w:val="clear"/>
            <w:tcMar>
              <w:top w:type="dxa" w:w="50"/>
              <w:left w:type="dxa" w:w="80"/>
              <w:bottom w:type="dxa" w:w="50"/>
              <w:right w:type="dxa" w:w="80"/>
            </w:tcMar>
            <w:vAlign w:val="top"/>
          </w:tcPr>
          <w:p>
            <w:pPr>
              <w:spacing w:after="0" w:before="0" w:line="240"/>
            </w:pPr>
            <w:r>
              <w:rPr>
                <w:sz w:val="18"/>
                <w:szCs w:val="18"/>
              </w:rPr>
              <w:t xml:space="preserve">Quality Assurance Lead</w:t>
            </w:r>
          </w:p>
        </w:tc>
        <w:tc>
          <w:tcPr>
            <w:tcW w:type="dxa" w:w="5238"/>
            <w:shd w:fill="FFFFFF" w:color="auto" w:val="clear"/>
            <w:tcMar>
              <w:top w:type="dxa" w:w="50"/>
              <w:left w:type="dxa" w:w="80"/>
              <w:bottom w:type="dxa" w:w="50"/>
              <w:right w:type="dxa" w:w="80"/>
            </w:tcMar>
            <w:vAlign w:val="top"/>
          </w:tcPr>
          <w:p>
            <w:pPr>
              <w:spacing w:after="0" w:before="0" w:line="240"/>
            </w:pPr>
            <w:r>
              <w:rPr>
                <w:sz w:val="18"/>
                <w:szCs w:val="18"/>
              </w:rPr>
              <w:t xml:space="preserve">Requirements traceability; test strategy, system and user acceptance testing; quality metrics and audits; research and references</w:t>
            </w:r>
          </w:p>
        </w:tc>
      </w:tr>
      <w:tr>
        <w:trPr>
          <w:cantSplit/>
        </w:trPr>
        <w:tc>
          <w:tcPr>
            <w:tcW w:type="dxa" w:w="2100"/>
            <w:shd w:fill="F2F5F4" w:color="auto" w:val="clear"/>
            <w:tcMar>
              <w:top w:type="dxa" w:w="50"/>
              <w:left w:type="dxa" w:w="80"/>
              <w:bottom w:type="dxa" w:w="50"/>
              <w:right w:type="dxa" w:w="80"/>
            </w:tcMar>
            <w:vAlign w:val="top"/>
          </w:tcPr>
          <w:p>
            <w:pPr>
              <w:spacing w:after="0" w:before="0" w:line="240"/>
            </w:pPr>
            <w:r>
              <w:rPr>
                <w:b/>
                <w:bCs/>
                <w:sz w:val="18"/>
                <w:szCs w:val="18"/>
              </w:rPr>
              <w:t xml:space="preserve">Ahmed Mahir Daiyan</w:t>
            </w:r>
          </w:p>
        </w:tc>
        <w:tc>
          <w:tcPr>
            <w:tcW w:type="dxa" w:w="2300"/>
            <w:shd w:fill="F2F5F4" w:color="auto" w:val="clear"/>
            <w:tcMar>
              <w:top w:type="dxa" w:w="50"/>
              <w:left w:type="dxa" w:w="80"/>
              <w:bottom w:type="dxa" w:w="50"/>
              <w:right w:type="dxa" w:w="80"/>
            </w:tcMar>
            <w:vAlign w:val="top"/>
          </w:tcPr>
          <w:p>
            <w:pPr>
              <w:spacing w:after="0" w:before="0" w:line="240"/>
            </w:pPr>
            <w:r>
              <w:rPr>
                <w:sz w:val="18"/>
                <w:szCs w:val="18"/>
              </w:rPr>
              <w:t xml:space="preserve">Change and Configuration Manager</w:t>
            </w:r>
          </w:p>
        </w:tc>
        <w:tc>
          <w:tcPr>
            <w:tcW w:type="dxa" w:w="5238"/>
            <w:shd w:fill="F2F5F4" w:color="auto" w:val="clear"/>
            <w:tcMar>
              <w:top w:type="dxa" w:w="50"/>
              <w:left w:type="dxa" w:w="80"/>
              <w:bottom w:type="dxa" w:w="50"/>
              <w:right w:type="dxa" w:w="80"/>
            </w:tcMar>
            <w:vAlign w:val="top"/>
          </w:tcPr>
          <w:p>
            <w:pPr>
              <w:spacing w:after="0" w:before="0" w:line="240"/>
            </w:pPr>
            <w:r>
              <w:rPr>
                <w:sz w:val="18"/>
                <w:szCs w:val="18"/>
              </w:rPr>
              <w:t xml:space="preserve">Change control (CCB secretary); GitHub configuration management; pilot and rollout coordination; handover to operations</w:t>
            </w:r>
          </w:p>
        </w:tc>
      </w:tr>
    </w:tbl>
    <w:p>
      <w:pPr>
        <w:spacing w:before="120"/>
      </w:pPr>
      <w:r>
        <w:t xml:space="preserve">Other project roles (IAM Architect, implementation partner, HR systems analyst, Privacy Officer and service desk) are allocated in Section 7.</w:t>
      </w:r>
    </w:p>
    <w:p>
      <w:pPr>
        <w:pStyle w:val="Heading2"/>
      </w:pPr>
      <w:r>
        <w:t xml:space="preserve">4.5 Milestones and gates</w:t>
      </w:r>
    </w:p>
    <w:p>
      <w:pPr>
        <w:pStyle w:val="Caption"/>
        <w:keepNext/>
        <w:spacing w:after="80" w:before="200"/>
      </w:pPr>
      <w:r>
        <w:rPr>
          <w:b/>
          <w:bCs/>
        </w:rPr>
        <w:t xml:space="preserve">Table 7. </w:t>
      </w:r>
      <w:r>
        <w:t xml:space="preserve">Milestones (dates match the Gantt chart in Section 6)</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600"/>
        <w:gridCol w:w="2900"/>
        <w:gridCol w:w="1500"/>
        <w:gridCol w:w="4638"/>
      </w:tblGrid>
      <w:tr>
        <w:trPr>
          <w:cantSplit/>
          <w:tblHeader/>
        </w:trPr>
        <w:tc>
          <w:tcPr>
            <w:tcW w:type="dxa" w:w="6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ID</w:t>
            </w:r>
          </w:p>
        </w:tc>
        <w:tc>
          <w:tcPr>
            <w:tcW w:type="dxa" w:w="29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Milestone</w:t>
            </w:r>
          </w:p>
        </w:tc>
        <w:tc>
          <w:tcPr>
            <w:tcW w:type="dxa" w:w="15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Date</w:t>
            </w:r>
          </w:p>
        </w:tc>
        <w:tc>
          <w:tcPr>
            <w:tcW w:type="dxa" w:w="4638"/>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Exit criteria (approved by sponsor)</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b/>
                <w:bCs/>
                <w:sz w:val="18"/>
                <w:szCs w:val="18"/>
              </w:rPr>
              <w:t xml:space="preserve">M1</w:t>
            </w:r>
          </w:p>
        </w:tc>
        <w:tc>
          <w:tcPr>
            <w:tcW w:type="dxa" w:w="2900"/>
            <w:shd w:fill="FFFFFF" w:color="auto" w:val="clear"/>
            <w:tcMar>
              <w:top w:type="dxa" w:w="50"/>
              <w:left w:type="dxa" w:w="80"/>
              <w:bottom w:type="dxa" w:w="50"/>
              <w:right w:type="dxa" w:w="80"/>
            </w:tcMar>
            <w:vAlign w:val="top"/>
          </w:tcPr>
          <w:p>
            <w:pPr>
              <w:spacing w:after="0" w:before="0" w:line="240"/>
            </w:pPr>
            <w:r>
              <w:rPr>
                <w:sz w:val="18"/>
                <w:szCs w:val="18"/>
              </w:rPr>
              <w:t xml:space="preserve">Charter approved</w:t>
            </w:r>
          </w:p>
        </w:tc>
        <w:tc>
          <w:tcPr>
            <w:tcW w:type="dxa" w:w="1500"/>
            <w:shd w:fill="FFFFFF" w:color="auto" w:val="clear"/>
            <w:tcMar>
              <w:top w:type="dxa" w:w="50"/>
              <w:left w:type="dxa" w:w="80"/>
              <w:bottom w:type="dxa" w:w="50"/>
              <w:right w:type="dxa" w:w="80"/>
            </w:tcMar>
            <w:vAlign w:val="top"/>
          </w:tcPr>
          <w:p>
            <w:pPr>
              <w:spacing w:after="0" w:before="0" w:line="240"/>
            </w:pPr>
            <w:r>
              <w:rPr>
                <w:sz w:val="18"/>
                <w:szCs w:val="18"/>
              </w:rPr>
              <w:t xml:space="preserve">6 Nov 2026</w:t>
            </w:r>
          </w:p>
        </w:tc>
        <w:tc>
          <w:tcPr>
            <w:tcW w:type="dxa" w:w="4638"/>
            <w:shd w:fill="FFFFFF" w:color="auto" w:val="clear"/>
            <w:tcMar>
              <w:top w:type="dxa" w:w="50"/>
              <w:left w:type="dxa" w:w="80"/>
              <w:bottom w:type="dxa" w:w="50"/>
              <w:right w:type="dxa" w:w="80"/>
            </w:tcMar>
            <w:vAlign w:val="top"/>
          </w:tcPr>
          <w:p>
            <w:pPr>
              <w:spacing w:after="0" w:before="0" w:line="240"/>
            </w:pPr>
            <w:r>
              <w:rPr>
                <w:sz w:val="18"/>
                <w:szCs w:val="18"/>
              </w:rPr>
              <w:t xml:space="preserve">Charter signed</w:t>
            </w:r>
          </w:p>
        </w:tc>
      </w:tr>
      <w:tr>
        <w:trPr>
          <w:cantSplit/>
        </w:trPr>
        <w:tc>
          <w:tcPr>
            <w:tcW w:type="dxa" w:w="600"/>
            <w:shd w:fill="F2F5F4" w:color="auto" w:val="clear"/>
            <w:tcMar>
              <w:top w:type="dxa" w:w="50"/>
              <w:left w:type="dxa" w:w="80"/>
              <w:bottom w:type="dxa" w:w="50"/>
              <w:right w:type="dxa" w:w="80"/>
            </w:tcMar>
            <w:vAlign w:val="top"/>
          </w:tcPr>
          <w:p>
            <w:pPr>
              <w:spacing w:after="0" w:before="0" w:line="240"/>
            </w:pPr>
            <w:r>
              <w:rPr>
                <w:b/>
                <w:bCs/>
                <w:sz w:val="18"/>
                <w:szCs w:val="18"/>
              </w:rPr>
              <w:t xml:space="preserve">M2</w:t>
            </w:r>
          </w:p>
        </w:tc>
        <w:tc>
          <w:tcPr>
            <w:tcW w:type="dxa" w:w="2900"/>
            <w:shd w:fill="F2F5F4" w:color="auto" w:val="clear"/>
            <w:tcMar>
              <w:top w:type="dxa" w:w="50"/>
              <w:left w:type="dxa" w:w="80"/>
              <w:bottom w:type="dxa" w:w="50"/>
              <w:right w:type="dxa" w:w="80"/>
            </w:tcMar>
            <w:vAlign w:val="top"/>
          </w:tcPr>
          <w:p>
            <w:pPr>
              <w:spacing w:after="0" w:before="0" w:line="240"/>
            </w:pPr>
            <w:r>
              <w:rPr>
                <w:sz w:val="18"/>
                <w:szCs w:val="18"/>
              </w:rPr>
              <w:t xml:space="preserve">Plan baselined (Gate 1)</w:t>
            </w:r>
          </w:p>
        </w:tc>
        <w:tc>
          <w:tcPr>
            <w:tcW w:type="dxa" w:w="1500"/>
            <w:shd w:fill="F2F5F4" w:color="auto" w:val="clear"/>
            <w:tcMar>
              <w:top w:type="dxa" w:w="50"/>
              <w:left w:type="dxa" w:w="80"/>
              <w:bottom w:type="dxa" w:w="50"/>
              <w:right w:type="dxa" w:w="80"/>
            </w:tcMar>
            <w:vAlign w:val="top"/>
          </w:tcPr>
          <w:p>
            <w:pPr>
              <w:spacing w:after="0" w:before="0" w:line="240"/>
            </w:pPr>
            <w:r>
              <w:rPr>
                <w:sz w:val="18"/>
                <w:szCs w:val="18"/>
              </w:rPr>
              <w:t xml:space="preserve">24 Nov 2026</w:t>
            </w:r>
          </w:p>
        </w:tc>
        <w:tc>
          <w:tcPr>
            <w:tcW w:type="dxa" w:w="4638"/>
            <w:shd w:fill="F2F5F4" w:color="auto" w:val="clear"/>
            <w:tcMar>
              <w:top w:type="dxa" w:w="50"/>
              <w:left w:type="dxa" w:w="80"/>
              <w:bottom w:type="dxa" w:w="50"/>
              <w:right w:type="dxa" w:w="80"/>
            </w:tcMar>
            <w:vAlign w:val="top"/>
          </w:tcPr>
          <w:p>
            <w:pPr>
              <w:spacing w:after="0" w:before="0" w:line="240"/>
            </w:pPr>
            <w:r>
              <w:rPr>
                <w:sz w:val="18"/>
                <w:szCs w:val="18"/>
              </w:rPr>
              <w:t xml:space="preserve">Plan, schedule and cost baselines approved</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b/>
                <w:bCs/>
                <w:sz w:val="18"/>
                <w:szCs w:val="18"/>
              </w:rPr>
              <w:t xml:space="preserve">M3</w:t>
            </w:r>
          </w:p>
        </w:tc>
        <w:tc>
          <w:tcPr>
            <w:tcW w:type="dxa" w:w="2900"/>
            <w:shd w:fill="FFFFFF" w:color="auto" w:val="clear"/>
            <w:tcMar>
              <w:top w:type="dxa" w:w="50"/>
              <w:left w:type="dxa" w:w="80"/>
              <w:bottom w:type="dxa" w:w="50"/>
              <w:right w:type="dxa" w:w="80"/>
            </w:tcMar>
            <w:vAlign w:val="top"/>
          </w:tcPr>
          <w:p>
            <w:pPr>
              <w:spacing w:after="0" w:before="0" w:line="240"/>
            </w:pPr>
            <w:r>
              <w:rPr>
                <w:sz w:val="18"/>
                <w:szCs w:val="18"/>
              </w:rPr>
              <w:t xml:space="preserve">Platform contract signed</w:t>
            </w:r>
          </w:p>
        </w:tc>
        <w:tc>
          <w:tcPr>
            <w:tcW w:type="dxa" w:w="1500"/>
            <w:shd w:fill="FFFFFF" w:color="auto" w:val="clear"/>
            <w:tcMar>
              <w:top w:type="dxa" w:w="50"/>
              <w:left w:type="dxa" w:w="80"/>
              <w:bottom w:type="dxa" w:w="50"/>
              <w:right w:type="dxa" w:w="80"/>
            </w:tcMar>
            <w:vAlign w:val="top"/>
          </w:tcPr>
          <w:p>
            <w:pPr>
              <w:spacing w:after="0" w:before="0" w:line="240"/>
            </w:pPr>
            <w:r>
              <w:rPr>
                <w:sz w:val="18"/>
                <w:szCs w:val="18"/>
              </w:rPr>
              <w:t xml:space="preserve">23 Dec 2026</w:t>
            </w:r>
          </w:p>
        </w:tc>
        <w:tc>
          <w:tcPr>
            <w:tcW w:type="dxa" w:w="4638"/>
            <w:shd w:fill="FFFFFF" w:color="auto" w:val="clear"/>
            <w:tcMar>
              <w:top w:type="dxa" w:w="50"/>
              <w:left w:type="dxa" w:w="80"/>
              <w:bottom w:type="dxa" w:w="50"/>
              <w:right w:type="dxa" w:w="80"/>
            </w:tcMar>
            <w:vAlign w:val="top"/>
          </w:tcPr>
          <w:p>
            <w:pPr>
              <w:spacing w:after="0" w:before="0" w:line="240"/>
            </w:pPr>
            <w:r>
              <w:rPr>
                <w:sz w:val="18"/>
                <w:szCs w:val="18"/>
              </w:rPr>
              <w:t xml:space="preserve">Contract signed after privacy impact assessment</w:t>
            </w:r>
          </w:p>
        </w:tc>
      </w:tr>
      <w:tr>
        <w:trPr>
          <w:cantSplit/>
        </w:trPr>
        <w:tc>
          <w:tcPr>
            <w:tcW w:type="dxa" w:w="600"/>
            <w:shd w:fill="F2F5F4" w:color="auto" w:val="clear"/>
            <w:tcMar>
              <w:top w:type="dxa" w:w="50"/>
              <w:left w:type="dxa" w:w="80"/>
              <w:bottom w:type="dxa" w:w="50"/>
              <w:right w:type="dxa" w:w="80"/>
            </w:tcMar>
            <w:vAlign w:val="top"/>
          </w:tcPr>
          <w:p>
            <w:pPr>
              <w:spacing w:after="0" w:before="0" w:line="240"/>
            </w:pPr>
            <w:r>
              <w:rPr>
                <w:b/>
                <w:bCs/>
                <w:sz w:val="18"/>
                <w:szCs w:val="18"/>
              </w:rPr>
              <w:t xml:space="preserve">M4</w:t>
            </w:r>
          </w:p>
        </w:tc>
        <w:tc>
          <w:tcPr>
            <w:tcW w:type="dxa" w:w="2900"/>
            <w:shd w:fill="F2F5F4" w:color="auto" w:val="clear"/>
            <w:tcMar>
              <w:top w:type="dxa" w:w="50"/>
              <w:left w:type="dxa" w:w="80"/>
              <w:bottom w:type="dxa" w:w="50"/>
              <w:right w:type="dxa" w:w="80"/>
            </w:tcMar>
            <w:vAlign w:val="top"/>
          </w:tcPr>
          <w:p>
            <w:pPr>
              <w:spacing w:after="0" w:before="0" w:line="240"/>
            </w:pPr>
            <w:r>
              <w:rPr>
                <w:sz w:val="18"/>
                <w:szCs w:val="18"/>
              </w:rPr>
              <w:t xml:space="preserve">Design approved (Gate 2)</w:t>
            </w:r>
          </w:p>
        </w:tc>
        <w:tc>
          <w:tcPr>
            <w:tcW w:type="dxa" w:w="1500"/>
            <w:shd w:fill="F2F5F4" w:color="auto" w:val="clear"/>
            <w:tcMar>
              <w:top w:type="dxa" w:w="50"/>
              <w:left w:type="dxa" w:w="80"/>
              <w:bottom w:type="dxa" w:w="50"/>
              <w:right w:type="dxa" w:w="80"/>
            </w:tcMar>
            <w:vAlign w:val="top"/>
          </w:tcPr>
          <w:p>
            <w:pPr>
              <w:spacing w:after="0" w:before="0" w:line="240"/>
            </w:pPr>
            <w:r>
              <w:rPr>
                <w:sz w:val="18"/>
                <w:szCs w:val="18"/>
              </w:rPr>
              <w:t xml:space="preserve">15 Jan 2027</w:t>
            </w:r>
          </w:p>
        </w:tc>
        <w:tc>
          <w:tcPr>
            <w:tcW w:type="dxa" w:w="4638"/>
            <w:shd w:fill="F2F5F4" w:color="auto" w:val="clear"/>
            <w:tcMar>
              <w:top w:type="dxa" w:w="50"/>
              <w:left w:type="dxa" w:w="80"/>
              <w:bottom w:type="dxa" w:w="50"/>
              <w:right w:type="dxa" w:w="80"/>
            </w:tcMar>
            <w:vAlign w:val="top"/>
          </w:tcPr>
          <w:p>
            <w:pPr>
              <w:spacing w:after="0" w:before="0" w:line="240"/>
            </w:pPr>
            <w:r>
              <w:rPr>
                <w:sz w:val="18"/>
                <w:szCs w:val="18"/>
              </w:rPr>
              <w:t xml:space="preserve">Design, role model and privacy impact assessment approved</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b/>
                <w:bCs/>
                <w:sz w:val="18"/>
                <w:szCs w:val="18"/>
              </w:rPr>
              <w:t xml:space="preserve">M5</w:t>
            </w:r>
          </w:p>
        </w:tc>
        <w:tc>
          <w:tcPr>
            <w:tcW w:type="dxa" w:w="2900"/>
            <w:shd w:fill="FFFFFF" w:color="auto" w:val="clear"/>
            <w:tcMar>
              <w:top w:type="dxa" w:w="50"/>
              <w:left w:type="dxa" w:w="80"/>
              <w:bottom w:type="dxa" w:w="50"/>
              <w:right w:type="dxa" w:w="80"/>
            </w:tcMar>
            <w:vAlign w:val="top"/>
          </w:tcPr>
          <w:p>
            <w:pPr>
              <w:spacing w:after="0" w:before="0" w:line="240"/>
            </w:pPr>
            <w:r>
              <w:rPr>
                <w:sz w:val="18"/>
                <w:szCs w:val="18"/>
              </w:rPr>
              <w:t xml:space="preserve">Go-live readiness (Gate 3)</w:t>
            </w:r>
          </w:p>
        </w:tc>
        <w:tc>
          <w:tcPr>
            <w:tcW w:type="dxa" w:w="1500"/>
            <w:shd w:fill="FFFFFF" w:color="auto" w:val="clear"/>
            <w:tcMar>
              <w:top w:type="dxa" w:w="50"/>
              <w:left w:type="dxa" w:w="80"/>
              <w:bottom w:type="dxa" w:w="50"/>
              <w:right w:type="dxa" w:w="80"/>
            </w:tcMar>
            <w:vAlign w:val="top"/>
          </w:tcPr>
          <w:p>
            <w:pPr>
              <w:spacing w:after="0" w:before="0" w:line="240"/>
            </w:pPr>
            <w:r>
              <w:rPr>
                <w:sz w:val="18"/>
                <w:szCs w:val="18"/>
              </w:rPr>
              <w:t xml:space="preserve">29 Apr 2027</w:t>
            </w:r>
          </w:p>
        </w:tc>
        <w:tc>
          <w:tcPr>
            <w:tcW w:type="dxa" w:w="4638"/>
            <w:shd w:fill="FFFFFF" w:color="auto" w:val="clear"/>
            <w:tcMar>
              <w:top w:type="dxa" w:w="50"/>
              <w:left w:type="dxa" w:w="80"/>
              <w:bottom w:type="dxa" w:w="50"/>
              <w:right w:type="dxa" w:w="80"/>
            </w:tcMar>
            <w:vAlign w:val="top"/>
          </w:tcPr>
          <w:p>
            <w:pPr>
              <w:spacing w:after="0" w:before="0" w:line="240"/>
            </w:pPr>
            <w:r>
              <w:rPr>
                <w:sz w:val="18"/>
                <w:szCs w:val="18"/>
              </w:rPr>
              <w:t xml:space="preserve">Testing passed; no open severity 1–2 defects; high or critical penetration-test findings fixed</w:t>
            </w:r>
          </w:p>
        </w:tc>
      </w:tr>
      <w:tr>
        <w:trPr>
          <w:cantSplit/>
        </w:trPr>
        <w:tc>
          <w:tcPr>
            <w:tcW w:type="dxa" w:w="600"/>
            <w:shd w:fill="F2F5F4" w:color="auto" w:val="clear"/>
            <w:tcMar>
              <w:top w:type="dxa" w:w="50"/>
              <w:left w:type="dxa" w:w="80"/>
              <w:bottom w:type="dxa" w:w="50"/>
              <w:right w:type="dxa" w:w="80"/>
            </w:tcMar>
            <w:vAlign w:val="top"/>
          </w:tcPr>
          <w:p>
            <w:pPr>
              <w:spacing w:after="0" w:before="0" w:line="240"/>
            </w:pPr>
            <w:r>
              <w:rPr>
                <w:b/>
                <w:bCs/>
                <w:sz w:val="18"/>
                <w:szCs w:val="18"/>
              </w:rPr>
              <w:t xml:space="preserve">M6</w:t>
            </w:r>
          </w:p>
        </w:tc>
        <w:tc>
          <w:tcPr>
            <w:tcW w:type="dxa" w:w="2900"/>
            <w:shd w:fill="F2F5F4" w:color="auto" w:val="clear"/>
            <w:tcMar>
              <w:top w:type="dxa" w:w="50"/>
              <w:left w:type="dxa" w:w="80"/>
              <w:bottom w:type="dxa" w:w="50"/>
              <w:right w:type="dxa" w:w="80"/>
            </w:tcMar>
            <w:vAlign w:val="top"/>
          </w:tcPr>
          <w:p>
            <w:pPr>
              <w:spacing w:after="0" w:before="0" w:line="240"/>
            </w:pPr>
            <w:r>
              <w:rPr>
                <w:sz w:val="18"/>
                <w:szCs w:val="18"/>
              </w:rPr>
              <w:t xml:space="preserve">Go-live complete</w:t>
            </w:r>
          </w:p>
        </w:tc>
        <w:tc>
          <w:tcPr>
            <w:tcW w:type="dxa" w:w="1500"/>
            <w:shd w:fill="F2F5F4" w:color="auto" w:val="clear"/>
            <w:tcMar>
              <w:top w:type="dxa" w:w="50"/>
              <w:left w:type="dxa" w:w="80"/>
              <w:bottom w:type="dxa" w:w="50"/>
              <w:right w:type="dxa" w:w="80"/>
            </w:tcMar>
            <w:vAlign w:val="top"/>
          </w:tcPr>
          <w:p>
            <w:pPr>
              <w:spacing w:after="0" w:before="0" w:line="240"/>
            </w:pPr>
            <w:r>
              <w:rPr>
                <w:sz w:val="18"/>
                <w:szCs w:val="18"/>
              </w:rPr>
              <w:t xml:space="preserve">16 Jun 2027</w:t>
            </w:r>
          </w:p>
        </w:tc>
        <w:tc>
          <w:tcPr>
            <w:tcW w:type="dxa" w:w="4638"/>
            <w:shd w:fill="F2F5F4" w:color="auto" w:val="clear"/>
            <w:tcMar>
              <w:top w:type="dxa" w:w="50"/>
              <w:left w:type="dxa" w:w="80"/>
              <w:bottom w:type="dxa" w:w="50"/>
              <w:right w:type="dxa" w:w="80"/>
            </w:tcMar>
            <w:vAlign w:val="top"/>
          </w:tcPr>
          <w:p>
            <w:pPr>
              <w:spacing w:after="0" w:before="0" w:line="240"/>
            </w:pPr>
            <w:r>
              <w:rPr>
                <w:sz w:val="18"/>
                <w:szCs w:val="18"/>
              </w:rPr>
              <w:t xml:space="preserve">All 9 sites live; MFA enforced for all users</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b/>
                <w:bCs/>
                <w:sz w:val="18"/>
                <w:szCs w:val="18"/>
              </w:rPr>
              <w:t xml:space="preserve">M7</w:t>
            </w:r>
          </w:p>
        </w:tc>
        <w:tc>
          <w:tcPr>
            <w:tcW w:type="dxa" w:w="2900"/>
            <w:shd w:fill="FFFFFF" w:color="auto" w:val="clear"/>
            <w:tcMar>
              <w:top w:type="dxa" w:w="50"/>
              <w:left w:type="dxa" w:w="80"/>
              <w:bottom w:type="dxa" w:w="50"/>
              <w:right w:type="dxa" w:w="80"/>
            </w:tcMar>
            <w:vAlign w:val="top"/>
          </w:tcPr>
          <w:p>
            <w:pPr>
              <w:spacing w:after="0" w:before="0" w:line="240"/>
            </w:pPr>
            <w:r>
              <w:rPr>
                <w:sz w:val="18"/>
                <w:szCs w:val="18"/>
              </w:rPr>
              <w:t xml:space="preserve">Project closed</w:t>
            </w:r>
          </w:p>
        </w:tc>
        <w:tc>
          <w:tcPr>
            <w:tcW w:type="dxa" w:w="1500"/>
            <w:shd w:fill="FFFFFF" w:color="auto" w:val="clear"/>
            <w:tcMar>
              <w:top w:type="dxa" w:w="50"/>
              <w:left w:type="dxa" w:w="80"/>
              <w:bottom w:type="dxa" w:w="50"/>
              <w:right w:type="dxa" w:w="80"/>
            </w:tcMar>
            <w:vAlign w:val="top"/>
          </w:tcPr>
          <w:p>
            <w:pPr>
              <w:spacing w:after="0" w:before="0" w:line="240"/>
            </w:pPr>
            <w:r>
              <w:rPr>
                <w:sz w:val="18"/>
                <w:szCs w:val="18"/>
              </w:rPr>
              <w:t xml:space="preserve">28 Jul 2027</w:t>
            </w:r>
          </w:p>
        </w:tc>
        <w:tc>
          <w:tcPr>
            <w:tcW w:type="dxa" w:w="4638"/>
            <w:shd w:fill="FFFFFF" w:color="auto" w:val="clear"/>
            <w:tcMar>
              <w:top w:type="dxa" w:w="50"/>
              <w:left w:type="dxa" w:w="80"/>
              <w:bottom w:type="dxa" w:w="50"/>
              <w:right w:type="dxa" w:w="80"/>
            </w:tcMar>
            <w:vAlign w:val="top"/>
          </w:tcPr>
          <w:p>
            <w:pPr>
              <w:spacing w:after="0" w:before="0" w:line="240"/>
            </w:pPr>
            <w:r>
              <w:rPr>
                <w:sz w:val="18"/>
                <w:szCs w:val="18"/>
              </w:rPr>
              <w:t xml:space="preserve">Handover accepted; closure report signed</w:t>
            </w:r>
          </w:p>
        </w:tc>
      </w:tr>
    </w:tbl>
    <w:p>
      <w:pPr>
        <w:pStyle w:val="Heading1"/>
      </w:pPr>
      <w:r>
        <w:t xml:space="preserve">5. Work breakdown structure</w:t>
      </w:r>
    </w:p>
    <w:p>
      <w:pPr>
        <w:keepNext/>
        <w:spacing w:after="120"/>
      </w:pPr>
      <w:r>
        <w:rPr>
          <w:i/>
          <w:iCs/>
          <w:color w:val="5D666B"/>
          <w:sz w:val="18"/>
          <w:szCs w:val="18"/>
        </w:rPr>
        <w:t xml:space="preserve">Section owner: Toufiq Ahmed Joy</w:t>
      </w:r>
    </w:p>
    <w:p>
      <w:r>
        <w:t xml:space="preserve">Figure 1 shows the WBS. It has seven level-2 elements covering the whole life cycle, from planning to closure, with project management as its own branch.</w:t>
      </w:r>
    </w:p>
    <w:p>
      <w:pPr>
        <w:pStyle w:val="ListParagraph"/>
        <w:numPr>
          <w:ilvl w:val="0"/>
          <w:numId w:val="2"/>
        </w:numPr>
        <w:spacing w:after="60"/>
      </w:pPr>
      <w:r>
        <w:rPr>
          <w:b/>
          <w:bCs/>
        </w:rPr>
        <w:t xml:space="preserve">29 work packages.</w:t>
      </w:r>
      <w:r>
        <w:t xml:space="preserve"> Each produces one deliverable, has one owner and appears on the Gantt chart under the same code.</w:t>
      </w:r>
    </w:p>
    <w:p>
      <w:pPr>
        <w:pStyle w:val="ListParagraph"/>
        <w:numPr>
          <w:ilvl w:val="0"/>
          <w:numId w:val="2"/>
        </w:numPr>
        <w:spacing w:after="60"/>
      </w:pPr>
      <w:r>
        <w:rPr>
          <w:b/>
          <w:bCs/>
        </w:rPr>
        <w:t xml:space="preserve">Size.</w:t>
      </w:r>
      <w:r>
        <w:t xml:space="preserve"> Each work package takes 4–20 working days, so progress can be reported weekly.</w:t>
      </w:r>
    </w:p>
    <w:p>
      <w:pPr>
        <w:pStyle w:val="ListParagraph"/>
        <w:numPr>
          <w:ilvl w:val="0"/>
          <w:numId w:val="2"/>
        </w:numPr>
        <w:spacing w:after="60"/>
      </w:pPr>
      <w:r>
        <w:rPr>
          <w:b/>
          <w:bCs/>
        </w:rPr>
        <w:t xml:space="preserve">Exception.</w:t>
      </w:r>
      <w:r>
        <w:t xml:space="preserve"> Package 1.1.4 covers ongoing monitoring and control from Gate 1 to the end of hypercare.</w:t>
      </w:r>
    </w:p>
    <w:p>
      <w:pPr>
        <w:pStyle w:val="ListParagraph"/>
        <w:numPr>
          <w:ilvl w:val="0"/>
          <w:numId w:val="2"/>
        </w:numPr>
        <w:spacing w:after="60"/>
      </w:pPr>
      <w:r>
        <w:rPr>
          <w:b/>
          <w:bCs/>
        </w:rPr>
        <w:t xml:space="preserve">Milestones.</w:t>
      </w:r>
      <w:r>
        <w:t xml:space="preserve"> M1–M7 are approval points with zero duration, not work packages.</w:t>
      </w:r>
    </w:p>
    <w:p>
      <w:pPr>
        <w:sectPr>
          <w:headerReference w:type="default" r:id="rId6"/>
          <w:footerReference w:type="default" r:id="rId7"/>
          <w:type w:val="nextPage"/>
          <w:pgSz w:w="11906" w:h="16838" w:orient="portrait"/>
          <w:pgMar w:top="1134" w:right="1134" w:bottom="1134" w:left="1134" w:header="567" w:footer="567" w:gutter="0"/>
          <w:pgNumType/>
          <w:docGrid w:linePitch="360"/>
        </w:sectPr>
      </w:pPr>
      <w:r>
        <w:t xml:space="preserve">A text version is in wbs/wbs.csv.</w:t>
      </w:r>
    </w:p>
    <w:p>
      <w:pPr>
        <w:keepNext/>
        <w:spacing w:after="0"/>
        <w:jc w:val="center"/>
      </w:pPr>
      <w:r>
        <w:drawing>
          <wp:inline distT="0" distB="0" distL="0" distR="0">
            <wp:extent cx="9710928" cy="4118961"/>
            <wp:effectExtent t="0" r="0" b="0" l="0"/>
            <wp:docPr id="1" name="Work breakdown structure" descr="Work breakdown structure" title="Work breakdow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710928" cy="4118961"/>
                    </a:xfrm>
                    <a:prstGeom prst="rect">
                      <a:avLst/>
                    </a:prstGeom>
                  </pic:spPr>
                </pic:pic>
              </a:graphicData>
            </a:graphic>
          </wp:inline>
        </w:drawing>
      </w:r>
    </w:p>
    <w:p>
      <w:pPr>
        <w:pStyle w:val="Caption"/>
        <w:spacing w:after="240" w:before="80"/>
        <w:sectPr>
          <w:headerReference w:type="default" r:id="rId8"/>
          <w:footerReference w:type="default" r:id="rId9"/>
          <w:type w:val="nextPage"/>
          <w:pgSz w:w="16838" w:h="11906" w:orient="landscape"/>
          <w:pgMar w:top="720" w:right="720" w:bottom="720" w:left="720" w:header="340" w:footer="340" w:gutter="0"/>
          <w:pgNumType/>
          <w:docGrid w:linePitch="360"/>
        </w:sectPr>
      </w:pPr>
      <w:r>
        <w:rPr>
          <w:b/>
          <w:bCs/>
        </w:rPr>
        <w:t xml:space="preserve">Figure 1. </w:t>
      </w:r>
      <w:r>
        <w:t xml:space="preserve">Work breakdown structure: 7 level-2 elements and 29 work packages</w:t>
      </w:r>
    </w:p>
    <w:p>
      <w:pPr>
        <w:pStyle w:val="Heading1"/>
      </w:pPr>
      <w:r>
        <w:t xml:space="preserve">6. Project schedule (Gantt chart)</w:t>
      </w:r>
    </w:p>
    <w:p>
      <w:pPr>
        <w:keepNext/>
        <w:spacing w:after="120"/>
      </w:pPr>
      <w:r>
        <w:rPr>
          <w:i/>
          <w:iCs/>
          <w:color w:val="5D666B"/>
          <w:sz w:val="18"/>
          <w:szCs w:val="18"/>
        </w:rPr>
        <w:t xml:space="preserve">Section owner: Toufiq Ahmed Joy</w:t>
      </w:r>
    </w:p>
    <w:p>
      <w:r>
        <w:t xml:space="preserve">The schedule was built from the WBS. It uses a five-day working week that leaves out NSW public holidays and CHG's Christmas shutdown (Appendix C), and durations are in working days.</w:t>
      </w:r>
    </w:p>
    <w:p>
      <w:r>
        <w:t xml:space="preserve">Figure 2 is the Gantt chart. It shows every work package, every dependency link and the seven milestones, with the critical path in red.</w:t>
      </w:r>
    </w:p>
    <w:p>
      <w:r>
        <w:t xml:space="preserve">The project starts on 2 November 2026, goes live on 16 June 2027 and closes on 28 July 2027. Go-live is before the board's 30 June target, and the close date matches the charter.</w:t>
      </w:r>
    </w:p>
    <w:p>
      <w:r>
        <w:rPr>
          <w:b/>
          <w:bCs/>
        </w:rPr>
        <w:t xml:space="preserve">Critical path.</w:t>
      </w:r>
      <w:r>
        <w:t xml:space="preserve"> The critical path is 182 working days long and runs through the following tasks:</w:t>
      </w:r>
    </w:p>
    <w:p>
      <w:pPr>
        <w:pStyle w:val="ListParagraph"/>
        <w:numPr>
          <w:ilvl w:val="0"/>
          <w:numId w:val="2"/>
        </w:numPr>
        <w:spacing w:after="60"/>
      </w:pPr>
      <w:r>
        <w:t xml:space="preserve">requirements and platform selection;</w:t>
      </w:r>
    </w:p>
    <w:p>
      <w:pPr>
        <w:pStyle w:val="ListParagraph"/>
        <w:numPr>
          <w:ilvl w:val="0"/>
          <w:numId w:val="2"/>
        </w:numPr>
        <w:spacing w:after="60"/>
      </w:pPr>
      <w:r>
        <w:t xml:space="preserve">solution design;</w:t>
      </w:r>
    </w:p>
    <w:p>
      <w:pPr>
        <w:pStyle w:val="ListParagraph"/>
        <w:numPr>
          <w:ilvl w:val="0"/>
          <w:numId w:val="2"/>
        </w:numPr>
        <w:spacing w:after="60"/>
      </w:pPr>
      <w:r>
        <w:t xml:space="preserve">MFA policies;</w:t>
      </w:r>
    </w:p>
    <w:p>
      <w:pPr>
        <w:pStyle w:val="ListParagraph"/>
        <w:numPr>
          <w:ilvl w:val="0"/>
          <w:numId w:val="2"/>
        </w:numPr>
        <w:spacing w:after="60"/>
      </w:pPr>
      <w:r>
        <w:t xml:space="preserve">the three SSO waves;</w:t>
      </w:r>
    </w:p>
    <w:p>
      <w:pPr>
        <w:pStyle w:val="ListParagraph"/>
        <w:numPr>
          <w:ilvl w:val="0"/>
          <w:numId w:val="2"/>
        </w:numPr>
        <w:spacing w:after="60"/>
      </w:pPr>
      <w:r>
        <w:t xml:space="preserve">system testing and user acceptance testing (UAT);</w:t>
      </w:r>
    </w:p>
    <w:p>
      <w:pPr>
        <w:pStyle w:val="ListParagraph"/>
        <w:numPr>
          <w:ilvl w:val="0"/>
          <w:numId w:val="2"/>
        </w:numPr>
        <w:spacing w:after="60"/>
      </w:pPr>
      <w:r>
        <w:t xml:space="preserve">the pilot, rollout, hypercare and closure.</w:t>
      </w:r>
    </w:p>
    <w:p>
      <w:r>
        <w:t xml:space="preserve">A delay to any of these delays the whole project. The two longest critical tasks are watched most closely: platform selection and SSO wave 2, which covers the EMR and PAS. Table 8 explains the key dependencies. Test preparation (1.5.1, 43 days) and training materials (1.6.1, 37 days) have the most float, so their staff can help critical tasks. Penetration testing has only 2 days of float, so it is managed as near-critical.</w:t>
      </w:r>
    </w:p>
    <w:p>
      <w:pPr>
        <w:pStyle w:val="Caption"/>
        <w:keepNext/>
        <w:spacing w:after="80" w:before="200"/>
      </w:pPr>
      <w:r>
        <w:rPr>
          <w:b/>
          <w:bCs/>
        </w:rPr>
        <w:t xml:space="preserve">Table 8. </w:t>
      </w:r>
      <w:r>
        <w:t xml:space="preserve">Key dependencies and why they exist</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3300"/>
        <w:gridCol w:w="1300"/>
        <w:gridCol w:w="5038"/>
      </w:tblGrid>
      <w:tr>
        <w:trPr>
          <w:cantSplit/>
          <w:tblHeader/>
        </w:trPr>
        <w:tc>
          <w:tcPr>
            <w:tcW w:type="dxa" w:w="33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Link</w:t>
            </w:r>
          </w:p>
        </w:tc>
        <w:tc>
          <w:tcPr>
            <w:tcW w:type="dxa" w:w="13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Type</w:t>
            </w:r>
          </w:p>
        </w:tc>
        <w:tc>
          <w:tcPr>
            <w:tcW w:type="dxa" w:w="50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Reason</w:t>
            </w:r>
          </w:p>
        </w:tc>
      </w:tr>
      <w:tr>
        <w:trPr>
          <w:cantSplit/>
        </w:trPr>
        <w:tc>
          <w:tcPr>
            <w:tcW w:type="dxa" w:w="3300"/>
            <w:shd w:fill="FFFFFF" w:color="auto" w:val="clear"/>
            <w:tcMar>
              <w:top w:type="dxa" w:w="50"/>
              <w:left w:type="dxa" w:w="80"/>
              <w:bottom w:type="dxa" w:w="50"/>
              <w:right w:type="dxa" w:w="80"/>
            </w:tcMar>
            <w:vAlign w:val="top"/>
          </w:tcPr>
          <w:p>
            <w:pPr>
              <w:spacing w:after="0" w:before="0" w:line="240"/>
            </w:pPr>
            <w:r>
              <w:rPr>
                <w:sz w:val="17"/>
                <w:szCs w:val="17"/>
              </w:rPr>
              <w:t xml:space="preserve">1.2.4 evaluation and 1.2.3 privacy impact assessment → M3 contract</w:t>
            </w:r>
          </w:p>
        </w:tc>
        <w:tc>
          <w:tcPr>
            <w:tcW w:type="dxa" w:w="1300"/>
            <w:shd w:fill="FFFFFF" w:color="auto" w:val="clear"/>
            <w:tcMar>
              <w:top w:type="dxa" w:w="50"/>
              <w:left w:type="dxa" w:w="80"/>
              <w:bottom w:type="dxa" w:w="50"/>
              <w:right w:type="dxa" w:w="80"/>
            </w:tcMar>
            <w:vAlign w:val="top"/>
          </w:tcPr>
          <w:p>
            <w:pPr>
              <w:spacing w:after="0" w:before="0" w:line="240"/>
            </w:pPr>
            <w:r>
              <w:rPr>
                <w:sz w:val="17"/>
                <w:szCs w:val="17"/>
              </w:rPr>
              <w:t xml:space="preserve">Finish-to-start</w:t>
            </w:r>
          </w:p>
        </w:tc>
        <w:tc>
          <w:tcPr>
            <w:tcW w:type="dxa" w:w="5038"/>
            <w:shd w:fill="FFFFFF" w:color="auto" w:val="clear"/>
            <w:tcMar>
              <w:top w:type="dxa" w:w="50"/>
              <w:left w:type="dxa" w:w="80"/>
              <w:bottom w:type="dxa" w:w="50"/>
              <w:right w:type="dxa" w:w="80"/>
            </w:tcMar>
            <w:vAlign w:val="top"/>
          </w:tcPr>
          <w:p>
            <w:pPr>
              <w:spacing w:after="0" w:before="0" w:line="240"/>
            </w:pPr>
            <w:r>
              <w:rPr>
                <w:sz w:val="17"/>
                <w:szCs w:val="17"/>
              </w:rPr>
              <w:t xml:space="preserve">Data residency is settled before the contract is signed</w:t>
            </w:r>
          </w:p>
        </w:tc>
      </w:tr>
      <w:tr>
        <w:trPr>
          <w:cantSplit/>
        </w:trPr>
        <w:tc>
          <w:tcPr>
            <w:tcW w:type="dxa" w:w="3300"/>
            <w:shd w:fill="F2F5F4" w:color="auto" w:val="clear"/>
            <w:tcMar>
              <w:top w:type="dxa" w:w="50"/>
              <w:left w:type="dxa" w:w="80"/>
              <w:bottom w:type="dxa" w:w="50"/>
              <w:right w:type="dxa" w:w="80"/>
            </w:tcMar>
            <w:vAlign w:val="top"/>
          </w:tcPr>
          <w:p>
            <w:pPr>
              <w:spacing w:after="0" w:before="0" w:line="240"/>
            </w:pPr>
            <w:r>
              <w:rPr>
                <w:sz w:val="17"/>
                <w:szCs w:val="17"/>
              </w:rPr>
              <w:t xml:space="preserve">1.3.3 MFA policies → 1.4.1 SSO wave 1 → waves 2 and 3</w:t>
            </w:r>
          </w:p>
        </w:tc>
        <w:tc>
          <w:tcPr>
            <w:tcW w:type="dxa" w:w="1300"/>
            <w:shd w:fill="F2F5F4" w:color="auto" w:val="clear"/>
            <w:tcMar>
              <w:top w:type="dxa" w:w="50"/>
              <w:left w:type="dxa" w:w="80"/>
              <w:bottom w:type="dxa" w:w="50"/>
              <w:right w:type="dxa" w:w="80"/>
            </w:tcMar>
            <w:vAlign w:val="top"/>
          </w:tcPr>
          <w:p>
            <w:pPr>
              <w:spacing w:after="0" w:before="0" w:line="240"/>
            </w:pPr>
            <w:r>
              <w:rPr>
                <w:sz w:val="17"/>
                <w:szCs w:val="17"/>
              </w:rPr>
              <w:t xml:space="preserve">Finish-to-start</w:t>
            </w:r>
          </w:p>
        </w:tc>
        <w:tc>
          <w:tcPr>
            <w:tcW w:type="dxa" w:w="5038"/>
            <w:shd w:fill="F2F5F4" w:color="auto" w:val="clear"/>
            <w:tcMar>
              <w:top w:type="dxa" w:w="50"/>
              <w:left w:type="dxa" w:w="80"/>
              <w:bottom w:type="dxa" w:w="50"/>
              <w:right w:type="dxa" w:w="80"/>
            </w:tcMar>
            <w:vAlign w:val="top"/>
          </w:tcPr>
          <w:p>
            <w:pPr>
              <w:spacing w:after="0" w:before="0" w:line="240"/>
            </w:pPr>
            <w:r>
              <w:rPr>
                <w:sz w:val="17"/>
                <w:szCs w:val="17"/>
              </w:rPr>
              <w:t xml:space="preserve">No application moves to SSO without MFA in place</w:t>
            </w:r>
          </w:p>
        </w:tc>
      </w:tr>
      <w:tr>
        <w:trPr>
          <w:cantSplit/>
        </w:trPr>
        <w:tc>
          <w:tcPr>
            <w:tcW w:type="dxa" w:w="3300"/>
            <w:shd w:fill="FFFFFF" w:color="auto" w:val="clear"/>
            <w:tcMar>
              <w:top w:type="dxa" w:w="50"/>
              <w:left w:type="dxa" w:w="80"/>
              <w:bottom w:type="dxa" w:w="50"/>
              <w:right w:type="dxa" w:w="80"/>
            </w:tcMar>
            <w:vAlign w:val="top"/>
          </w:tcPr>
          <w:p>
            <w:pPr>
              <w:spacing w:after="0" w:before="0" w:line="240"/>
            </w:pPr>
            <w:r>
              <w:rPr>
                <w:sz w:val="17"/>
                <w:szCs w:val="17"/>
              </w:rPr>
              <w:t xml:space="preserve">1.4.3, 1.4.4, 1.3.4, 1.3.5, 1.5.1 → 1.5.2 system testing</w:t>
            </w:r>
          </w:p>
        </w:tc>
        <w:tc>
          <w:tcPr>
            <w:tcW w:type="dxa" w:w="1300"/>
            <w:shd w:fill="FFFFFF" w:color="auto" w:val="clear"/>
            <w:tcMar>
              <w:top w:type="dxa" w:w="50"/>
              <w:left w:type="dxa" w:w="80"/>
              <w:bottom w:type="dxa" w:w="50"/>
              <w:right w:type="dxa" w:w="80"/>
            </w:tcMar>
            <w:vAlign w:val="top"/>
          </w:tcPr>
          <w:p>
            <w:pPr>
              <w:spacing w:after="0" w:before="0" w:line="240"/>
            </w:pPr>
            <w:r>
              <w:rPr>
                <w:sz w:val="17"/>
                <w:szCs w:val="17"/>
              </w:rPr>
              <w:t xml:space="preserve">Finish-to-start</w:t>
            </w:r>
          </w:p>
        </w:tc>
        <w:tc>
          <w:tcPr>
            <w:tcW w:type="dxa" w:w="5038"/>
            <w:shd w:fill="FFFFFF" w:color="auto" w:val="clear"/>
            <w:tcMar>
              <w:top w:type="dxa" w:w="50"/>
              <w:left w:type="dxa" w:w="80"/>
              <w:bottom w:type="dxa" w:w="50"/>
              <w:right w:type="dxa" w:w="80"/>
            </w:tcMar>
            <w:vAlign w:val="top"/>
          </w:tcPr>
          <w:p>
            <w:pPr>
              <w:spacing w:after="0" w:before="0" w:line="240"/>
            </w:pPr>
            <w:r>
              <w:rPr>
                <w:sz w:val="17"/>
                <w:szCs w:val="17"/>
              </w:rPr>
              <w:t xml:space="preserve">Testing starts only when every build and integration package is done</w:t>
            </w:r>
          </w:p>
        </w:tc>
      </w:tr>
      <w:tr>
        <w:trPr>
          <w:cantSplit/>
        </w:trPr>
        <w:tc>
          <w:tcPr>
            <w:tcW w:type="dxa" w:w="3300"/>
            <w:shd w:fill="F2F5F4" w:color="auto" w:val="clear"/>
            <w:tcMar>
              <w:top w:type="dxa" w:w="50"/>
              <w:left w:type="dxa" w:w="80"/>
              <w:bottom w:type="dxa" w:w="50"/>
              <w:right w:type="dxa" w:w="80"/>
            </w:tcMar>
            <w:vAlign w:val="top"/>
          </w:tcPr>
          <w:p>
            <w:pPr>
              <w:spacing w:after="0" w:before="0" w:line="240"/>
            </w:pPr>
            <w:r>
              <w:rPr>
                <w:sz w:val="17"/>
                <w:szCs w:val="17"/>
              </w:rPr>
              <w:t xml:space="preserve">1.3.2 joiner-mover-leaver → 1.4.4 provisioning connectors</w:t>
            </w:r>
          </w:p>
        </w:tc>
        <w:tc>
          <w:tcPr>
            <w:tcW w:type="dxa" w:w="1300"/>
            <w:shd w:fill="F2F5F4" w:color="auto" w:val="clear"/>
            <w:tcMar>
              <w:top w:type="dxa" w:w="50"/>
              <w:left w:type="dxa" w:w="80"/>
              <w:bottom w:type="dxa" w:w="50"/>
              <w:right w:type="dxa" w:w="80"/>
            </w:tcMar>
            <w:vAlign w:val="top"/>
          </w:tcPr>
          <w:p>
            <w:pPr>
              <w:spacing w:after="0" w:before="0" w:line="240"/>
            </w:pPr>
            <w:r>
              <w:rPr>
                <w:sz w:val="17"/>
                <w:szCs w:val="17"/>
              </w:rPr>
              <w:t xml:space="preserve">Start-to-start + 5 days</w:t>
            </w:r>
          </w:p>
        </w:tc>
        <w:tc>
          <w:tcPr>
            <w:tcW w:type="dxa" w:w="5038"/>
            <w:shd w:fill="F2F5F4" w:color="auto" w:val="clear"/>
            <w:tcMar>
              <w:top w:type="dxa" w:w="50"/>
              <w:left w:type="dxa" w:w="80"/>
              <w:bottom w:type="dxa" w:w="50"/>
              <w:right w:type="dxa" w:w="80"/>
            </w:tcMar>
            <w:vAlign w:val="top"/>
          </w:tcPr>
          <w:p>
            <w:pPr>
              <w:spacing w:after="0" w:before="0" w:line="240"/>
            </w:pPr>
            <w:r>
              <w:rPr>
                <w:sz w:val="17"/>
                <w:szCs w:val="17"/>
              </w:rPr>
              <w:t xml:space="preserve">Connectors reuse the attribute mappings defined in the first week of 1.3.2</w:t>
            </w:r>
          </w:p>
        </w:tc>
      </w:tr>
      <w:tr>
        <w:trPr>
          <w:cantSplit/>
        </w:trPr>
        <w:tc>
          <w:tcPr>
            <w:tcW w:type="dxa" w:w="3300"/>
            <w:shd w:fill="FFFFFF" w:color="auto" w:val="clear"/>
            <w:tcMar>
              <w:top w:type="dxa" w:w="50"/>
              <w:left w:type="dxa" w:w="80"/>
              <w:bottom w:type="dxa" w:w="50"/>
              <w:right w:type="dxa" w:w="80"/>
            </w:tcMar>
            <w:vAlign w:val="top"/>
          </w:tcPr>
          <w:p>
            <w:pPr>
              <w:spacing w:after="0" w:before="0" w:line="240"/>
            </w:pPr>
            <w:r>
              <w:rPr>
                <w:sz w:val="17"/>
                <w:szCs w:val="17"/>
              </w:rPr>
              <w:t xml:space="preserve">1.6.2 pilot → 1.6.3 rollout</w:t>
            </w:r>
          </w:p>
        </w:tc>
        <w:tc>
          <w:tcPr>
            <w:tcW w:type="dxa" w:w="1300"/>
            <w:shd w:fill="FFFFFF" w:color="auto" w:val="clear"/>
            <w:tcMar>
              <w:top w:type="dxa" w:w="50"/>
              <w:left w:type="dxa" w:w="80"/>
              <w:bottom w:type="dxa" w:w="50"/>
              <w:right w:type="dxa" w:w="80"/>
            </w:tcMar>
            <w:vAlign w:val="top"/>
          </w:tcPr>
          <w:p>
            <w:pPr>
              <w:spacing w:after="0" w:before="0" w:line="240"/>
            </w:pPr>
            <w:r>
              <w:rPr>
                <w:sz w:val="17"/>
                <w:szCs w:val="17"/>
              </w:rPr>
              <w:t xml:space="preserve">Finish-to-start + 3 days</w:t>
            </w:r>
          </w:p>
        </w:tc>
        <w:tc>
          <w:tcPr>
            <w:tcW w:type="dxa" w:w="5038"/>
            <w:shd w:fill="FFFFFF" w:color="auto" w:val="clear"/>
            <w:tcMar>
              <w:top w:type="dxa" w:w="50"/>
              <w:left w:type="dxa" w:w="80"/>
              <w:bottom w:type="dxa" w:w="50"/>
              <w:right w:type="dxa" w:w="80"/>
            </w:tcMar>
            <w:vAlign w:val="top"/>
          </w:tcPr>
          <w:p>
            <w:pPr>
              <w:spacing w:after="0" w:before="0" w:line="240"/>
            </w:pPr>
            <w:r>
              <w:rPr>
                <w:sz w:val="17"/>
                <w:szCs w:val="17"/>
              </w:rPr>
              <w:t xml:space="preserve">Leaves time for the go/no-go review after the pilot</w:t>
            </w:r>
          </w:p>
        </w:tc>
      </w:tr>
    </w:tbl>
    <w:p>
      <w:pPr>
        <w:spacing w:before="160"/>
        <w:sectPr>
          <w:headerReference w:type="default" r:id="rId10"/>
          <w:footerReference w:type="default" r:id="rId11"/>
          <w:type w:val="nextPage"/>
          <w:pgSz w:w="11906" w:h="16838" w:orient="portrait"/>
          <w:pgMar w:top="1134" w:right="1134" w:bottom="1134" w:left="1134" w:header="567" w:footer="567" w:gutter="0"/>
          <w:pgNumType/>
          <w:docGrid w:linePitch="360"/>
        </w:sectPr>
      </w:pPr>
      <w:r>
        <w:t xml:space="preserve">Table 9, after the chart, lists each task's dates, predecessors, float and resources.</w:t>
      </w:r>
    </w:p>
    <w:p>
      <w:pPr>
        <w:keepNext/>
        <w:spacing w:after="0"/>
        <w:jc w:val="center"/>
      </w:pPr>
      <w:r>
        <w:drawing>
          <wp:inline distT="0" distB="0" distL="0" distR="0">
            <wp:extent cx="9692640" cy="6172200"/>
            <wp:effectExtent t="0" r="0" b="0" l="0"/>
            <wp:docPr id="2" name="Gantt chart with dependencies and critical path" descr="Gantt chart with dependencies and critical path" title="Gantt chart with dependencies and critic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692640" cy="6172200"/>
                    </a:xfrm>
                    <a:prstGeom prst="rect">
                      <a:avLst/>
                    </a:prstGeom>
                  </pic:spPr>
                </pic:pic>
              </a:graphicData>
            </a:graphic>
          </wp:inline>
        </w:drawing>
      </w:r>
    </w:p>
    <w:p>
      <w:pPr>
        <w:pStyle w:val="Caption"/>
        <w:spacing w:after="240" w:before="80"/>
        <w:sectPr>
          <w:headerReference w:type="default" r:id="rId12"/>
          <w:footerReference w:type="default" r:id="rId13"/>
          <w:type w:val="nextPage"/>
          <w:pgSz w:w="16838" w:h="11906" w:orient="landscape"/>
          <w:pgMar w:top="720" w:right="720" w:bottom="720" w:left="720" w:header="340" w:footer="340" w:gutter="0"/>
          <w:pgNumType/>
          <w:docGrid w:linePitch="360"/>
        </w:sectPr>
      </w:pPr>
      <w:r>
        <w:rPr>
          <w:b/>
          <w:bCs/>
        </w:rPr>
        <w:t xml:space="preserve">Figure 2. </w:t>
      </w:r>
      <w:r>
        <w:t xml:space="preserve">Gantt chart, 2 Nov 2026 to 28 Jul 2027, with dependency links, milestones and the critical path (red). Source: schedule/IAM_Schedule.gan</w:t>
      </w:r>
    </w:p>
    <w:p>
      <w:pPr>
        <w:pStyle w:val="Caption"/>
        <w:keepNext/>
        <w:spacing w:after="80" w:before="200"/>
      </w:pPr>
      <w:r>
        <w:rPr>
          <w:b/>
          <w:bCs/>
        </w:rPr>
        <w:t xml:space="preserve">Table 9. </w:t>
      </w:r>
      <w:r>
        <w:t xml:space="preserve">Schedule task list (WBS order). Float 0 = critical path</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620"/>
        <w:gridCol w:w="3000"/>
        <w:gridCol w:w="560"/>
        <w:gridCol w:w="1080"/>
        <w:gridCol w:w="1080"/>
        <w:gridCol w:w="1250"/>
        <w:gridCol w:w="560"/>
        <w:gridCol w:w="1488"/>
      </w:tblGrid>
      <w:tr>
        <w:trPr>
          <w:cantSplit/>
          <w:tblHeader/>
        </w:trPr>
        <w:tc>
          <w:tcPr>
            <w:tcW w:type="dxa" w:w="62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WBS</w:t>
            </w:r>
          </w:p>
        </w:tc>
        <w:tc>
          <w:tcPr>
            <w:tcW w:type="dxa" w:w="30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Task</w:t>
            </w:r>
          </w:p>
        </w:tc>
        <w:tc>
          <w:tcPr>
            <w:tcW w:type="dxa" w:w="5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Days</w:t>
            </w:r>
          </w:p>
        </w:tc>
        <w:tc>
          <w:tcPr>
            <w:tcW w:type="dxa" w:w="108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Start</w:t>
            </w:r>
          </w:p>
        </w:tc>
        <w:tc>
          <w:tcPr>
            <w:tcW w:type="dxa" w:w="108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Finish</w:t>
            </w:r>
          </w:p>
        </w:tc>
        <w:tc>
          <w:tcPr>
            <w:tcW w:type="dxa" w:w="125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Predecessors</w:t>
            </w:r>
          </w:p>
        </w:tc>
        <w:tc>
          <w:tcPr>
            <w:tcW w:type="dxa" w:w="5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Float</w:t>
            </w:r>
          </w:p>
        </w:tc>
        <w:tc>
          <w:tcPr>
            <w:tcW w:type="dxa" w:w="1488"/>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Resources</w:t>
            </w:r>
          </w:p>
        </w:tc>
      </w:tr>
      <w:tr>
        <w:trPr>
          <w:cantSplit/>
        </w:trPr>
        <w:tc>
          <w:tcPr>
            <w:tcW w:type="dxa" w:w="620"/>
            <w:shd w:fill="E4ECE9" w:color="auto" w:val="clear"/>
            <w:tcMar>
              <w:top w:type="dxa" w:w="50"/>
              <w:left w:type="dxa" w:w="80"/>
              <w:bottom w:type="dxa" w:w="50"/>
              <w:right w:type="dxa" w:w="80"/>
            </w:tcMar>
            <w:vAlign w:val="top"/>
          </w:tcPr>
          <w:p>
            <w:pPr>
              <w:spacing w:after="0" w:before="0" w:line="240"/>
            </w:pPr>
            <w:r>
              <w:rPr>
                <w:b/>
                <w:bCs/>
                <w:sz w:val="16"/>
                <w:szCs w:val="16"/>
              </w:rPr>
              <w:t xml:space="preserve">1.1</w:t>
            </w:r>
          </w:p>
        </w:tc>
        <w:tc>
          <w:tcPr>
            <w:tcW w:type="dxa" w:w="3000"/>
            <w:shd w:fill="E4ECE9" w:color="auto" w:val="clear"/>
            <w:tcMar>
              <w:top w:type="dxa" w:w="50"/>
              <w:left w:type="dxa" w:w="80"/>
              <w:bottom w:type="dxa" w:w="50"/>
              <w:right w:type="dxa" w:w="80"/>
            </w:tcMar>
            <w:vAlign w:val="top"/>
          </w:tcPr>
          <w:p>
            <w:pPr>
              <w:spacing w:after="0" w:before="0" w:line="240"/>
            </w:pPr>
            <w:r>
              <w:rPr>
                <w:b/>
                <w:bCs/>
                <w:sz w:val="16"/>
                <w:szCs w:val="16"/>
              </w:rPr>
              <w:t xml:space="preserve">Project management</w:t>
            </w: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2 Nov 2026</w:t>
            </w: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14 Jul 2027</w:t>
            </w:r>
          </w:p>
        </w:tc>
        <w:tc>
          <w:tcPr>
            <w:tcW w:type="dxa" w:w="1250"/>
            <w:shd w:fill="E4ECE9" w:color="auto" w:val="clear"/>
            <w:tcMar>
              <w:top w:type="dxa" w:w="50"/>
              <w:left w:type="dxa" w:w="80"/>
              <w:bottom w:type="dxa" w:w="50"/>
              <w:right w:type="dxa" w:w="80"/>
            </w:tcMar>
            <w:vAlign w:val="top"/>
          </w:tcPr>
          <w:p>
            <w:pPr>
              <w:spacing w:after="0" w:before="0" w:line="240"/>
            </w:pP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488"/>
            <w:shd w:fill="E4ECE9" w:color="auto" w:val="clear"/>
            <w:tcMar>
              <w:top w:type="dxa" w:w="50"/>
              <w:left w:type="dxa" w:w="80"/>
              <w:bottom w:type="dxa" w:w="50"/>
              <w:right w:type="dxa" w:w="80"/>
            </w:tcMar>
            <w:vAlign w:val="top"/>
          </w:tcPr>
          <w:p>
            <w:pPr>
              <w:spacing w:after="0" w:before="0" w:line="240"/>
            </w:pP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1.1.1</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Project charter</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5</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 Nov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6 Nov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Toufiq, Sponsor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M1</w:t>
            </w:r>
          </w:p>
        </w:tc>
        <w:tc>
          <w:tcPr>
            <w:tcW w:type="dxa" w:w="300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Charter approved</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6 Nov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6 Nov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1.1.1</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Sponsor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1.1.2</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Stakeholder register and communication plan</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4</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9 Nov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12 Nov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M1</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Kritika</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1.1.3</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Project management plan and baselines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8</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13 Nov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24 Nov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1.1.2</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Toufiq</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bCs/>
                <w:sz w:val="16"/>
                <w:szCs w:val="16"/>
              </w:rPr>
              <w:t xml:space="preserve">M2</w:t>
            </w:r>
          </w:p>
        </w:tc>
        <w:tc>
          <w:tcPr>
            <w:tcW w:type="dxa" w:w="3000"/>
            <w:shd w:fill="FFFFFF" w:color="auto" w:val="clear"/>
            <w:tcMar>
              <w:top w:type="dxa" w:w="50"/>
              <w:left w:type="dxa" w:w="80"/>
              <w:bottom w:type="dxa" w:w="50"/>
              <w:right w:type="dxa" w:w="80"/>
            </w:tcMar>
            <w:vAlign w:val="top"/>
          </w:tcPr>
          <w:p>
            <w:pPr>
              <w:spacing w:after="0" w:before="0" w:line="240"/>
            </w:pPr>
            <w:r>
              <w:rPr>
                <w:b/>
                <w:bCs/>
                <w:sz w:val="16"/>
                <w:szCs w:val="16"/>
              </w:rPr>
              <w:t xml:space="preserve">Plan baselined (Gate 1)</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24 Nov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24 Nov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1.1.3</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Sponsor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1.1.4</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Monitoring, control and reporting (level of effort)</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155</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25 Nov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14 Jul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M2</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Toufiq</w:t>
            </w:r>
          </w:p>
        </w:tc>
      </w:tr>
      <w:tr>
        <w:trPr>
          <w:cantSplit/>
        </w:trPr>
        <w:tc>
          <w:tcPr>
            <w:tcW w:type="dxa" w:w="620"/>
            <w:shd w:fill="E4ECE9" w:color="auto" w:val="clear"/>
            <w:tcMar>
              <w:top w:type="dxa" w:w="50"/>
              <w:left w:type="dxa" w:w="80"/>
              <w:bottom w:type="dxa" w:w="50"/>
              <w:right w:type="dxa" w:w="80"/>
            </w:tcMar>
            <w:vAlign w:val="top"/>
          </w:tcPr>
          <w:p>
            <w:pPr>
              <w:spacing w:after="0" w:before="0" w:line="240"/>
            </w:pPr>
            <w:r>
              <w:rPr>
                <w:b/>
                <w:bCs/>
                <w:sz w:val="16"/>
                <w:szCs w:val="16"/>
              </w:rPr>
              <w:t xml:space="preserve">1.2</w:t>
            </w:r>
          </w:p>
        </w:tc>
        <w:tc>
          <w:tcPr>
            <w:tcW w:type="dxa" w:w="3000"/>
            <w:shd w:fill="E4ECE9" w:color="auto" w:val="clear"/>
            <w:tcMar>
              <w:top w:type="dxa" w:w="50"/>
              <w:left w:type="dxa" w:w="80"/>
              <w:bottom w:type="dxa" w:w="50"/>
              <w:right w:type="dxa" w:w="80"/>
            </w:tcMar>
            <w:vAlign w:val="top"/>
          </w:tcPr>
          <w:p>
            <w:pPr>
              <w:spacing w:after="0" w:before="0" w:line="240"/>
            </w:pPr>
            <w:r>
              <w:rPr>
                <w:b/>
                <w:bCs/>
                <w:sz w:val="16"/>
                <w:szCs w:val="16"/>
              </w:rPr>
              <w:t xml:space="preserve">Requirements and design</w:t>
            </w: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9 Nov 2026</w:t>
            </w: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15 Jan 2027</w:t>
            </w:r>
          </w:p>
        </w:tc>
        <w:tc>
          <w:tcPr>
            <w:tcW w:type="dxa" w:w="1250"/>
            <w:shd w:fill="E4ECE9" w:color="auto" w:val="clear"/>
            <w:tcMar>
              <w:top w:type="dxa" w:w="50"/>
              <w:left w:type="dxa" w:w="80"/>
              <w:bottom w:type="dxa" w:w="50"/>
              <w:right w:type="dxa" w:w="80"/>
            </w:tcMar>
            <w:vAlign w:val="top"/>
          </w:tcPr>
          <w:p>
            <w:pPr>
              <w:spacing w:after="0" w:before="0" w:line="240"/>
            </w:pP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488"/>
            <w:shd w:fill="E4ECE9" w:color="auto" w:val="clear"/>
            <w:tcMar>
              <w:top w:type="dxa" w:w="50"/>
              <w:left w:type="dxa" w:w="80"/>
              <w:bottom w:type="dxa" w:w="50"/>
              <w:right w:type="dxa" w:w="80"/>
            </w:tcMar>
            <w:vAlign w:val="top"/>
          </w:tcPr>
          <w:p>
            <w:pPr>
              <w:spacing w:after="0" w:before="0" w:line="240"/>
            </w:pP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1.2.1</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Current-state identity and application assessment</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9 Nov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20 Nov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M1</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Architect, IT Ops</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1.2.2</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Requirements specification</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8</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23 Nov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 Dec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1.2.1</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Architect, Fardin</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1.2.3</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Privacy impact assessment</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8</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3 Dec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14 Dec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1.2.2</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7</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Privacy Officer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1.2.4</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IAM platform selection (RFQ and evaluation)</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15</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3 Dec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23 Dec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1.2.2</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Toufiq, Fardin</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M3</w:t>
            </w:r>
          </w:p>
        </w:tc>
        <w:tc>
          <w:tcPr>
            <w:tcW w:type="dxa" w:w="300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Platform contract signed</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23 Dec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23 Dec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1.2.4, 1.2.3, M2</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Sponsor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1.2.5</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Role model (RBAC role catalogue)</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12</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3 Dec 2026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18 Dec 2026</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1.2.2</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13</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Architect, HR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1.2.6</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Solution architecture and security design</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4 Jan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15 Jan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M3</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Architect, Partner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M4</w:t>
            </w:r>
          </w:p>
        </w:tc>
        <w:tc>
          <w:tcPr>
            <w:tcW w:type="dxa" w:w="300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Design approved (Gate 2)</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15 Jan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15 Jan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1.2.6, 1.2.5</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Sponsor</w:t>
            </w:r>
          </w:p>
        </w:tc>
      </w:tr>
      <w:tr>
        <w:trPr>
          <w:cantSplit/>
        </w:trPr>
        <w:tc>
          <w:tcPr>
            <w:tcW w:type="dxa" w:w="620"/>
            <w:shd w:fill="E4ECE9" w:color="auto" w:val="clear"/>
            <w:tcMar>
              <w:top w:type="dxa" w:w="50"/>
              <w:left w:type="dxa" w:w="80"/>
              <w:bottom w:type="dxa" w:w="50"/>
              <w:right w:type="dxa" w:w="80"/>
            </w:tcMar>
            <w:vAlign w:val="top"/>
          </w:tcPr>
          <w:p>
            <w:pPr>
              <w:spacing w:after="0" w:before="0" w:line="240"/>
            </w:pPr>
            <w:r>
              <w:rPr>
                <w:b/>
                <w:bCs/>
                <w:sz w:val="16"/>
                <w:szCs w:val="16"/>
              </w:rPr>
              <w:t xml:space="preserve">1.3</w:t>
            </w:r>
          </w:p>
        </w:tc>
        <w:tc>
          <w:tcPr>
            <w:tcW w:type="dxa" w:w="3000"/>
            <w:shd w:fill="E4ECE9" w:color="auto" w:val="clear"/>
            <w:tcMar>
              <w:top w:type="dxa" w:w="50"/>
              <w:left w:type="dxa" w:w="80"/>
              <w:bottom w:type="dxa" w:w="50"/>
              <w:right w:type="dxa" w:w="80"/>
            </w:tcMar>
            <w:vAlign w:val="top"/>
          </w:tcPr>
          <w:p>
            <w:pPr>
              <w:spacing w:after="0" w:before="0" w:line="240"/>
            </w:pPr>
            <w:r>
              <w:rPr>
                <w:b/>
                <w:bCs/>
                <w:sz w:val="16"/>
                <w:szCs w:val="16"/>
              </w:rPr>
              <w:t xml:space="preserve">IAM platform build</w:t>
            </w: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18 Jan 2027</w:t>
            </w: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1 Mar 2027</w:t>
            </w:r>
          </w:p>
        </w:tc>
        <w:tc>
          <w:tcPr>
            <w:tcW w:type="dxa" w:w="1250"/>
            <w:shd w:fill="E4ECE9" w:color="auto" w:val="clear"/>
            <w:tcMar>
              <w:top w:type="dxa" w:w="50"/>
              <w:left w:type="dxa" w:w="80"/>
              <w:bottom w:type="dxa" w:w="50"/>
              <w:right w:type="dxa" w:w="80"/>
            </w:tcMar>
            <w:vAlign w:val="top"/>
          </w:tcPr>
          <w:p>
            <w:pPr>
              <w:spacing w:after="0" w:before="0" w:line="240"/>
            </w:pP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488"/>
            <w:shd w:fill="E4ECE9" w:color="auto" w:val="clear"/>
            <w:tcMar>
              <w:top w:type="dxa" w:w="50"/>
              <w:left w:type="dxa" w:w="80"/>
              <w:bottom w:type="dxa" w:w="50"/>
              <w:right w:type="dxa" w:w="80"/>
            </w:tcMar>
            <w:vAlign w:val="top"/>
          </w:tcPr>
          <w:p>
            <w:pPr>
              <w:spacing w:after="0" w:before="0" w:line="240"/>
            </w:pP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1.3.1</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Tenant configuration and HR directory sync</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8</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18 Jan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28 Jan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M4</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Partner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1.3.2</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Joiner-mover-leaver workflows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15</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29 Jan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18 Feb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1.3.1</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20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Partner, HR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1.3.3</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MFA and conditional access policies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29 Jan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5 Feb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1.3.1</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Architect</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1.3.4</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Privileged access management</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8 Feb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19 Feb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1.3.3</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19</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Architect</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1.3.5</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Access review campaigns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22 Feb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 Mar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1.3.2, 1.3.4</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19</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Architect</w:t>
            </w:r>
          </w:p>
        </w:tc>
      </w:tr>
      <w:tr>
        <w:trPr>
          <w:cantSplit/>
        </w:trPr>
        <w:tc>
          <w:tcPr>
            <w:tcW w:type="dxa" w:w="620"/>
            <w:shd w:fill="E4ECE9" w:color="auto" w:val="clear"/>
            <w:tcMar>
              <w:top w:type="dxa" w:w="50"/>
              <w:left w:type="dxa" w:w="80"/>
              <w:bottom w:type="dxa" w:w="50"/>
              <w:right w:type="dxa" w:w="80"/>
            </w:tcMar>
            <w:vAlign w:val="top"/>
          </w:tcPr>
          <w:p>
            <w:pPr>
              <w:spacing w:after="0" w:before="0" w:line="240"/>
            </w:pPr>
            <w:r>
              <w:rPr>
                <w:b/>
                <w:bCs/>
                <w:sz w:val="16"/>
                <w:szCs w:val="16"/>
              </w:rPr>
              <w:t xml:space="preserve">1.4</w:t>
            </w:r>
          </w:p>
        </w:tc>
        <w:tc>
          <w:tcPr>
            <w:tcW w:type="dxa" w:w="3000"/>
            <w:shd w:fill="E4ECE9" w:color="auto" w:val="clear"/>
            <w:tcMar>
              <w:top w:type="dxa" w:w="50"/>
              <w:left w:type="dxa" w:w="80"/>
              <w:bottom w:type="dxa" w:w="50"/>
              <w:right w:type="dxa" w:w="80"/>
            </w:tcMar>
            <w:vAlign w:val="top"/>
          </w:tcPr>
          <w:p>
            <w:pPr>
              <w:spacing w:after="0" w:before="0" w:line="240"/>
            </w:pPr>
            <w:r>
              <w:rPr>
                <w:b/>
                <w:bCs/>
                <w:sz w:val="16"/>
                <w:szCs w:val="16"/>
              </w:rPr>
              <w:t xml:space="preserve">Application integration</w:t>
            </w: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5 Feb 2027</w:t>
            </w: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30 Mar 2027</w:t>
            </w:r>
          </w:p>
        </w:tc>
        <w:tc>
          <w:tcPr>
            <w:tcW w:type="dxa" w:w="1250"/>
            <w:shd w:fill="E4ECE9" w:color="auto" w:val="clear"/>
            <w:tcMar>
              <w:top w:type="dxa" w:w="50"/>
              <w:left w:type="dxa" w:w="80"/>
              <w:bottom w:type="dxa" w:w="50"/>
              <w:right w:type="dxa" w:w="80"/>
            </w:tcMar>
            <w:vAlign w:val="top"/>
          </w:tcPr>
          <w:p>
            <w:pPr>
              <w:spacing w:after="0" w:before="0" w:line="240"/>
            </w:pP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488"/>
            <w:shd w:fill="E4ECE9" w:color="auto" w:val="clear"/>
            <w:tcMar>
              <w:top w:type="dxa" w:w="50"/>
              <w:left w:type="dxa" w:w="80"/>
              <w:bottom w:type="dxa" w:w="50"/>
              <w:right w:type="dxa" w:w="80"/>
            </w:tcMar>
            <w:vAlign w:val="top"/>
          </w:tcPr>
          <w:p>
            <w:pPr>
              <w:spacing w:after="0" w:before="0" w:line="240"/>
            </w:pP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1.4.1</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SSO wave 1: M365, intranet, VPN, rostering</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8 Feb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19 Feb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1.3.3</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Partner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1.4.2</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SSO wave 2: EMR, PAS, HRIS, payroll, finance</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15</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22 Feb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12 Mar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1.4.1</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Partner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1.4.3</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SSO wave 3: pathology, imaging, incidents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15 Mar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30 Mar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1.4.2</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Partner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1.4.4</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Provisioning connectors: M365, EMR, PAS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12</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5 Feb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22 Feb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1.3.2 SS+5d</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24</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Partner</w:t>
            </w:r>
          </w:p>
        </w:tc>
      </w:tr>
      <w:tr>
        <w:trPr>
          <w:cantSplit/>
        </w:trPr>
        <w:tc>
          <w:tcPr>
            <w:tcW w:type="dxa" w:w="620"/>
            <w:shd w:fill="E4ECE9" w:color="auto" w:val="clear"/>
            <w:tcMar>
              <w:top w:type="dxa" w:w="50"/>
              <w:left w:type="dxa" w:w="80"/>
              <w:bottom w:type="dxa" w:w="50"/>
              <w:right w:type="dxa" w:w="80"/>
            </w:tcMar>
            <w:vAlign w:val="top"/>
          </w:tcPr>
          <w:p>
            <w:pPr>
              <w:spacing w:after="0" w:before="0" w:line="240"/>
            </w:pPr>
            <w:r>
              <w:rPr>
                <w:b/>
                <w:bCs/>
                <w:sz w:val="16"/>
                <w:szCs w:val="16"/>
              </w:rPr>
              <w:t xml:space="preserve">1.5</w:t>
            </w:r>
          </w:p>
        </w:tc>
        <w:tc>
          <w:tcPr>
            <w:tcW w:type="dxa" w:w="3000"/>
            <w:shd w:fill="E4ECE9" w:color="auto" w:val="clear"/>
            <w:tcMar>
              <w:top w:type="dxa" w:w="50"/>
              <w:left w:type="dxa" w:w="80"/>
              <w:bottom w:type="dxa" w:w="50"/>
              <w:right w:type="dxa" w:w="80"/>
            </w:tcMar>
            <w:vAlign w:val="top"/>
          </w:tcPr>
          <w:p>
            <w:pPr>
              <w:spacing w:after="0" w:before="0" w:line="240"/>
            </w:pPr>
            <w:r>
              <w:rPr>
                <w:b/>
                <w:bCs/>
                <w:sz w:val="16"/>
                <w:szCs w:val="16"/>
              </w:rPr>
              <w:t xml:space="preserve">Testing</w:t>
            </w: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18 Jan 2027</w:t>
            </w: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29 Apr 2027</w:t>
            </w:r>
          </w:p>
        </w:tc>
        <w:tc>
          <w:tcPr>
            <w:tcW w:type="dxa" w:w="1250"/>
            <w:shd w:fill="E4ECE9" w:color="auto" w:val="clear"/>
            <w:tcMar>
              <w:top w:type="dxa" w:w="50"/>
              <w:left w:type="dxa" w:w="80"/>
              <w:bottom w:type="dxa" w:w="50"/>
              <w:right w:type="dxa" w:w="80"/>
            </w:tcMar>
            <w:vAlign w:val="top"/>
          </w:tcPr>
          <w:p>
            <w:pPr>
              <w:spacing w:after="0" w:before="0" w:line="240"/>
            </w:pP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488"/>
            <w:shd w:fill="E4ECE9" w:color="auto" w:val="clear"/>
            <w:tcMar>
              <w:top w:type="dxa" w:w="50"/>
              <w:left w:type="dxa" w:w="80"/>
              <w:bottom w:type="dxa" w:w="50"/>
              <w:right w:type="dxa" w:w="80"/>
            </w:tcMar>
            <w:vAlign w:val="top"/>
          </w:tcPr>
          <w:p>
            <w:pPr>
              <w:spacing w:after="0" w:before="0" w:line="240"/>
            </w:pP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1.5.1</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Test strategy and test cases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6</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18 Jan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25 Jan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M4</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43</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Fardin</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1.5.2</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System and integration testing</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12</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31 Mar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15 Apr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1.4.3, 1.4.4, 1.3.4, 1.3.5, 1.5.1</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Fardin, Partner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1.5.3</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Penetration testing</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8</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16 Apr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27 Apr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1.5.2</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2</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Pen tester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1.5.4</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User acceptance testing</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16 Apr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29 Apr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1.5.2</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Fardin, Clinical testers</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M5</w:t>
            </w:r>
          </w:p>
        </w:tc>
        <w:tc>
          <w:tcPr>
            <w:tcW w:type="dxa" w:w="300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Go-live readiness (Gate 3)</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29 Apr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29 Apr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1.5.3, 1.5.4</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Sponsor</w:t>
            </w:r>
          </w:p>
        </w:tc>
      </w:tr>
      <w:tr>
        <w:trPr>
          <w:cantSplit/>
        </w:trPr>
        <w:tc>
          <w:tcPr>
            <w:tcW w:type="dxa" w:w="620"/>
            <w:shd w:fill="E4ECE9" w:color="auto" w:val="clear"/>
            <w:tcMar>
              <w:top w:type="dxa" w:w="50"/>
              <w:left w:type="dxa" w:w="80"/>
              <w:bottom w:type="dxa" w:w="50"/>
              <w:right w:type="dxa" w:w="80"/>
            </w:tcMar>
            <w:vAlign w:val="top"/>
          </w:tcPr>
          <w:p>
            <w:pPr>
              <w:spacing w:after="0" w:before="0" w:line="240"/>
            </w:pPr>
            <w:r>
              <w:rPr>
                <w:b/>
                <w:bCs/>
                <w:sz w:val="16"/>
                <w:szCs w:val="16"/>
              </w:rPr>
              <w:t xml:space="preserve">1.6</w:t>
            </w:r>
          </w:p>
        </w:tc>
        <w:tc>
          <w:tcPr>
            <w:tcW w:type="dxa" w:w="3000"/>
            <w:shd w:fill="E4ECE9" w:color="auto" w:val="clear"/>
            <w:tcMar>
              <w:top w:type="dxa" w:w="50"/>
              <w:left w:type="dxa" w:w="80"/>
              <w:bottom w:type="dxa" w:w="50"/>
              <w:right w:type="dxa" w:w="80"/>
            </w:tcMar>
            <w:vAlign w:val="top"/>
          </w:tcPr>
          <w:p>
            <w:pPr>
              <w:spacing w:after="0" w:before="0" w:line="240"/>
            </w:pPr>
            <w:r>
              <w:rPr>
                <w:b/>
                <w:bCs/>
                <w:sz w:val="16"/>
                <w:szCs w:val="16"/>
              </w:rPr>
              <w:t xml:space="preserve">Deployment and adoption</w:t>
            </w: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22 Feb 2027</w:t>
            </w: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14 Jul 2027</w:t>
            </w:r>
          </w:p>
        </w:tc>
        <w:tc>
          <w:tcPr>
            <w:tcW w:type="dxa" w:w="1250"/>
            <w:shd w:fill="E4ECE9" w:color="auto" w:val="clear"/>
            <w:tcMar>
              <w:top w:type="dxa" w:w="50"/>
              <w:left w:type="dxa" w:w="80"/>
              <w:bottom w:type="dxa" w:w="50"/>
              <w:right w:type="dxa" w:w="80"/>
            </w:tcMar>
            <w:vAlign w:val="top"/>
          </w:tcPr>
          <w:p>
            <w:pPr>
              <w:spacing w:after="0" w:before="0" w:line="240"/>
            </w:pP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488"/>
            <w:shd w:fill="E4ECE9" w:color="auto" w:val="clear"/>
            <w:tcMar>
              <w:top w:type="dxa" w:w="50"/>
              <w:left w:type="dxa" w:w="80"/>
              <w:bottom w:type="dxa" w:w="50"/>
              <w:right w:type="dxa" w:w="80"/>
            </w:tcMar>
            <w:vAlign w:val="top"/>
          </w:tcPr>
          <w:p>
            <w:pPr>
              <w:spacing w:after="0" w:before="0" w:line="240"/>
            </w:pP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1.6.1</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sz w:val="16"/>
                <w:szCs w:val="16"/>
              </w:rPr>
              <w:t xml:space="preserve">Training materials and champions network</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22 Feb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5 Mar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1.4.1</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37</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Kritika</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1.6.2</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Pilot: head office and one clinic (150 users)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10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30 Apr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13 May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M5, 1.6.1</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Mahir, Service desk</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1.6.3</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Phased rollout to all sites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20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19 May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16 Jun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1.6.2 FS+3d</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Mahir, Partner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M6</w:t>
            </w:r>
          </w:p>
        </w:tc>
        <w:tc>
          <w:tcPr>
            <w:tcW w:type="dxa" w:w="300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Go-live complete</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16 Jun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16 Jun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1.6.3</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Sponsor</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1.6.4</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Hypercare, first access review, legacy clean-up</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20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17 Jun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14 Jul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M6</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IT Ops, Architect</w:t>
            </w:r>
          </w:p>
        </w:tc>
      </w:tr>
      <w:tr>
        <w:trPr>
          <w:cantSplit/>
        </w:trPr>
        <w:tc>
          <w:tcPr>
            <w:tcW w:type="dxa" w:w="620"/>
            <w:shd w:fill="E4ECE9" w:color="auto" w:val="clear"/>
            <w:tcMar>
              <w:top w:type="dxa" w:w="50"/>
              <w:left w:type="dxa" w:w="80"/>
              <w:bottom w:type="dxa" w:w="50"/>
              <w:right w:type="dxa" w:w="80"/>
            </w:tcMar>
            <w:vAlign w:val="top"/>
          </w:tcPr>
          <w:p>
            <w:pPr>
              <w:spacing w:after="0" w:before="0" w:line="240"/>
            </w:pPr>
            <w:r>
              <w:rPr>
                <w:b/>
                <w:bCs/>
                <w:sz w:val="16"/>
                <w:szCs w:val="16"/>
              </w:rPr>
              <w:t xml:space="preserve">1.7</w:t>
            </w:r>
          </w:p>
        </w:tc>
        <w:tc>
          <w:tcPr>
            <w:tcW w:type="dxa" w:w="3000"/>
            <w:shd w:fill="E4ECE9" w:color="auto" w:val="clear"/>
            <w:tcMar>
              <w:top w:type="dxa" w:w="50"/>
              <w:left w:type="dxa" w:w="80"/>
              <w:bottom w:type="dxa" w:w="50"/>
              <w:right w:type="dxa" w:w="80"/>
            </w:tcMar>
            <w:vAlign w:val="top"/>
          </w:tcPr>
          <w:p>
            <w:pPr>
              <w:spacing w:after="0" w:before="0" w:line="240"/>
            </w:pPr>
            <w:r>
              <w:rPr>
                <w:b/>
                <w:bCs/>
                <w:sz w:val="16"/>
                <w:szCs w:val="16"/>
              </w:rPr>
              <w:t xml:space="preserve">Closure</w:t>
            </w: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15 Jul 2027</w:t>
            </w:r>
          </w:p>
        </w:tc>
        <w:tc>
          <w:tcPr>
            <w:tcW w:type="dxa" w:w="1080"/>
            <w:shd w:fill="E4ECE9" w:color="auto" w:val="clear"/>
            <w:tcMar>
              <w:top w:type="dxa" w:w="50"/>
              <w:left w:type="dxa" w:w="80"/>
              <w:bottom w:type="dxa" w:w="50"/>
              <w:right w:type="dxa" w:w="80"/>
            </w:tcMar>
            <w:vAlign w:val="top"/>
          </w:tcPr>
          <w:p>
            <w:pPr>
              <w:spacing w:after="0" w:before="0" w:line="240"/>
            </w:pPr>
            <w:r>
              <w:rPr>
                <w:b/>
                <w:bCs/>
                <w:sz w:val="16"/>
                <w:szCs w:val="16"/>
              </w:rPr>
              <w:t xml:space="preserve">28 Jul 2027</w:t>
            </w:r>
          </w:p>
        </w:tc>
        <w:tc>
          <w:tcPr>
            <w:tcW w:type="dxa" w:w="1250"/>
            <w:shd w:fill="E4ECE9" w:color="auto" w:val="clear"/>
            <w:tcMar>
              <w:top w:type="dxa" w:w="50"/>
              <w:left w:type="dxa" w:w="80"/>
              <w:bottom w:type="dxa" w:w="50"/>
              <w:right w:type="dxa" w:w="80"/>
            </w:tcMar>
            <w:vAlign w:val="top"/>
          </w:tcPr>
          <w:p>
            <w:pPr>
              <w:spacing w:after="0" w:before="0" w:line="240"/>
            </w:pPr>
          </w:p>
        </w:tc>
        <w:tc>
          <w:tcPr>
            <w:tcW w:type="dxa" w:w="560"/>
            <w:shd w:fill="E4ECE9" w:color="auto" w:val="clear"/>
            <w:tcMar>
              <w:top w:type="dxa" w:w="50"/>
              <w:left w:type="dxa" w:w="80"/>
              <w:bottom w:type="dxa" w:w="50"/>
              <w:right w:type="dxa" w:w="80"/>
            </w:tcMar>
            <w:vAlign w:val="top"/>
          </w:tcPr>
          <w:p>
            <w:pPr>
              <w:spacing w:after="0" w:before="0" w:line="240"/>
              <w:jc w:val="center"/>
            </w:pPr>
          </w:p>
        </w:tc>
        <w:tc>
          <w:tcPr>
            <w:tcW w:type="dxa" w:w="1488"/>
            <w:shd w:fill="E4ECE9" w:color="auto" w:val="clear"/>
            <w:tcMar>
              <w:top w:type="dxa" w:w="50"/>
              <w:left w:type="dxa" w:w="80"/>
              <w:bottom w:type="dxa" w:w="50"/>
              <w:right w:type="dxa" w:w="80"/>
            </w:tcMar>
            <w:vAlign w:val="top"/>
          </w:tcPr>
          <w:p>
            <w:pPr>
              <w:spacing w:after="0" w:before="0" w:line="240"/>
            </w:pP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1.7.1</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Handover to IT operations</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5</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15 Jul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21 Jul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1.6.4</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Mahir, IT Ops</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1.7.2</w:t>
            </w:r>
          </w:p>
        </w:tc>
        <w:tc>
          <w:tcPr>
            <w:tcW w:type="dxa" w:w="3000"/>
            <w:shd w:fill="FFFFFF" w:color="auto" w:val="clear"/>
            <w:tcMar>
              <w:top w:type="dxa" w:w="50"/>
              <w:left w:type="dxa" w:w="80"/>
              <w:bottom w:type="dxa" w:w="50"/>
              <w:right w:type="dxa" w:w="80"/>
            </w:tcMar>
            <w:vAlign w:val="top"/>
          </w:tcPr>
          <w:p>
            <w:pPr>
              <w:spacing w:after="0" w:before="0" w:line="240"/>
            </w:pPr>
            <w:r>
              <w:rPr>
                <w:b w:val="false"/>
                <w:bCs w:val="false"/>
                <w:color w:val="A93226"/>
                <w:sz w:val="16"/>
                <w:szCs w:val="16"/>
              </w:rPr>
              <w:t xml:space="preserve">Benefits check, lessons learned, closure report</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5</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22 Jul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28 Jul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1.7.1</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Toufiq</w:t>
            </w:r>
          </w:p>
        </w:tc>
      </w:tr>
      <w:tr>
        <w:trPr>
          <w:cantSplit/>
        </w:trPr>
        <w:tc>
          <w:tcPr>
            <w:tcW w:type="dxa" w:w="62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M7</w:t>
            </w:r>
          </w:p>
        </w:tc>
        <w:tc>
          <w:tcPr>
            <w:tcW w:type="dxa" w:w="3000"/>
            <w:shd w:fill="FFFFFF" w:color="auto" w:val="clear"/>
            <w:tcMar>
              <w:top w:type="dxa" w:w="50"/>
              <w:left w:type="dxa" w:w="80"/>
              <w:bottom w:type="dxa" w:w="50"/>
              <w:right w:type="dxa" w:w="80"/>
            </w:tcMar>
            <w:vAlign w:val="top"/>
          </w:tcPr>
          <w:p>
            <w:pPr>
              <w:spacing w:after="0" w:before="0" w:line="240"/>
            </w:pPr>
            <w:r>
              <w:rPr>
                <w:b/>
                <w:bCs/>
                <w:color w:val="A93226"/>
                <w:sz w:val="16"/>
                <w:szCs w:val="16"/>
              </w:rPr>
              <w:t xml:space="preserve">Project closed</w:t>
            </w:r>
          </w:p>
        </w:tc>
        <w:tc>
          <w:tcPr>
            <w:tcW w:type="dxa" w:w="560"/>
            <w:shd w:fill="FFFFFF" w:color="auto" w:val="clear"/>
            <w:tcMar>
              <w:top w:type="dxa" w:w="50"/>
              <w:left w:type="dxa" w:w="80"/>
              <w:bottom w:type="dxa" w:w="50"/>
              <w:right w:type="dxa" w:w="80"/>
            </w:tcMar>
            <w:vAlign w:val="top"/>
          </w:tcPr>
          <w:p>
            <w:pPr>
              <w:spacing w:after="0" w:before="0" w:line="240"/>
              <w:jc w:val="center"/>
            </w:pPr>
            <w:r>
              <w:rPr>
                <w:sz w:val="16"/>
                <w:szCs w:val="16"/>
              </w:rPr>
              <w:t xml:space="preserve">0</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28 Jul 2027</w:t>
            </w:r>
          </w:p>
        </w:tc>
        <w:tc>
          <w:tcPr>
            <w:tcW w:type="dxa" w:w="1080"/>
            <w:shd w:fill="FFFFFF" w:color="auto" w:val="clear"/>
            <w:tcMar>
              <w:top w:type="dxa" w:w="50"/>
              <w:left w:type="dxa" w:w="80"/>
              <w:bottom w:type="dxa" w:w="50"/>
              <w:right w:type="dxa" w:w="80"/>
            </w:tcMar>
            <w:vAlign w:val="top"/>
          </w:tcPr>
          <w:p>
            <w:pPr>
              <w:spacing w:after="0" w:before="0" w:line="240"/>
            </w:pPr>
            <w:r>
              <w:rPr>
                <w:sz w:val="16"/>
                <w:szCs w:val="16"/>
              </w:rPr>
              <w:t xml:space="preserve">28 Jul 2027</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1.7.2</w:t>
            </w:r>
          </w:p>
        </w:tc>
        <w:tc>
          <w:tcPr>
            <w:tcW w:type="dxa" w:w="560"/>
            <w:shd w:fill="FFFFFF" w:color="auto" w:val="clear"/>
            <w:tcMar>
              <w:top w:type="dxa" w:w="50"/>
              <w:left w:type="dxa" w:w="80"/>
              <w:bottom w:type="dxa" w:w="50"/>
              <w:right w:type="dxa" w:w="80"/>
            </w:tcMar>
            <w:vAlign w:val="top"/>
          </w:tcPr>
          <w:p>
            <w:pPr>
              <w:spacing w:after="0" w:before="0" w:line="240"/>
              <w:jc w:val="center"/>
            </w:pPr>
            <w:r>
              <w:rPr>
                <w:color w:val="A93226"/>
                <w:sz w:val="16"/>
                <w:szCs w:val="16"/>
              </w:rPr>
              <w:t xml:space="preserve">0</w:t>
            </w:r>
          </w:p>
        </w:tc>
        <w:tc>
          <w:tcPr>
            <w:tcW w:type="dxa" w:w="1488"/>
            <w:shd w:fill="FFFFFF" w:color="auto" w:val="clear"/>
            <w:tcMar>
              <w:top w:type="dxa" w:w="50"/>
              <w:left w:type="dxa" w:w="80"/>
              <w:bottom w:type="dxa" w:w="50"/>
              <w:right w:type="dxa" w:w="80"/>
            </w:tcMar>
            <w:vAlign w:val="top"/>
          </w:tcPr>
          <w:p>
            <w:pPr>
              <w:spacing w:after="0" w:before="0" w:line="240"/>
            </w:pPr>
            <w:r>
              <w:rPr>
                <w:sz w:val="16"/>
                <w:szCs w:val="16"/>
              </w:rPr>
              <w:t xml:space="preserve">Sponsor</w:t>
            </w:r>
          </w:p>
        </w:tc>
      </w:tr>
    </w:tbl>
    <w:p>
      <w:pPr>
        <w:pStyle w:val="Heading1"/>
      </w:pPr>
      <w:r>
        <w:t xml:space="preserve">8. Risk management plan</w:t>
      </w:r>
    </w:p>
    <w:p>
      <w:pPr>
        <w:keepNext/>
        <w:spacing w:after="120"/>
      </w:pPr>
      <w:r>
        <w:rPr>
          <w:i/>
          <w:iCs/>
          <w:color w:val="5D666B"/>
          <w:sz w:val="18"/>
          <w:szCs w:val="18"/>
        </w:rPr>
        <w:t xml:space="preserve">Section owner: Toufiq Ahmed Joy</w:t>
      </w:r>
    </w:p>
    <w:p>
      <w:r>
        <w:t xml:space="preserve">The process follows ISO 31000 [14] and the PMBOK Guide's risk domain [12]:</w:t>
      </w:r>
    </w:p>
    <w:p>
      <w:pPr>
        <w:pStyle w:val="ListParagraph"/>
        <w:numPr>
          <w:ilvl w:val="0"/>
          <w:numId w:val="4"/>
        </w:numPr>
        <w:spacing w:after="60"/>
      </w:pPr>
      <w:r>
        <w:rPr>
          <w:b/>
          <w:bCs/>
        </w:rPr>
        <w:t xml:space="preserve">Identify</w:t>
      </w:r>
      <w:r>
        <w:t xml:space="preserve"> risks at kickoff, from the current-state assessment and the research in Section 2, and again at each gate.</w:t>
      </w:r>
    </w:p>
    <w:p>
      <w:pPr>
        <w:pStyle w:val="ListParagraph"/>
        <w:numPr>
          <w:ilvl w:val="0"/>
          <w:numId w:val="4"/>
        </w:numPr>
        <w:spacing w:after="60"/>
      </w:pPr>
      <w:r>
        <w:rPr>
          <w:b/>
          <w:bCs/>
        </w:rPr>
        <w:t xml:space="preserve">Analyse</w:t>
      </w:r>
      <w:r>
        <w:t xml:space="preserve"> each risk first by score, using the 5 × 5 scales in Table 12, then in dollars as expected monetary value (EMV = probability × cost impact).</w:t>
      </w:r>
    </w:p>
    <w:p>
      <w:pPr>
        <w:pStyle w:val="ListParagraph"/>
        <w:numPr>
          <w:ilvl w:val="0"/>
          <w:numId w:val="4"/>
        </w:numPr>
        <w:spacing w:after="60"/>
      </w:pPr>
      <w:r>
        <w:rPr>
          <w:b/>
          <w:bCs/>
        </w:rPr>
        <w:t xml:space="preserve">Plan responses</w:t>
      </w:r>
      <w:r>
        <w:t xml:space="preserve">: avoid, mitigate, transfer or accept. Every risk has a mitigation (done beforehand) and a contingency (done if it happens).</w:t>
      </w:r>
    </w:p>
    <w:p>
      <w:pPr>
        <w:pStyle w:val="ListParagraph"/>
        <w:numPr>
          <w:ilvl w:val="0"/>
          <w:numId w:val="4"/>
        </w:numPr>
        <w:spacing w:after="60"/>
      </w:pPr>
      <w:r>
        <w:rPr>
          <w:b/>
          <w:bCs/>
        </w:rPr>
        <w:t xml:space="preserve">Monitor</w:t>
      </w:r>
      <w:r>
        <w:t xml:space="preserve"> triggers through each risk's owner. The register is reviewed weekly with clinical and IT staff present [15], top risks go to the sponsor monthly, and the register is version-controlled in risk/risk_register.csv.</w:t>
      </w:r>
    </w:p>
    <w:p>
      <w:pPr>
        <w:pStyle w:val="Caption"/>
        <w:keepNext/>
        <w:spacing w:after="80" w:before="200"/>
      </w:pPr>
      <w:r>
        <w:rPr>
          <w:b/>
          <w:bCs/>
        </w:rPr>
        <w:t xml:space="preserve">Table 12. </w:t>
      </w:r>
      <w:r>
        <w:t xml:space="preserve">Probability and impact scales</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700"/>
        <w:gridCol w:w="2100"/>
        <w:gridCol w:w="6838"/>
      </w:tblGrid>
      <w:tr>
        <w:trPr>
          <w:cantSplit/>
          <w:tblHeader/>
        </w:trPr>
        <w:tc>
          <w:tcPr>
            <w:tcW w:type="dxa" w:w="700"/>
            <w:shd w:fill="2F5D50" w:color="auto" w:val="clear"/>
            <w:tcMar>
              <w:top w:type="dxa" w:w="60"/>
              <w:left w:type="dxa" w:w="80"/>
              <w:bottom w:type="dxa" w:w="60"/>
              <w:right w:type="dxa" w:w="80"/>
            </w:tcMar>
            <w:vAlign w:val="center"/>
          </w:tcPr>
          <w:p>
            <w:pPr>
              <w:spacing w:after="0" w:before="0" w:line="240"/>
              <w:jc w:val="center"/>
            </w:pPr>
            <w:r>
              <w:rPr>
                <w:b/>
                <w:bCs/>
                <w:color w:val="FFFFFF"/>
                <w:sz w:val="17"/>
                <w:szCs w:val="17"/>
              </w:rPr>
              <w:t xml:space="preserve">Score</w:t>
            </w:r>
          </w:p>
        </w:tc>
        <w:tc>
          <w:tcPr>
            <w:tcW w:type="dxa" w:w="21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Probability</w:t>
            </w:r>
          </w:p>
        </w:tc>
        <w:tc>
          <w:tcPr>
            <w:tcW w:type="dxa" w:w="68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Impact (the highest of cost, schedule or clinical effect)</w:t>
            </w:r>
          </w:p>
        </w:tc>
      </w:tr>
      <w:tr>
        <w:trPr>
          <w:cantSplit/>
        </w:trPr>
        <w:tc>
          <w:tcPr>
            <w:tcW w:type="dxa" w:w="700"/>
            <w:shd w:fill="FFFFFF" w:color="auto" w:val="clear"/>
            <w:tcMar>
              <w:top w:type="dxa" w:w="50"/>
              <w:left w:type="dxa" w:w="80"/>
              <w:bottom w:type="dxa" w:w="50"/>
              <w:right w:type="dxa" w:w="80"/>
            </w:tcMar>
            <w:vAlign w:val="top"/>
          </w:tcPr>
          <w:p>
            <w:pPr>
              <w:spacing w:after="0" w:before="0" w:line="240"/>
              <w:jc w:val="center"/>
            </w:pPr>
            <w:r>
              <w:rPr>
                <w:sz w:val="17"/>
                <w:szCs w:val="17"/>
              </w:rPr>
              <w:t xml:space="preserve">1</w:t>
            </w:r>
          </w:p>
        </w:tc>
        <w:tc>
          <w:tcPr>
            <w:tcW w:type="dxa" w:w="2100"/>
            <w:shd w:fill="FFFFFF" w:color="auto" w:val="clear"/>
            <w:tcMar>
              <w:top w:type="dxa" w:w="50"/>
              <w:left w:type="dxa" w:w="80"/>
              <w:bottom w:type="dxa" w:w="50"/>
              <w:right w:type="dxa" w:w="80"/>
            </w:tcMar>
            <w:vAlign w:val="top"/>
          </w:tcPr>
          <w:p>
            <w:pPr>
              <w:spacing w:after="0" w:before="0" w:line="240"/>
            </w:pPr>
            <w:r>
              <w:rPr>
                <w:sz w:val="17"/>
                <w:szCs w:val="17"/>
              </w:rPr>
              <w:t xml:space="preserve">Rare (&lt; 10%)</w:t>
            </w:r>
          </w:p>
        </w:tc>
        <w:tc>
          <w:tcPr>
            <w:tcW w:type="dxa" w:w="6838"/>
            <w:shd w:fill="FFFFFF" w:color="auto" w:val="clear"/>
            <w:tcMar>
              <w:top w:type="dxa" w:w="50"/>
              <w:left w:type="dxa" w:w="80"/>
              <w:bottom w:type="dxa" w:w="50"/>
              <w:right w:type="dxa" w:w="80"/>
            </w:tcMar>
            <w:vAlign w:val="top"/>
          </w:tcPr>
          <w:p>
            <w:pPr>
              <w:spacing w:after="0" w:before="0" w:line="240"/>
            </w:pPr>
            <w:r>
              <w:rPr>
                <w:sz w:val="17"/>
                <w:szCs w:val="17"/>
              </w:rPr>
              <w:t xml:space="preserve">Negligible: &lt; AUD 5,000; &lt; 2 days; no clinical effect</w:t>
            </w:r>
          </w:p>
        </w:tc>
      </w:tr>
      <w:tr>
        <w:trPr>
          <w:cantSplit/>
        </w:trPr>
        <w:tc>
          <w:tcPr>
            <w:tcW w:type="dxa" w:w="700"/>
            <w:shd w:fill="F2F5F4" w:color="auto" w:val="clear"/>
            <w:tcMar>
              <w:top w:type="dxa" w:w="50"/>
              <w:left w:type="dxa" w:w="80"/>
              <w:bottom w:type="dxa" w:w="50"/>
              <w:right w:type="dxa" w:w="80"/>
            </w:tcMar>
            <w:vAlign w:val="top"/>
          </w:tcPr>
          <w:p>
            <w:pPr>
              <w:spacing w:after="0" w:before="0" w:line="240"/>
              <w:jc w:val="center"/>
            </w:pPr>
            <w:r>
              <w:rPr>
                <w:sz w:val="17"/>
                <w:szCs w:val="17"/>
              </w:rPr>
              <w:t xml:space="preserve">2</w:t>
            </w:r>
          </w:p>
        </w:tc>
        <w:tc>
          <w:tcPr>
            <w:tcW w:type="dxa" w:w="2100"/>
            <w:shd w:fill="F2F5F4" w:color="auto" w:val="clear"/>
            <w:tcMar>
              <w:top w:type="dxa" w:w="50"/>
              <w:left w:type="dxa" w:w="80"/>
              <w:bottom w:type="dxa" w:w="50"/>
              <w:right w:type="dxa" w:w="80"/>
            </w:tcMar>
            <w:vAlign w:val="top"/>
          </w:tcPr>
          <w:p>
            <w:pPr>
              <w:spacing w:after="0" w:before="0" w:line="240"/>
            </w:pPr>
            <w:r>
              <w:rPr>
                <w:sz w:val="17"/>
                <w:szCs w:val="17"/>
              </w:rPr>
              <w:t xml:space="preserve">Unlikely (10–29%)</w:t>
            </w:r>
          </w:p>
        </w:tc>
        <w:tc>
          <w:tcPr>
            <w:tcW w:type="dxa" w:w="6838"/>
            <w:shd w:fill="F2F5F4" w:color="auto" w:val="clear"/>
            <w:tcMar>
              <w:top w:type="dxa" w:w="50"/>
              <w:left w:type="dxa" w:w="80"/>
              <w:bottom w:type="dxa" w:w="50"/>
              <w:right w:type="dxa" w:w="80"/>
            </w:tcMar>
            <w:vAlign w:val="top"/>
          </w:tcPr>
          <w:p>
            <w:pPr>
              <w:spacing w:after="0" w:before="0" w:line="240"/>
            </w:pPr>
            <w:r>
              <w:rPr>
                <w:sz w:val="17"/>
                <w:szCs w:val="17"/>
              </w:rPr>
              <w:t xml:space="preserve">Minor: AUD 5,000 to &lt; 20,000; 2–5 days; workaround available</w:t>
            </w:r>
          </w:p>
        </w:tc>
      </w:tr>
      <w:tr>
        <w:trPr>
          <w:cantSplit/>
        </w:trPr>
        <w:tc>
          <w:tcPr>
            <w:tcW w:type="dxa" w:w="700"/>
            <w:shd w:fill="FFFFFF" w:color="auto" w:val="clear"/>
            <w:tcMar>
              <w:top w:type="dxa" w:w="50"/>
              <w:left w:type="dxa" w:w="80"/>
              <w:bottom w:type="dxa" w:w="50"/>
              <w:right w:type="dxa" w:w="80"/>
            </w:tcMar>
            <w:vAlign w:val="top"/>
          </w:tcPr>
          <w:p>
            <w:pPr>
              <w:spacing w:after="0" w:before="0" w:line="240"/>
              <w:jc w:val="center"/>
            </w:pPr>
            <w:r>
              <w:rPr>
                <w:sz w:val="17"/>
                <w:szCs w:val="17"/>
              </w:rPr>
              <w:t xml:space="preserve">3</w:t>
            </w:r>
          </w:p>
        </w:tc>
        <w:tc>
          <w:tcPr>
            <w:tcW w:type="dxa" w:w="2100"/>
            <w:shd w:fill="FFFFFF" w:color="auto" w:val="clear"/>
            <w:tcMar>
              <w:top w:type="dxa" w:w="50"/>
              <w:left w:type="dxa" w:w="80"/>
              <w:bottom w:type="dxa" w:w="50"/>
              <w:right w:type="dxa" w:w="80"/>
            </w:tcMar>
            <w:vAlign w:val="top"/>
          </w:tcPr>
          <w:p>
            <w:pPr>
              <w:spacing w:after="0" w:before="0" w:line="240"/>
            </w:pPr>
            <w:r>
              <w:rPr>
                <w:sz w:val="17"/>
                <w:szCs w:val="17"/>
              </w:rPr>
              <w:t xml:space="preserve">Possible (30–49%)</w:t>
            </w:r>
          </w:p>
        </w:tc>
        <w:tc>
          <w:tcPr>
            <w:tcW w:type="dxa" w:w="6838"/>
            <w:shd w:fill="FFFFFF" w:color="auto" w:val="clear"/>
            <w:tcMar>
              <w:top w:type="dxa" w:w="50"/>
              <w:left w:type="dxa" w:w="80"/>
              <w:bottom w:type="dxa" w:w="50"/>
              <w:right w:type="dxa" w:w="80"/>
            </w:tcMar>
            <w:vAlign w:val="top"/>
          </w:tcPr>
          <w:p>
            <w:pPr>
              <w:spacing w:after="0" w:before="0" w:line="240"/>
            </w:pPr>
            <w:r>
              <w:rPr>
                <w:sz w:val="17"/>
                <w:szCs w:val="17"/>
              </w:rPr>
              <w:t xml:space="preserve">Moderate: AUD 20,000 to &lt; 50,000; 1–2 weeks; disruption at one site</w:t>
            </w:r>
          </w:p>
        </w:tc>
      </w:tr>
      <w:tr>
        <w:trPr>
          <w:cantSplit/>
        </w:trPr>
        <w:tc>
          <w:tcPr>
            <w:tcW w:type="dxa" w:w="700"/>
            <w:shd w:fill="F2F5F4" w:color="auto" w:val="clear"/>
            <w:tcMar>
              <w:top w:type="dxa" w:w="50"/>
              <w:left w:type="dxa" w:w="80"/>
              <w:bottom w:type="dxa" w:w="50"/>
              <w:right w:type="dxa" w:w="80"/>
            </w:tcMar>
            <w:vAlign w:val="top"/>
          </w:tcPr>
          <w:p>
            <w:pPr>
              <w:spacing w:after="0" w:before="0" w:line="240"/>
              <w:jc w:val="center"/>
            </w:pPr>
            <w:r>
              <w:rPr>
                <w:sz w:val="17"/>
                <w:szCs w:val="17"/>
              </w:rPr>
              <w:t xml:space="preserve">4</w:t>
            </w:r>
          </w:p>
        </w:tc>
        <w:tc>
          <w:tcPr>
            <w:tcW w:type="dxa" w:w="2100"/>
            <w:shd w:fill="F2F5F4" w:color="auto" w:val="clear"/>
            <w:tcMar>
              <w:top w:type="dxa" w:w="50"/>
              <w:left w:type="dxa" w:w="80"/>
              <w:bottom w:type="dxa" w:w="50"/>
              <w:right w:type="dxa" w:w="80"/>
            </w:tcMar>
            <w:vAlign w:val="top"/>
          </w:tcPr>
          <w:p>
            <w:pPr>
              <w:spacing w:after="0" w:before="0" w:line="240"/>
            </w:pPr>
            <w:r>
              <w:rPr>
                <w:sz w:val="17"/>
                <w:szCs w:val="17"/>
              </w:rPr>
              <w:t xml:space="preserve">Likely (50–69%)</w:t>
            </w:r>
          </w:p>
        </w:tc>
        <w:tc>
          <w:tcPr>
            <w:tcW w:type="dxa" w:w="6838"/>
            <w:shd w:fill="F2F5F4" w:color="auto" w:val="clear"/>
            <w:tcMar>
              <w:top w:type="dxa" w:w="50"/>
              <w:left w:type="dxa" w:w="80"/>
              <w:bottom w:type="dxa" w:w="50"/>
              <w:right w:type="dxa" w:w="80"/>
            </w:tcMar>
            <w:vAlign w:val="top"/>
          </w:tcPr>
          <w:p>
            <w:pPr>
              <w:spacing w:after="0" w:before="0" w:line="240"/>
            </w:pPr>
            <w:r>
              <w:rPr>
                <w:sz w:val="17"/>
                <w:szCs w:val="17"/>
              </w:rPr>
              <w:t xml:space="preserve">Major: AUD 50,000 to &lt; 100,000; 2–4 weeks; clinical access disrupted at several sites</w:t>
            </w:r>
          </w:p>
        </w:tc>
      </w:tr>
      <w:tr>
        <w:trPr>
          <w:cantSplit/>
        </w:trPr>
        <w:tc>
          <w:tcPr>
            <w:tcW w:type="dxa" w:w="700"/>
            <w:shd w:fill="FFFFFF" w:color="auto" w:val="clear"/>
            <w:tcMar>
              <w:top w:type="dxa" w:w="50"/>
              <w:left w:type="dxa" w:w="80"/>
              <w:bottom w:type="dxa" w:w="50"/>
              <w:right w:type="dxa" w:w="80"/>
            </w:tcMar>
            <w:vAlign w:val="top"/>
          </w:tcPr>
          <w:p>
            <w:pPr>
              <w:spacing w:after="0" w:before="0" w:line="240"/>
              <w:jc w:val="center"/>
            </w:pPr>
            <w:r>
              <w:rPr>
                <w:sz w:val="17"/>
                <w:szCs w:val="17"/>
              </w:rPr>
              <w:t xml:space="preserve">5</w:t>
            </w:r>
          </w:p>
        </w:tc>
        <w:tc>
          <w:tcPr>
            <w:tcW w:type="dxa" w:w="2100"/>
            <w:shd w:fill="FFFFFF" w:color="auto" w:val="clear"/>
            <w:tcMar>
              <w:top w:type="dxa" w:w="50"/>
              <w:left w:type="dxa" w:w="80"/>
              <w:bottom w:type="dxa" w:w="50"/>
              <w:right w:type="dxa" w:w="80"/>
            </w:tcMar>
            <w:vAlign w:val="top"/>
          </w:tcPr>
          <w:p>
            <w:pPr>
              <w:spacing w:after="0" w:before="0" w:line="240"/>
            </w:pPr>
            <w:r>
              <w:rPr>
                <w:sz w:val="17"/>
                <w:szCs w:val="17"/>
              </w:rPr>
              <w:t xml:space="preserve">Almost certain (≥ 70%)</w:t>
            </w:r>
          </w:p>
        </w:tc>
        <w:tc>
          <w:tcPr>
            <w:tcW w:type="dxa" w:w="6838"/>
            <w:shd w:fill="FFFFFF" w:color="auto" w:val="clear"/>
            <w:tcMar>
              <w:top w:type="dxa" w:w="50"/>
              <w:left w:type="dxa" w:w="80"/>
              <w:bottom w:type="dxa" w:w="50"/>
              <w:right w:type="dxa" w:w="80"/>
            </w:tcMar>
            <w:vAlign w:val="top"/>
          </w:tcPr>
          <w:p>
            <w:pPr>
              <w:spacing w:after="0" w:before="0" w:line="240"/>
            </w:pPr>
            <w:r>
              <w:rPr>
                <w:sz w:val="17"/>
                <w:szCs w:val="17"/>
              </w:rPr>
              <w:t xml:space="preserve">Severe: ≥ AUD 100,000; &gt; 4 weeks or a milestone missed; patient-safety effect</w:t>
            </w:r>
          </w:p>
        </w:tc>
      </w:tr>
    </w:tbl>
    <w:p>
      <w:pPr>
        <w:spacing w:before="80"/>
      </w:pPr>
      <w:r>
        <w:rPr>
          <w:color w:val="5D666B"/>
          <w:sz w:val="18"/>
          <w:szCs w:val="18"/>
        </w:rPr>
        <w:t xml:space="preserve">Score = probability × impact: 1–4 Low, 5–9 Medium, 10–16 High, 20–25 Extreme.</w:t>
      </w:r>
    </w:p>
    <w:p>
      <w:pPr>
        <w:pStyle w:val="Caption"/>
        <w:keepNext/>
        <w:spacing w:after="80" w:before="200"/>
      </w:pPr>
      <w:r>
        <w:rPr>
          <w:b/>
          <w:bCs/>
        </w:rPr>
        <w:t xml:space="preserve">Table 13. </w:t>
      </w:r>
      <w:r>
        <w:t xml:space="preserve">Probability × impact matrix showing where each risk sits</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038"/>
        <w:gridCol w:w="1520"/>
        <w:gridCol w:w="1520"/>
        <w:gridCol w:w="1520"/>
        <w:gridCol w:w="1520"/>
        <w:gridCol w:w="1520"/>
      </w:tblGrid>
      <w:tr>
        <w:trPr>
          <w:cantSplit/>
          <w:tblHeader/>
        </w:trPr>
        <w:tc>
          <w:tcPr>
            <w:tcW w:type="dxa" w:w="20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Probability ↓ / Impact →</w:t>
            </w:r>
          </w:p>
        </w:tc>
        <w:tc>
          <w:tcPr>
            <w:tcW w:type="dxa" w:w="1520"/>
            <w:shd w:fill="2F5D50" w:color="auto" w:val="clear"/>
            <w:tcMar>
              <w:top w:type="dxa" w:w="60"/>
              <w:left w:type="dxa" w:w="80"/>
              <w:bottom w:type="dxa" w:w="60"/>
              <w:right w:type="dxa" w:w="80"/>
            </w:tcMar>
            <w:vAlign w:val="center"/>
          </w:tcPr>
          <w:p>
            <w:pPr>
              <w:spacing w:after="0" w:before="0" w:line="240"/>
              <w:jc w:val="center"/>
            </w:pPr>
            <w:r>
              <w:rPr>
                <w:b/>
                <w:bCs/>
                <w:color w:val="FFFFFF"/>
                <w:sz w:val="17"/>
                <w:szCs w:val="17"/>
              </w:rPr>
              <w:t xml:space="preserve">1 Negligible</w:t>
            </w:r>
          </w:p>
        </w:tc>
        <w:tc>
          <w:tcPr>
            <w:tcW w:type="dxa" w:w="1520"/>
            <w:shd w:fill="2F5D50" w:color="auto" w:val="clear"/>
            <w:tcMar>
              <w:top w:type="dxa" w:w="60"/>
              <w:left w:type="dxa" w:w="80"/>
              <w:bottom w:type="dxa" w:w="60"/>
              <w:right w:type="dxa" w:w="80"/>
            </w:tcMar>
            <w:vAlign w:val="center"/>
          </w:tcPr>
          <w:p>
            <w:pPr>
              <w:spacing w:after="0" w:before="0" w:line="240"/>
              <w:jc w:val="center"/>
            </w:pPr>
            <w:r>
              <w:rPr>
                <w:b/>
                <w:bCs/>
                <w:color w:val="FFFFFF"/>
                <w:sz w:val="17"/>
                <w:szCs w:val="17"/>
              </w:rPr>
              <w:t xml:space="preserve">2 Minor</w:t>
            </w:r>
          </w:p>
        </w:tc>
        <w:tc>
          <w:tcPr>
            <w:tcW w:type="dxa" w:w="1520"/>
            <w:shd w:fill="2F5D50" w:color="auto" w:val="clear"/>
            <w:tcMar>
              <w:top w:type="dxa" w:w="60"/>
              <w:left w:type="dxa" w:w="80"/>
              <w:bottom w:type="dxa" w:w="60"/>
              <w:right w:type="dxa" w:w="80"/>
            </w:tcMar>
            <w:vAlign w:val="center"/>
          </w:tcPr>
          <w:p>
            <w:pPr>
              <w:spacing w:after="0" w:before="0" w:line="240"/>
              <w:jc w:val="center"/>
            </w:pPr>
            <w:r>
              <w:rPr>
                <w:b/>
                <w:bCs/>
                <w:color w:val="FFFFFF"/>
                <w:sz w:val="17"/>
                <w:szCs w:val="17"/>
              </w:rPr>
              <w:t xml:space="preserve">3 Moderate</w:t>
            </w:r>
          </w:p>
        </w:tc>
        <w:tc>
          <w:tcPr>
            <w:tcW w:type="dxa" w:w="1520"/>
            <w:shd w:fill="2F5D50" w:color="auto" w:val="clear"/>
            <w:tcMar>
              <w:top w:type="dxa" w:w="60"/>
              <w:left w:type="dxa" w:w="80"/>
              <w:bottom w:type="dxa" w:w="60"/>
              <w:right w:type="dxa" w:w="80"/>
            </w:tcMar>
            <w:vAlign w:val="center"/>
          </w:tcPr>
          <w:p>
            <w:pPr>
              <w:spacing w:after="0" w:before="0" w:line="240"/>
              <w:jc w:val="center"/>
            </w:pPr>
            <w:r>
              <w:rPr>
                <w:b/>
                <w:bCs/>
                <w:color w:val="FFFFFF"/>
                <w:sz w:val="17"/>
                <w:szCs w:val="17"/>
              </w:rPr>
              <w:t xml:space="preserve">4 Major</w:t>
            </w:r>
          </w:p>
        </w:tc>
        <w:tc>
          <w:tcPr>
            <w:tcW w:type="dxa" w:w="1520"/>
            <w:shd w:fill="2F5D50" w:color="auto" w:val="clear"/>
            <w:tcMar>
              <w:top w:type="dxa" w:w="60"/>
              <w:left w:type="dxa" w:w="80"/>
              <w:bottom w:type="dxa" w:w="60"/>
              <w:right w:type="dxa" w:w="80"/>
            </w:tcMar>
            <w:vAlign w:val="center"/>
          </w:tcPr>
          <w:p>
            <w:pPr>
              <w:spacing w:after="0" w:before="0" w:line="240"/>
              <w:jc w:val="center"/>
            </w:pPr>
            <w:r>
              <w:rPr>
                <w:b/>
                <w:bCs/>
                <w:color w:val="FFFFFF"/>
                <w:sz w:val="17"/>
                <w:szCs w:val="17"/>
              </w:rPr>
              <w:t xml:space="preserve">5 Severe</w:t>
            </w:r>
          </w:p>
        </w:tc>
      </w:tr>
      <w:tr>
        <w:trPr>
          <w:cantSplit/>
        </w:trPr>
        <w:tc>
          <w:tcPr>
            <w:tcW w:type="dxa" w:w="2038"/>
            <w:shd w:fill="F2F5F4" w:color="auto" w:val="clear"/>
            <w:tcMar>
              <w:top w:type="dxa" w:w="50"/>
              <w:left w:type="dxa" w:w="80"/>
              <w:bottom w:type="dxa" w:w="50"/>
              <w:right w:type="dxa" w:w="80"/>
            </w:tcMar>
            <w:vAlign w:val="center"/>
          </w:tcPr>
          <w:p>
            <w:pPr>
              <w:spacing w:after="0" w:before="0" w:line="240"/>
            </w:pPr>
            <w:r>
              <w:rPr>
                <w:b/>
                <w:bCs/>
                <w:sz w:val="17"/>
                <w:szCs w:val="17"/>
              </w:rPr>
              <w:t xml:space="preserve">5 Almost certain</w:t>
            </w:r>
          </w:p>
        </w:tc>
        <w:tc>
          <w:tcPr>
            <w:tcW w:type="dxa" w:w="1520"/>
            <w:shd w:fill="FBEFC9"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F6D3C8"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F6D3C8"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E8A598"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E8A598"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r>
      <w:tr>
        <w:trPr>
          <w:cantSplit/>
        </w:trPr>
        <w:tc>
          <w:tcPr>
            <w:tcW w:type="dxa" w:w="2038"/>
            <w:shd w:fill="F2F5F4" w:color="auto" w:val="clear"/>
            <w:tcMar>
              <w:top w:type="dxa" w:w="50"/>
              <w:left w:type="dxa" w:w="80"/>
              <w:bottom w:type="dxa" w:w="50"/>
              <w:right w:type="dxa" w:w="80"/>
            </w:tcMar>
            <w:vAlign w:val="center"/>
          </w:tcPr>
          <w:p>
            <w:pPr>
              <w:spacing w:after="0" w:before="0" w:line="240"/>
            </w:pPr>
            <w:r>
              <w:rPr>
                <w:b/>
                <w:bCs/>
                <w:sz w:val="17"/>
                <w:szCs w:val="17"/>
              </w:rPr>
              <w:t xml:space="preserve">4 Likely</w:t>
            </w:r>
          </w:p>
        </w:tc>
        <w:tc>
          <w:tcPr>
            <w:tcW w:type="dxa" w:w="1520"/>
            <w:shd w:fill="DCEFE0"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FBEFC9"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F6D3C8" w:color="auto" w:val="clear"/>
            <w:tcMar>
              <w:top w:type="dxa" w:w="50"/>
              <w:left w:type="dxa" w:w="80"/>
              <w:bottom w:type="dxa" w:w="50"/>
              <w:right w:type="dxa" w:w="80"/>
            </w:tcMar>
            <w:vAlign w:val="center"/>
          </w:tcPr>
          <w:p>
            <w:pPr>
              <w:spacing w:after="0" w:before="0" w:line="240"/>
              <w:jc w:val="center"/>
            </w:pPr>
            <w:r>
              <w:rPr>
                <w:b/>
                <w:bCs/>
                <w:sz w:val="17"/>
                <w:szCs w:val="17"/>
              </w:rPr>
              <w:t xml:space="preserve">R03</w:t>
            </w:r>
          </w:p>
        </w:tc>
        <w:tc>
          <w:tcPr>
            <w:tcW w:type="dxa" w:w="1520"/>
            <w:shd w:fill="F6D3C8" w:color="auto" w:val="clear"/>
            <w:tcMar>
              <w:top w:type="dxa" w:w="50"/>
              <w:left w:type="dxa" w:w="80"/>
              <w:bottom w:type="dxa" w:w="50"/>
              <w:right w:type="dxa" w:w="80"/>
            </w:tcMar>
            <w:vAlign w:val="center"/>
          </w:tcPr>
          <w:p>
            <w:pPr>
              <w:spacing w:after="0" w:before="0" w:line="240"/>
              <w:jc w:val="center"/>
            </w:pPr>
            <w:r>
              <w:rPr>
                <w:b/>
                <w:bCs/>
                <w:sz w:val="17"/>
                <w:szCs w:val="17"/>
              </w:rPr>
              <w:t xml:space="preserve">R02</w:t>
            </w:r>
          </w:p>
        </w:tc>
        <w:tc>
          <w:tcPr>
            <w:tcW w:type="dxa" w:w="1520"/>
            <w:shd w:fill="E8A598"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r>
      <w:tr>
        <w:trPr>
          <w:cantSplit/>
        </w:trPr>
        <w:tc>
          <w:tcPr>
            <w:tcW w:type="dxa" w:w="2038"/>
            <w:shd w:fill="F2F5F4" w:color="auto" w:val="clear"/>
            <w:tcMar>
              <w:top w:type="dxa" w:w="50"/>
              <w:left w:type="dxa" w:w="80"/>
              <w:bottom w:type="dxa" w:w="50"/>
              <w:right w:type="dxa" w:w="80"/>
            </w:tcMar>
            <w:vAlign w:val="center"/>
          </w:tcPr>
          <w:p>
            <w:pPr>
              <w:spacing w:after="0" w:before="0" w:line="240"/>
            </w:pPr>
            <w:r>
              <w:rPr>
                <w:b/>
                <w:bCs/>
                <w:sz w:val="17"/>
                <w:szCs w:val="17"/>
              </w:rPr>
              <w:t xml:space="preserve">3 Possible</w:t>
            </w:r>
          </w:p>
        </w:tc>
        <w:tc>
          <w:tcPr>
            <w:tcW w:type="dxa" w:w="1520"/>
            <w:shd w:fill="DCEFE0"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FBEFC9" w:color="auto" w:val="clear"/>
            <w:tcMar>
              <w:top w:type="dxa" w:w="50"/>
              <w:left w:type="dxa" w:w="80"/>
              <w:bottom w:type="dxa" w:w="50"/>
              <w:right w:type="dxa" w:w="80"/>
            </w:tcMar>
            <w:vAlign w:val="center"/>
          </w:tcPr>
          <w:p>
            <w:pPr>
              <w:spacing w:after="0" w:before="0" w:line="240"/>
              <w:jc w:val="center"/>
            </w:pPr>
            <w:r>
              <w:rPr>
                <w:b/>
                <w:bCs/>
                <w:sz w:val="17"/>
                <w:szCs w:val="17"/>
              </w:rPr>
              <w:t xml:space="preserve">R06</w:t>
            </w:r>
          </w:p>
        </w:tc>
        <w:tc>
          <w:tcPr>
            <w:tcW w:type="dxa" w:w="1520"/>
            <w:shd w:fill="FBEFC9" w:color="auto" w:val="clear"/>
            <w:tcMar>
              <w:top w:type="dxa" w:w="50"/>
              <w:left w:type="dxa" w:w="80"/>
              <w:bottom w:type="dxa" w:w="50"/>
              <w:right w:type="dxa" w:w="80"/>
            </w:tcMar>
            <w:vAlign w:val="center"/>
          </w:tcPr>
          <w:p>
            <w:pPr>
              <w:spacing w:after="0" w:before="0" w:line="240"/>
              <w:jc w:val="center"/>
            </w:pPr>
            <w:r>
              <w:rPr>
                <w:b/>
                <w:bCs/>
                <w:sz w:val="17"/>
                <w:szCs w:val="17"/>
              </w:rPr>
              <w:t xml:space="preserve">R05, R07, R10</w:t>
            </w:r>
          </w:p>
        </w:tc>
        <w:tc>
          <w:tcPr>
            <w:tcW w:type="dxa" w:w="1520"/>
            <w:shd w:fill="F6D3C8" w:color="auto" w:val="clear"/>
            <w:tcMar>
              <w:top w:type="dxa" w:w="50"/>
              <w:left w:type="dxa" w:w="80"/>
              <w:bottom w:type="dxa" w:w="50"/>
              <w:right w:type="dxa" w:w="80"/>
            </w:tcMar>
            <w:vAlign w:val="center"/>
          </w:tcPr>
          <w:p>
            <w:pPr>
              <w:spacing w:after="0" w:before="0" w:line="240"/>
              <w:jc w:val="center"/>
            </w:pPr>
            <w:r>
              <w:rPr>
                <w:b/>
                <w:bCs/>
                <w:sz w:val="17"/>
                <w:szCs w:val="17"/>
              </w:rPr>
              <w:t xml:space="preserve">R01, R09</w:t>
            </w:r>
          </w:p>
        </w:tc>
        <w:tc>
          <w:tcPr>
            <w:tcW w:type="dxa" w:w="1520"/>
            <w:shd w:fill="F6D3C8"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r>
      <w:tr>
        <w:trPr>
          <w:cantSplit/>
        </w:trPr>
        <w:tc>
          <w:tcPr>
            <w:tcW w:type="dxa" w:w="2038"/>
            <w:shd w:fill="F2F5F4" w:color="auto" w:val="clear"/>
            <w:tcMar>
              <w:top w:type="dxa" w:w="50"/>
              <w:left w:type="dxa" w:w="80"/>
              <w:bottom w:type="dxa" w:w="50"/>
              <w:right w:type="dxa" w:w="80"/>
            </w:tcMar>
            <w:vAlign w:val="center"/>
          </w:tcPr>
          <w:p>
            <w:pPr>
              <w:spacing w:after="0" w:before="0" w:line="240"/>
            </w:pPr>
            <w:r>
              <w:rPr>
                <w:b/>
                <w:bCs/>
                <w:sz w:val="17"/>
                <w:szCs w:val="17"/>
              </w:rPr>
              <w:t xml:space="preserve">2 Unlikely</w:t>
            </w:r>
          </w:p>
        </w:tc>
        <w:tc>
          <w:tcPr>
            <w:tcW w:type="dxa" w:w="1520"/>
            <w:shd w:fill="DCEFE0"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DCEFE0"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FBEFC9" w:color="auto" w:val="clear"/>
            <w:tcMar>
              <w:top w:type="dxa" w:w="50"/>
              <w:left w:type="dxa" w:w="80"/>
              <w:bottom w:type="dxa" w:w="50"/>
              <w:right w:type="dxa" w:w="80"/>
            </w:tcMar>
            <w:vAlign w:val="center"/>
          </w:tcPr>
          <w:p>
            <w:pPr>
              <w:spacing w:after="0" w:before="0" w:line="240"/>
              <w:jc w:val="center"/>
            </w:pPr>
            <w:r>
              <w:rPr>
                <w:b/>
                <w:bCs/>
                <w:sz w:val="17"/>
                <w:szCs w:val="17"/>
              </w:rPr>
              <w:t xml:space="preserve">R12</w:t>
            </w:r>
          </w:p>
        </w:tc>
        <w:tc>
          <w:tcPr>
            <w:tcW w:type="dxa" w:w="1520"/>
            <w:shd w:fill="FBEFC9" w:color="auto" w:val="clear"/>
            <w:tcMar>
              <w:top w:type="dxa" w:w="50"/>
              <w:left w:type="dxa" w:w="80"/>
              <w:bottom w:type="dxa" w:w="50"/>
              <w:right w:type="dxa" w:w="80"/>
            </w:tcMar>
            <w:vAlign w:val="center"/>
          </w:tcPr>
          <w:p>
            <w:pPr>
              <w:spacing w:after="0" w:before="0" w:line="240"/>
              <w:jc w:val="center"/>
            </w:pPr>
            <w:r>
              <w:rPr>
                <w:b/>
                <w:bCs/>
                <w:sz w:val="17"/>
                <w:szCs w:val="17"/>
              </w:rPr>
              <w:t xml:space="preserve">R04, R11</w:t>
            </w:r>
          </w:p>
        </w:tc>
        <w:tc>
          <w:tcPr>
            <w:tcW w:type="dxa" w:w="1520"/>
            <w:shd w:fill="F6D3C8" w:color="auto" w:val="clear"/>
            <w:tcMar>
              <w:top w:type="dxa" w:w="50"/>
              <w:left w:type="dxa" w:w="80"/>
              <w:bottom w:type="dxa" w:w="50"/>
              <w:right w:type="dxa" w:w="80"/>
            </w:tcMar>
            <w:vAlign w:val="center"/>
          </w:tcPr>
          <w:p>
            <w:pPr>
              <w:spacing w:after="0" w:before="0" w:line="240"/>
              <w:jc w:val="center"/>
            </w:pPr>
            <w:r>
              <w:rPr>
                <w:b/>
                <w:bCs/>
                <w:sz w:val="17"/>
                <w:szCs w:val="17"/>
              </w:rPr>
              <w:t xml:space="preserve">R08</w:t>
            </w:r>
          </w:p>
        </w:tc>
      </w:tr>
      <w:tr>
        <w:trPr>
          <w:cantSplit/>
        </w:trPr>
        <w:tc>
          <w:tcPr>
            <w:tcW w:type="dxa" w:w="2038"/>
            <w:shd w:fill="F2F5F4" w:color="auto" w:val="clear"/>
            <w:tcMar>
              <w:top w:type="dxa" w:w="50"/>
              <w:left w:type="dxa" w:w="80"/>
              <w:bottom w:type="dxa" w:w="50"/>
              <w:right w:type="dxa" w:w="80"/>
            </w:tcMar>
            <w:vAlign w:val="center"/>
          </w:tcPr>
          <w:p>
            <w:pPr>
              <w:spacing w:after="0" w:before="0" w:line="240"/>
            </w:pPr>
            <w:r>
              <w:rPr>
                <w:b/>
                <w:bCs/>
                <w:sz w:val="17"/>
                <w:szCs w:val="17"/>
              </w:rPr>
              <w:t xml:space="preserve">1 Rare</w:t>
            </w:r>
          </w:p>
        </w:tc>
        <w:tc>
          <w:tcPr>
            <w:tcW w:type="dxa" w:w="1520"/>
            <w:shd w:fill="DCEFE0"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DCEFE0"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DCEFE0"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DCEFE0"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c>
          <w:tcPr>
            <w:tcW w:type="dxa" w:w="1520"/>
            <w:shd w:fill="FBEFC9" w:color="auto" w:val="clear"/>
            <w:tcMar>
              <w:top w:type="dxa" w:w="50"/>
              <w:left w:type="dxa" w:w="80"/>
              <w:bottom w:type="dxa" w:w="50"/>
              <w:right w:type="dxa" w:w="80"/>
            </w:tcMar>
            <w:vAlign w:val="center"/>
          </w:tcPr>
          <w:p>
            <w:pPr>
              <w:spacing w:after="0" w:before="0" w:line="240"/>
              <w:jc w:val="center"/>
            </w:pPr>
            <w:r>
              <w:rPr>
                <w:b/>
                <w:bCs/>
                <w:sz w:val="17"/>
                <w:szCs w:val="17"/>
              </w:rPr>
              <w:t xml:space="preserve"> </w:t>
            </w:r>
          </w:p>
        </w:tc>
      </w:tr>
    </w:tbl>
    <w:p>
      <w:pPr>
        <w:spacing w:before="160"/>
      </w:pPr>
      <w:r>
        <w:rPr>
          <w:b/>
          <w:bCs/>
        </w:rPr>
        <w:t xml:space="preserve">Quantitative analysis.</w:t>
      </w:r>
      <w:r>
        <w:t xml:space="preserve"> Table 14 gives the EMV of the 5 High risks. The EMVs of all 12 risks add up to AUD 158,400, which is rounded up to a contingency reserve of AUD 159,000. The project manager can release contingency only for a risk that has occurred, and records each release in the change log.</w:t>
      </w:r>
    </w:p>
    <w:p>
      <w:pPr>
        <w:pStyle w:val="Caption"/>
        <w:keepNext/>
        <w:spacing w:after="80" w:before="200"/>
      </w:pPr>
      <w:r>
        <w:rPr>
          <w:b/>
          <w:bCs/>
        </w:rPr>
        <w:t xml:space="preserve">Table 14. </w:t>
      </w:r>
      <w:r>
        <w:t xml:space="preserve">Expected monetary value of High risks (AUD)</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600"/>
        <w:gridCol w:w="5438"/>
        <w:gridCol w:w="1100"/>
        <w:gridCol w:w="1250"/>
        <w:gridCol w:w="1250"/>
      </w:tblGrid>
      <w:tr>
        <w:trPr>
          <w:cantSplit/>
          <w:tblHeader/>
        </w:trPr>
        <w:tc>
          <w:tcPr>
            <w:tcW w:type="dxa" w:w="6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ID</w:t>
            </w:r>
          </w:p>
        </w:tc>
        <w:tc>
          <w:tcPr>
            <w:tcW w:type="dxa" w:w="54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Risk</w:t>
            </w:r>
          </w:p>
        </w:tc>
        <w:tc>
          <w:tcPr>
            <w:tcW w:type="dxa" w:w="11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Probability</w:t>
            </w:r>
          </w:p>
        </w:tc>
        <w:tc>
          <w:tcPr>
            <w:tcW w:type="dxa" w:w="1250"/>
            <w:shd w:fill="2F5D50" w:color="auto" w:val="clear"/>
            <w:tcMar>
              <w:top w:type="dxa" w:w="60"/>
              <w:left w:type="dxa" w:w="80"/>
              <w:bottom w:type="dxa" w:w="60"/>
              <w:right w:type="dxa" w:w="80"/>
            </w:tcMar>
            <w:vAlign w:val="center"/>
          </w:tcPr>
          <w:p>
            <w:pPr>
              <w:spacing w:after="0" w:before="0" w:line="240"/>
              <w:jc w:val="right"/>
            </w:pPr>
            <w:r>
              <w:rPr>
                <w:b/>
                <w:bCs/>
                <w:color w:val="FFFFFF"/>
                <w:sz w:val="17"/>
                <w:szCs w:val="17"/>
              </w:rPr>
              <w:t xml:space="preserve">Cost impact</w:t>
            </w:r>
          </w:p>
        </w:tc>
        <w:tc>
          <w:tcPr>
            <w:tcW w:type="dxa" w:w="1250"/>
            <w:shd w:fill="2F5D50" w:color="auto" w:val="clear"/>
            <w:tcMar>
              <w:top w:type="dxa" w:w="60"/>
              <w:left w:type="dxa" w:w="80"/>
              <w:bottom w:type="dxa" w:w="60"/>
              <w:right w:type="dxa" w:w="80"/>
            </w:tcMar>
            <w:vAlign w:val="center"/>
          </w:tcPr>
          <w:p>
            <w:pPr>
              <w:spacing w:after="0" w:before="0" w:line="240"/>
              <w:jc w:val="right"/>
            </w:pPr>
            <w:r>
              <w:rPr>
                <w:b/>
                <w:bCs/>
                <w:color w:val="FFFFFF"/>
                <w:sz w:val="17"/>
                <w:szCs w:val="17"/>
              </w:rPr>
              <w:t xml:space="preserve">EMV</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sz w:val="17"/>
                <w:szCs w:val="17"/>
              </w:rPr>
              <w:t xml:space="preserve">R01</w:t>
            </w:r>
          </w:p>
        </w:tc>
        <w:tc>
          <w:tcPr>
            <w:tcW w:type="dxa" w:w="5438"/>
            <w:shd w:fill="FFFFFF" w:color="auto" w:val="clear"/>
            <w:tcMar>
              <w:top w:type="dxa" w:w="50"/>
              <w:left w:type="dxa" w:w="80"/>
              <w:bottom w:type="dxa" w:w="50"/>
              <w:right w:type="dxa" w:w="80"/>
            </w:tcMar>
            <w:vAlign w:val="top"/>
          </w:tcPr>
          <w:p>
            <w:pPr>
              <w:spacing w:after="0" w:before="0" w:line="240"/>
            </w:pPr>
            <w:r>
              <w:rPr>
                <w:sz w:val="17"/>
                <w:szCs w:val="17"/>
              </w:rPr>
              <w:t xml:space="preserve">EMR or PAS cannot support modern SSO (SAML/OIDC), needing a custom connector</w:t>
            </w:r>
          </w:p>
        </w:tc>
        <w:tc>
          <w:tcPr>
            <w:tcW w:type="dxa" w:w="1100"/>
            <w:shd w:fill="FFFFFF" w:color="auto" w:val="clear"/>
            <w:tcMar>
              <w:top w:type="dxa" w:w="50"/>
              <w:left w:type="dxa" w:w="80"/>
              <w:bottom w:type="dxa" w:w="50"/>
              <w:right w:type="dxa" w:w="80"/>
            </w:tcMar>
            <w:vAlign w:val="top"/>
          </w:tcPr>
          <w:p>
            <w:pPr>
              <w:spacing w:after="0" w:before="0" w:line="240"/>
            </w:pPr>
            <w:r>
              <w:rPr>
                <w:sz w:val="17"/>
                <w:szCs w:val="17"/>
              </w:rPr>
              <w:t xml:space="preserve">40%</w:t>
            </w:r>
          </w:p>
        </w:tc>
        <w:tc>
          <w:tcPr>
            <w:tcW w:type="dxa" w:w="1250"/>
            <w:shd w:fill="FFFFFF" w:color="auto" w:val="clear"/>
            <w:tcMar>
              <w:top w:type="dxa" w:w="50"/>
              <w:left w:type="dxa" w:w="80"/>
              <w:bottom w:type="dxa" w:w="50"/>
              <w:right w:type="dxa" w:w="80"/>
            </w:tcMar>
            <w:vAlign w:val="top"/>
          </w:tcPr>
          <w:p>
            <w:pPr>
              <w:spacing w:after="0" w:before="0" w:line="240"/>
              <w:jc w:val="right"/>
            </w:pPr>
            <w:r>
              <w:rPr>
                <w:sz w:val="17"/>
                <w:szCs w:val="17"/>
              </w:rPr>
              <w:t xml:space="preserve">60,000</w:t>
            </w:r>
          </w:p>
        </w:tc>
        <w:tc>
          <w:tcPr>
            <w:tcW w:type="dxa" w:w="1250"/>
            <w:shd w:fill="FFFFFF" w:color="auto" w:val="clear"/>
            <w:tcMar>
              <w:top w:type="dxa" w:w="50"/>
              <w:left w:type="dxa" w:w="80"/>
              <w:bottom w:type="dxa" w:w="50"/>
              <w:right w:type="dxa" w:w="80"/>
            </w:tcMar>
            <w:vAlign w:val="top"/>
          </w:tcPr>
          <w:p>
            <w:pPr>
              <w:spacing w:after="0" w:before="0" w:line="240"/>
              <w:jc w:val="right"/>
            </w:pPr>
            <w:r>
              <w:rPr>
                <w:sz w:val="17"/>
                <w:szCs w:val="17"/>
              </w:rPr>
              <w:t xml:space="preserve">24,000</w:t>
            </w:r>
          </w:p>
        </w:tc>
      </w:tr>
      <w:tr>
        <w:trPr>
          <w:cantSplit/>
        </w:trPr>
        <w:tc>
          <w:tcPr>
            <w:tcW w:type="dxa" w:w="600"/>
            <w:shd w:fill="F2F5F4" w:color="auto" w:val="clear"/>
            <w:tcMar>
              <w:top w:type="dxa" w:w="50"/>
              <w:left w:type="dxa" w:w="80"/>
              <w:bottom w:type="dxa" w:w="50"/>
              <w:right w:type="dxa" w:w="80"/>
            </w:tcMar>
            <w:vAlign w:val="top"/>
          </w:tcPr>
          <w:p>
            <w:pPr>
              <w:spacing w:after="0" w:before="0" w:line="240"/>
            </w:pPr>
            <w:r>
              <w:rPr>
                <w:sz w:val="17"/>
                <w:szCs w:val="17"/>
              </w:rPr>
              <w:t xml:space="preserve">R02</w:t>
            </w:r>
          </w:p>
        </w:tc>
        <w:tc>
          <w:tcPr>
            <w:tcW w:type="dxa" w:w="5438"/>
            <w:shd w:fill="F2F5F4" w:color="auto" w:val="clear"/>
            <w:tcMar>
              <w:top w:type="dxa" w:w="50"/>
              <w:left w:type="dxa" w:w="80"/>
              <w:bottom w:type="dxa" w:w="50"/>
              <w:right w:type="dxa" w:w="80"/>
            </w:tcMar>
            <w:vAlign w:val="top"/>
          </w:tcPr>
          <w:p>
            <w:pPr>
              <w:spacing w:after="0" w:before="0" w:line="240"/>
            </w:pPr>
            <w:r>
              <w:rPr>
                <w:sz w:val="17"/>
                <w:szCs w:val="17"/>
              </w:rPr>
              <w:t xml:space="preserve">Inaccurate HR data (job codes, managers, end dates) grants wrong access or removes access in error</w:t>
            </w:r>
          </w:p>
        </w:tc>
        <w:tc>
          <w:tcPr>
            <w:tcW w:type="dxa" w:w="1100"/>
            <w:shd w:fill="F2F5F4" w:color="auto" w:val="clear"/>
            <w:tcMar>
              <w:top w:type="dxa" w:w="50"/>
              <w:left w:type="dxa" w:w="80"/>
              <w:bottom w:type="dxa" w:w="50"/>
              <w:right w:type="dxa" w:w="80"/>
            </w:tcMar>
            <w:vAlign w:val="top"/>
          </w:tcPr>
          <w:p>
            <w:pPr>
              <w:spacing w:after="0" w:before="0" w:line="240"/>
            </w:pPr>
            <w:r>
              <w:rPr>
                <w:sz w:val="17"/>
                <w:szCs w:val="17"/>
              </w:rPr>
              <w:t xml:space="preserve">50%</w:t>
            </w:r>
          </w:p>
        </w:tc>
        <w:tc>
          <w:tcPr>
            <w:tcW w:type="dxa" w:w="1250"/>
            <w:shd w:fill="F2F5F4" w:color="auto" w:val="clear"/>
            <w:tcMar>
              <w:top w:type="dxa" w:w="50"/>
              <w:left w:type="dxa" w:w="80"/>
              <w:bottom w:type="dxa" w:w="50"/>
              <w:right w:type="dxa" w:w="80"/>
            </w:tcMar>
            <w:vAlign w:val="top"/>
          </w:tcPr>
          <w:p>
            <w:pPr>
              <w:spacing w:after="0" w:before="0" w:line="240"/>
              <w:jc w:val="right"/>
            </w:pPr>
            <w:r>
              <w:rPr>
                <w:sz w:val="17"/>
                <w:szCs w:val="17"/>
              </w:rPr>
              <w:t xml:space="preserve">40,000</w:t>
            </w:r>
          </w:p>
        </w:tc>
        <w:tc>
          <w:tcPr>
            <w:tcW w:type="dxa" w:w="1250"/>
            <w:shd w:fill="F2F5F4" w:color="auto" w:val="clear"/>
            <w:tcMar>
              <w:top w:type="dxa" w:w="50"/>
              <w:left w:type="dxa" w:w="80"/>
              <w:bottom w:type="dxa" w:w="50"/>
              <w:right w:type="dxa" w:w="80"/>
            </w:tcMar>
            <w:vAlign w:val="top"/>
          </w:tcPr>
          <w:p>
            <w:pPr>
              <w:spacing w:after="0" w:before="0" w:line="240"/>
              <w:jc w:val="right"/>
            </w:pPr>
            <w:r>
              <w:rPr>
                <w:sz w:val="17"/>
                <w:szCs w:val="17"/>
              </w:rPr>
              <w:t xml:space="preserve">20,000</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sz w:val="17"/>
                <w:szCs w:val="17"/>
              </w:rPr>
              <w:t xml:space="preserve">R03</w:t>
            </w:r>
          </w:p>
        </w:tc>
        <w:tc>
          <w:tcPr>
            <w:tcW w:type="dxa" w:w="5438"/>
            <w:shd w:fill="FFFFFF" w:color="auto" w:val="clear"/>
            <w:tcMar>
              <w:top w:type="dxa" w:w="50"/>
              <w:left w:type="dxa" w:w="80"/>
              <w:bottom w:type="dxa" w:w="50"/>
              <w:right w:type="dxa" w:w="80"/>
            </w:tcMar>
            <w:vAlign w:val="top"/>
          </w:tcPr>
          <w:p>
            <w:pPr>
              <w:spacing w:after="0" w:before="0" w:line="240"/>
            </w:pPr>
            <w:r>
              <w:rPr>
                <w:sz w:val="17"/>
                <w:szCs w:val="17"/>
              </w:rPr>
              <w:t xml:space="preserve">Clinicians resist MFA at shared ward workstations and adopt workarounds</w:t>
            </w:r>
          </w:p>
        </w:tc>
        <w:tc>
          <w:tcPr>
            <w:tcW w:type="dxa" w:w="1100"/>
            <w:shd w:fill="FFFFFF" w:color="auto" w:val="clear"/>
            <w:tcMar>
              <w:top w:type="dxa" w:w="50"/>
              <w:left w:type="dxa" w:w="80"/>
              <w:bottom w:type="dxa" w:w="50"/>
              <w:right w:type="dxa" w:w="80"/>
            </w:tcMar>
            <w:vAlign w:val="top"/>
          </w:tcPr>
          <w:p>
            <w:pPr>
              <w:spacing w:after="0" w:before="0" w:line="240"/>
            </w:pPr>
            <w:r>
              <w:rPr>
                <w:sz w:val="17"/>
                <w:szCs w:val="17"/>
              </w:rPr>
              <w:t xml:space="preserve">60%</w:t>
            </w:r>
          </w:p>
        </w:tc>
        <w:tc>
          <w:tcPr>
            <w:tcW w:type="dxa" w:w="1250"/>
            <w:shd w:fill="FFFFFF" w:color="auto" w:val="clear"/>
            <w:tcMar>
              <w:top w:type="dxa" w:w="50"/>
              <w:left w:type="dxa" w:w="80"/>
              <w:bottom w:type="dxa" w:w="50"/>
              <w:right w:type="dxa" w:w="80"/>
            </w:tcMar>
            <w:vAlign w:val="top"/>
          </w:tcPr>
          <w:p>
            <w:pPr>
              <w:spacing w:after="0" w:before="0" w:line="240"/>
              <w:jc w:val="right"/>
            </w:pPr>
            <w:r>
              <w:rPr>
                <w:sz w:val="17"/>
                <w:szCs w:val="17"/>
              </w:rPr>
              <w:t xml:space="preserve">30,000</w:t>
            </w:r>
          </w:p>
        </w:tc>
        <w:tc>
          <w:tcPr>
            <w:tcW w:type="dxa" w:w="1250"/>
            <w:shd w:fill="FFFFFF" w:color="auto" w:val="clear"/>
            <w:tcMar>
              <w:top w:type="dxa" w:w="50"/>
              <w:left w:type="dxa" w:w="80"/>
              <w:bottom w:type="dxa" w:w="50"/>
              <w:right w:type="dxa" w:w="80"/>
            </w:tcMar>
            <w:vAlign w:val="top"/>
          </w:tcPr>
          <w:p>
            <w:pPr>
              <w:spacing w:after="0" w:before="0" w:line="240"/>
              <w:jc w:val="right"/>
            </w:pPr>
            <w:r>
              <w:rPr>
                <w:sz w:val="17"/>
                <w:szCs w:val="17"/>
              </w:rPr>
              <w:t xml:space="preserve">18,000</w:t>
            </w:r>
          </w:p>
        </w:tc>
      </w:tr>
      <w:tr>
        <w:trPr>
          <w:cantSplit/>
        </w:trPr>
        <w:tc>
          <w:tcPr>
            <w:tcW w:type="dxa" w:w="600"/>
            <w:shd w:fill="F2F5F4" w:color="auto" w:val="clear"/>
            <w:tcMar>
              <w:top w:type="dxa" w:w="50"/>
              <w:left w:type="dxa" w:w="80"/>
              <w:bottom w:type="dxa" w:w="50"/>
              <w:right w:type="dxa" w:w="80"/>
            </w:tcMar>
            <w:vAlign w:val="top"/>
          </w:tcPr>
          <w:p>
            <w:pPr>
              <w:spacing w:after="0" w:before="0" w:line="240"/>
            </w:pPr>
            <w:r>
              <w:rPr>
                <w:sz w:val="17"/>
                <w:szCs w:val="17"/>
              </w:rPr>
              <w:t xml:space="preserve">R09</w:t>
            </w:r>
          </w:p>
        </w:tc>
        <w:tc>
          <w:tcPr>
            <w:tcW w:type="dxa" w:w="5438"/>
            <w:shd w:fill="F2F5F4" w:color="auto" w:val="clear"/>
            <w:tcMar>
              <w:top w:type="dxa" w:w="50"/>
              <w:left w:type="dxa" w:w="80"/>
              <w:bottom w:type="dxa" w:w="50"/>
              <w:right w:type="dxa" w:w="80"/>
            </w:tcMar>
            <w:vAlign w:val="top"/>
          </w:tcPr>
          <w:p>
            <w:pPr>
              <w:spacing w:after="0" w:before="0" w:line="240"/>
            </w:pPr>
            <w:r>
              <w:rPr>
                <w:sz w:val="17"/>
                <w:szCs w:val="17"/>
              </w:rPr>
              <w:t xml:space="preserve">Credential phishing attack succeeds during the transition while old and new sign-ins coexist</w:t>
            </w:r>
          </w:p>
        </w:tc>
        <w:tc>
          <w:tcPr>
            <w:tcW w:type="dxa" w:w="1100"/>
            <w:shd w:fill="F2F5F4" w:color="auto" w:val="clear"/>
            <w:tcMar>
              <w:top w:type="dxa" w:w="50"/>
              <w:left w:type="dxa" w:w="80"/>
              <w:bottom w:type="dxa" w:w="50"/>
              <w:right w:type="dxa" w:w="80"/>
            </w:tcMar>
            <w:vAlign w:val="top"/>
          </w:tcPr>
          <w:p>
            <w:pPr>
              <w:spacing w:after="0" w:before="0" w:line="240"/>
            </w:pPr>
            <w:r>
              <w:rPr>
                <w:sz w:val="17"/>
                <w:szCs w:val="17"/>
              </w:rPr>
              <w:t xml:space="preserve">30%</w:t>
            </w:r>
          </w:p>
        </w:tc>
        <w:tc>
          <w:tcPr>
            <w:tcW w:type="dxa" w:w="1250"/>
            <w:shd w:fill="F2F5F4" w:color="auto" w:val="clear"/>
            <w:tcMar>
              <w:top w:type="dxa" w:w="50"/>
              <w:left w:type="dxa" w:w="80"/>
              <w:bottom w:type="dxa" w:w="50"/>
              <w:right w:type="dxa" w:w="80"/>
            </w:tcMar>
            <w:vAlign w:val="top"/>
          </w:tcPr>
          <w:p>
            <w:pPr>
              <w:spacing w:after="0" w:before="0" w:line="240"/>
              <w:jc w:val="right"/>
            </w:pPr>
            <w:r>
              <w:rPr>
                <w:sz w:val="17"/>
                <w:szCs w:val="17"/>
              </w:rPr>
              <w:t xml:space="preserve">60,000</w:t>
            </w:r>
          </w:p>
        </w:tc>
        <w:tc>
          <w:tcPr>
            <w:tcW w:type="dxa" w:w="1250"/>
            <w:shd w:fill="F2F5F4" w:color="auto" w:val="clear"/>
            <w:tcMar>
              <w:top w:type="dxa" w:w="50"/>
              <w:left w:type="dxa" w:w="80"/>
              <w:bottom w:type="dxa" w:w="50"/>
              <w:right w:type="dxa" w:w="80"/>
            </w:tcMar>
            <w:vAlign w:val="top"/>
          </w:tcPr>
          <w:p>
            <w:pPr>
              <w:spacing w:after="0" w:before="0" w:line="240"/>
              <w:jc w:val="right"/>
            </w:pPr>
            <w:r>
              <w:rPr>
                <w:sz w:val="17"/>
                <w:szCs w:val="17"/>
              </w:rPr>
              <w:t xml:space="preserve">18,000</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sz w:val="17"/>
                <w:szCs w:val="17"/>
              </w:rPr>
              <w:t xml:space="preserve">R08</w:t>
            </w:r>
          </w:p>
        </w:tc>
        <w:tc>
          <w:tcPr>
            <w:tcW w:type="dxa" w:w="5438"/>
            <w:shd w:fill="FFFFFF" w:color="auto" w:val="clear"/>
            <w:tcMar>
              <w:top w:type="dxa" w:w="50"/>
              <w:left w:type="dxa" w:w="80"/>
              <w:bottom w:type="dxa" w:w="50"/>
              <w:right w:type="dxa" w:w="80"/>
            </w:tcMar>
            <w:vAlign w:val="top"/>
          </w:tcPr>
          <w:p>
            <w:pPr>
              <w:spacing w:after="0" w:before="0" w:line="240"/>
            </w:pPr>
            <w:r>
              <w:rPr>
                <w:sz w:val="17"/>
                <w:szCs w:val="17"/>
              </w:rPr>
              <w:t xml:space="preserve">Misconfigured conditional access policy locks users or administrators out</w:t>
            </w:r>
          </w:p>
        </w:tc>
        <w:tc>
          <w:tcPr>
            <w:tcW w:type="dxa" w:w="1100"/>
            <w:shd w:fill="FFFFFF" w:color="auto" w:val="clear"/>
            <w:tcMar>
              <w:top w:type="dxa" w:w="50"/>
              <w:left w:type="dxa" w:w="80"/>
              <w:bottom w:type="dxa" w:w="50"/>
              <w:right w:type="dxa" w:w="80"/>
            </w:tcMar>
            <w:vAlign w:val="top"/>
          </w:tcPr>
          <w:p>
            <w:pPr>
              <w:spacing w:after="0" w:before="0" w:line="240"/>
            </w:pPr>
            <w:r>
              <w:rPr>
                <w:sz w:val="17"/>
                <w:szCs w:val="17"/>
              </w:rPr>
              <w:t xml:space="preserve">20%</w:t>
            </w:r>
          </w:p>
        </w:tc>
        <w:tc>
          <w:tcPr>
            <w:tcW w:type="dxa" w:w="1250"/>
            <w:shd w:fill="FFFFFF" w:color="auto" w:val="clear"/>
            <w:tcMar>
              <w:top w:type="dxa" w:w="50"/>
              <w:left w:type="dxa" w:w="80"/>
              <w:bottom w:type="dxa" w:w="50"/>
              <w:right w:type="dxa" w:w="80"/>
            </w:tcMar>
            <w:vAlign w:val="top"/>
          </w:tcPr>
          <w:p>
            <w:pPr>
              <w:spacing w:after="0" w:before="0" w:line="240"/>
              <w:jc w:val="right"/>
            </w:pPr>
            <w:r>
              <w:rPr>
                <w:sz w:val="17"/>
                <w:szCs w:val="17"/>
              </w:rPr>
              <w:t xml:space="preserve">80,000</w:t>
            </w:r>
          </w:p>
        </w:tc>
        <w:tc>
          <w:tcPr>
            <w:tcW w:type="dxa" w:w="1250"/>
            <w:shd w:fill="FFFFFF" w:color="auto" w:val="clear"/>
            <w:tcMar>
              <w:top w:type="dxa" w:w="50"/>
              <w:left w:type="dxa" w:w="80"/>
              <w:bottom w:type="dxa" w:w="50"/>
              <w:right w:type="dxa" w:w="80"/>
            </w:tcMar>
            <w:vAlign w:val="top"/>
          </w:tcPr>
          <w:p>
            <w:pPr>
              <w:spacing w:after="0" w:before="0" w:line="240"/>
              <w:jc w:val="right"/>
            </w:pPr>
            <w:r>
              <w:rPr>
                <w:sz w:val="17"/>
                <w:szCs w:val="17"/>
              </w:rPr>
              <w:t xml:space="preserve">16,000</w:t>
            </w:r>
          </w:p>
        </w:tc>
      </w:tr>
      <w:tr>
        <w:trPr>
          <w:cantSplit/>
        </w:trPr>
        <w:tc>
          <w:tcPr>
            <w:tcW w:type="dxa" w:w="600"/>
            <w:shd w:fill="E4ECE9" w:color="auto" w:val="clear"/>
            <w:tcMar>
              <w:top w:type="dxa" w:w="50"/>
              <w:left w:type="dxa" w:w="80"/>
              <w:bottom w:type="dxa" w:w="50"/>
              <w:right w:type="dxa" w:w="80"/>
            </w:tcMar>
            <w:vAlign w:val="top"/>
          </w:tcPr>
          <w:p>
            <w:pPr>
              <w:spacing w:after="0" w:before="0" w:line="240"/>
            </w:pPr>
          </w:p>
        </w:tc>
        <w:tc>
          <w:tcPr>
            <w:tcW w:type="dxa" w:w="5438"/>
            <w:shd w:fill="E4ECE9" w:color="auto" w:val="clear"/>
            <w:tcMar>
              <w:top w:type="dxa" w:w="50"/>
              <w:left w:type="dxa" w:w="80"/>
              <w:bottom w:type="dxa" w:w="50"/>
              <w:right w:type="dxa" w:w="80"/>
            </w:tcMar>
            <w:vAlign w:val="top"/>
          </w:tcPr>
          <w:p>
            <w:pPr>
              <w:spacing w:after="0" w:before="0" w:line="240"/>
            </w:pPr>
            <w:r>
              <w:rPr>
                <w:b/>
                <w:bCs/>
                <w:sz w:val="17"/>
                <w:szCs w:val="17"/>
              </w:rPr>
              <w:t xml:space="preserve">All 12 risks (contingency basis)</w:t>
            </w:r>
          </w:p>
        </w:tc>
        <w:tc>
          <w:tcPr>
            <w:tcW w:type="dxa" w:w="1100"/>
            <w:shd w:fill="E4ECE9" w:color="auto" w:val="clear"/>
            <w:tcMar>
              <w:top w:type="dxa" w:w="50"/>
              <w:left w:type="dxa" w:w="80"/>
              <w:bottom w:type="dxa" w:w="50"/>
              <w:right w:type="dxa" w:w="80"/>
            </w:tcMar>
            <w:vAlign w:val="top"/>
          </w:tcPr>
          <w:p>
            <w:pPr>
              <w:spacing w:after="0" w:before="0" w:line="240"/>
            </w:pPr>
          </w:p>
        </w:tc>
        <w:tc>
          <w:tcPr>
            <w:tcW w:type="dxa" w:w="1250"/>
            <w:shd w:fill="E4ECE9" w:color="auto" w:val="clear"/>
            <w:tcMar>
              <w:top w:type="dxa" w:w="50"/>
              <w:left w:type="dxa" w:w="80"/>
              <w:bottom w:type="dxa" w:w="50"/>
              <w:right w:type="dxa" w:w="80"/>
            </w:tcMar>
            <w:vAlign w:val="top"/>
          </w:tcPr>
          <w:p>
            <w:pPr>
              <w:spacing w:after="0" w:before="0" w:line="240"/>
              <w:jc w:val="right"/>
            </w:pPr>
          </w:p>
        </w:tc>
        <w:tc>
          <w:tcPr>
            <w:tcW w:type="dxa" w:w="1250"/>
            <w:shd w:fill="E4ECE9" w:color="auto" w:val="clear"/>
            <w:tcMar>
              <w:top w:type="dxa" w:w="50"/>
              <w:left w:type="dxa" w:w="80"/>
              <w:bottom w:type="dxa" w:w="50"/>
              <w:right w:type="dxa" w:w="80"/>
            </w:tcMar>
            <w:vAlign w:val="top"/>
          </w:tcPr>
          <w:p>
            <w:pPr>
              <w:spacing w:after="0" w:before="0" w:line="240"/>
              <w:jc w:val="right"/>
            </w:pPr>
            <w:r>
              <w:rPr>
                <w:b/>
                <w:bCs/>
                <w:sz w:val="17"/>
                <w:szCs w:val="17"/>
              </w:rPr>
              <w:t xml:space="preserve">158,400</w:t>
            </w:r>
          </w:p>
        </w:tc>
      </w:tr>
    </w:tbl>
    <w:p>
      <w:pPr>
        <w:spacing w:before="160"/>
        <w:sectPr>
          <w:headerReference w:type="default" r:id="rId14"/>
          <w:footerReference w:type="default" r:id="rId15"/>
          <w:type w:val="nextPage"/>
          <w:pgSz w:w="11906" w:h="16838" w:orient="portrait"/>
          <w:pgMar w:top="1134" w:right="1134" w:bottom="1134" w:left="1134" w:header="567" w:footer="567" w:gutter="0"/>
          <w:pgNumType/>
          <w:docGrid w:linePitch="360"/>
        </w:sectPr>
      </w:pPr>
      <w:r>
        <w:t xml:space="preserve">The full register is shown in Table 15 on the next page.</w:t>
      </w:r>
    </w:p>
    <w:p>
      <w:pPr>
        <w:pStyle w:val="Caption"/>
        <w:keepNext/>
        <w:spacing w:after="80" w:before="200"/>
      </w:pPr>
      <w:r>
        <w:rPr>
          <w:b/>
          <w:bCs/>
        </w:rPr>
        <w:t xml:space="preserve">Table 15. </w:t>
      </w:r>
      <w:r>
        <w:t xml:space="preserve">Risk register (all risks open at baseline; P = probability score, I = impact score, EMV in AUD)</w:t>
      </w:r>
    </w:p>
    <w:tbl>
      <w:tblPr>
        <w:tblW w:type="dxa" w:w="14678"/>
        <w:tblBorders>
          <w:top w:val="single" w:color="C9D0CC" w:sz="4"/>
          <w:left w:val="single" w:color="C9D0CC" w:sz="4"/>
          <w:bottom w:val="single" w:color="C9D0CC" w:sz="4"/>
          <w:right w:val="single" w:color="C9D0CC" w:sz="4"/>
          <w:insideH w:val="single" w:color="C9D0CC" w:sz="4"/>
          <w:insideV w:val="single" w:color="C9D0CC" w:sz="4"/>
        </w:tblBorders>
      </w:tblPr>
      <w:tblGrid>
        <w:gridCol w:w="480"/>
        <w:gridCol w:w="2000"/>
        <w:gridCol w:w="900"/>
        <w:gridCol w:w="330"/>
        <w:gridCol w:w="330"/>
        <w:gridCol w:w="760"/>
        <w:gridCol w:w="700"/>
        <w:gridCol w:w="1080"/>
        <w:gridCol w:w="850"/>
        <w:gridCol w:w="2900"/>
        <w:gridCol w:w="2600"/>
        <w:gridCol w:w="1748"/>
      </w:tblGrid>
      <w:tr>
        <w:trPr>
          <w:cantSplit/>
          <w:tblHeader/>
        </w:trPr>
        <w:tc>
          <w:tcPr>
            <w:tcW w:type="dxa" w:w="48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ID</w:t>
            </w:r>
          </w:p>
        </w:tc>
        <w:tc>
          <w:tcPr>
            <w:tcW w:type="dxa" w:w="20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Risk</w:t>
            </w:r>
          </w:p>
        </w:tc>
        <w:tc>
          <w:tcPr>
            <w:tcW w:type="dxa" w:w="9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Category</w:t>
            </w:r>
          </w:p>
        </w:tc>
        <w:tc>
          <w:tcPr>
            <w:tcW w:type="dxa" w:w="330"/>
            <w:shd w:fill="2F5D50" w:color="auto" w:val="clear"/>
            <w:tcMar>
              <w:top w:type="dxa" w:w="60"/>
              <w:left w:type="dxa" w:w="80"/>
              <w:bottom w:type="dxa" w:w="60"/>
              <w:right w:type="dxa" w:w="80"/>
            </w:tcMar>
            <w:vAlign w:val="center"/>
          </w:tcPr>
          <w:p>
            <w:pPr>
              <w:spacing w:after="0" w:before="0" w:line="240"/>
              <w:jc w:val="center"/>
            </w:pPr>
            <w:r>
              <w:rPr>
                <w:b/>
                <w:bCs/>
                <w:color w:val="FFFFFF"/>
                <w:sz w:val="15"/>
                <w:szCs w:val="15"/>
              </w:rPr>
              <w:t xml:space="preserve">P</w:t>
            </w:r>
          </w:p>
        </w:tc>
        <w:tc>
          <w:tcPr>
            <w:tcW w:type="dxa" w:w="330"/>
            <w:shd w:fill="2F5D50" w:color="auto" w:val="clear"/>
            <w:tcMar>
              <w:top w:type="dxa" w:w="60"/>
              <w:left w:type="dxa" w:w="80"/>
              <w:bottom w:type="dxa" w:w="60"/>
              <w:right w:type="dxa" w:w="80"/>
            </w:tcMar>
            <w:vAlign w:val="center"/>
          </w:tcPr>
          <w:p>
            <w:pPr>
              <w:spacing w:after="0" w:before="0" w:line="240"/>
              <w:jc w:val="center"/>
            </w:pPr>
            <w:r>
              <w:rPr>
                <w:b/>
                <w:bCs/>
                <w:color w:val="FFFFFF"/>
                <w:sz w:val="15"/>
                <w:szCs w:val="15"/>
              </w:rPr>
              <w:t xml:space="preserve">I</w:t>
            </w:r>
          </w:p>
        </w:tc>
        <w:tc>
          <w:tcPr>
            <w:tcW w:type="dxa" w:w="76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Score</w:t>
            </w:r>
          </w:p>
        </w:tc>
        <w:tc>
          <w:tcPr>
            <w:tcW w:type="dxa" w:w="700"/>
            <w:shd w:fill="2F5D50" w:color="auto" w:val="clear"/>
            <w:tcMar>
              <w:top w:type="dxa" w:w="60"/>
              <w:left w:type="dxa" w:w="80"/>
              <w:bottom w:type="dxa" w:w="60"/>
              <w:right w:type="dxa" w:w="80"/>
            </w:tcMar>
            <w:vAlign w:val="center"/>
          </w:tcPr>
          <w:p>
            <w:pPr>
              <w:spacing w:after="0" w:before="0" w:line="240"/>
              <w:jc w:val="right"/>
            </w:pPr>
            <w:r>
              <w:rPr>
                <w:b/>
                <w:bCs/>
                <w:color w:val="FFFFFF"/>
                <w:sz w:val="15"/>
                <w:szCs w:val="15"/>
              </w:rPr>
              <w:t xml:space="preserve">EMV</w:t>
            </w:r>
          </w:p>
        </w:tc>
        <w:tc>
          <w:tcPr>
            <w:tcW w:type="dxa" w:w="108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Owner</w:t>
            </w:r>
          </w:p>
        </w:tc>
        <w:tc>
          <w:tcPr>
            <w:tcW w:type="dxa" w:w="85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Response</w:t>
            </w:r>
          </w:p>
        </w:tc>
        <w:tc>
          <w:tcPr>
            <w:tcW w:type="dxa" w:w="29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Mitigation (before)</w:t>
            </w:r>
          </w:p>
        </w:tc>
        <w:tc>
          <w:tcPr>
            <w:tcW w:type="dxa" w:w="26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Contingency (if it happens)</w:t>
            </w:r>
          </w:p>
        </w:tc>
        <w:tc>
          <w:tcPr>
            <w:tcW w:type="dxa" w:w="1748"/>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Trigger</w:t>
            </w:r>
          </w:p>
        </w:tc>
      </w:tr>
      <w:tr>
        <w:trPr>
          <w:cantSplit/>
        </w:trPr>
        <w:tc>
          <w:tcPr>
            <w:tcW w:type="dxa" w:w="480"/>
            <w:shd w:fill="FFFFFF" w:color="auto" w:val="clear"/>
            <w:tcMar>
              <w:top w:type="dxa" w:w="50"/>
              <w:left w:type="dxa" w:w="80"/>
              <w:bottom w:type="dxa" w:w="50"/>
              <w:right w:type="dxa" w:w="80"/>
            </w:tcMar>
            <w:vAlign w:val="top"/>
          </w:tcPr>
          <w:p>
            <w:pPr>
              <w:spacing w:after="0" w:before="0" w:line="240"/>
            </w:pPr>
            <w:r>
              <w:rPr>
                <w:b/>
                <w:bCs/>
                <w:sz w:val="15"/>
                <w:szCs w:val="15"/>
              </w:rPr>
              <w:t xml:space="preserve">R01</w:t>
            </w:r>
          </w:p>
        </w:tc>
        <w:tc>
          <w:tcPr>
            <w:tcW w:type="dxa" w:w="2000"/>
            <w:shd w:fill="FFFFFF" w:color="auto" w:val="clear"/>
            <w:tcMar>
              <w:top w:type="dxa" w:w="50"/>
              <w:left w:type="dxa" w:w="80"/>
              <w:bottom w:type="dxa" w:w="50"/>
              <w:right w:type="dxa" w:w="80"/>
            </w:tcMar>
            <w:vAlign w:val="top"/>
          </w:tcPr>
          <w:p>
            <w:pPr>
              <w:spacing w:after="0" w:before="0" w:line="240"/>
            </w:pPr>
            <w:r>
              <w:rPr>
                <w:sz w:val="15"/>
                <w:szCs w:val="15"/>
              </w:rPr>
              <w:t xml:space="preserve">EMR or PAS cannot support modern SSO (SAML/OIDC), needing a custom connector</w:t>
            </w:r>
          </w:p>
        </w:tc>
        <w:tc>
          <w:tcPr>
            <w:tcW w:type="dxa" w:w="900"/>
            <w:shd w:fill="FFFFFF" w:color="auto" w:val="clear"/>
            <w:tcMar>
              <w:top w:type="dxa" w:w="50"/>
              <w:left w:type="dxa" w:w="80"/>
              <w:bottom w:type="dxa" w:w="50"/>
              <w:right w:type="dxa" w:w="80"/>
            </w:tcMar>
            <w:vAlign w:val="top"/>
          </w:tcPr>
          <w:p>
            <w:pPr>
              <w:spacing w:after="0" w:before="0" w:line="240"/>
            </w:pPr>
            <w:r>
              <w:rPr>
                <w:sz w:val="15"/>
                <w:szCs w:val="15"/>
              </w:rPr>
              <w:t xml:space="preserve">Technical</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4</w:t>
            </w:r>
          </w:p>
        </w:tc>
        <w:tc>
          <w:tcPr>
            <w:tcW w:type="dxa" w:w="760"/>
            <w:shd w:fill="F6D3C8" w:color="auto" w:val="clear"/>
            <w:tcMar>
              <w:top w:type="dxa" w:w="50"/>
              <w:left w:type="dxa" w:w="80"/>
              <w:bottom w:type="dxa" w:w="50"/>
              <w:right w:type="dxa" w:w="80"/>
            </w:tcMar>
            <w:vAlign w:val="top"/>
          </w:tcPr>
          <w:p>
            <w:pPr>
              <w:spacing w:after="0" w:before="0" w:line="240"/>
            </w:pPr>
            <w:r>
              <w:rPr>
                <w:b/>
                <w:bCs/>
                <w:sz w:val="15"/>
                <w:szCs w:val="15"/>
              </w:rPr>
              <w:t xml:space="preserve">12 High</w:t>
            </w:r>
          </w:p>
        </w:tc>
        <w:tc>
          <w:tcPr>
            <w:tcW w:type="dxa" w:w="700"/>
            <w:shd w:fill="FFFFFF" w:color="auto" w:val="clear"/>
            <w:tcMar>
              <w:top w:type="dxa" w:w="50"/>
              <w:left w:type="dxa" w:w="80"/>
              <w:bottom w:type="dxa" w:w="50"/>
              <w:right w:type="dxa" w:w="80"/>
            </w:tcMar>
            <w:vAlign w:val="top"/>
          </w:tcPr>
          <w:p>
            <w:pPr>
              <w:spacing w:after="0" w:before="0" w:line="240"/>
              <w:jc w:val="right"/>
            </w:pPr>
            <w:r>
              <w:rPr>
                <w:sz w:val="15"/>
                <w:szCs w:val="15"/>
              </w:rPr>
              <w:t xml:space="preserve">24,000</w:t>
            </w:r>
          </w:p>
        </w:tc>
        <w:tc>
          <w:tcPr>
            <w:tcW w:type="dxa" w:w="1080"/>
            <w:shd w:fill="FFFFFF" w:color="auto" w:val="clear"/>
            <w:tcMar>
              <w:top w:type="dxa" w:w="50"/>
              <w:left w:type="dxa" w:w="80"/>
              <w:bottom w:type="dxa" w:w="50"/>
              <w:right w:type="dxa" w:w="80"/>
            </w:tcMar>
            <w:vAlign w:val="top"/>
          </w:tcPr>
          <w:p>
            <w:pPr>
              <w:spacing w:after="0" w:before="0" w:line="240"/>
            </w:pPr>
            <w:r>
              <w:rPr>
                <w:sz w:val="15"/>
                <w:szCs w:val="15"/>
              </w:rPr>
              <w:t xml:space="preserve">IAM Architect</w:t>
            </w:r>
          </w:p>
        </w:tc>
        <w:tc>
          <w:tcPr>
            <w:tcW w:type="dxa" w:w="850"/>
            <w:shd w:fill="FFFFFF" w:color="auto" w:val="clear"/>
            <w:tcMar>
              <w:top w:type="dxa" w:w="50"/>
              <w:left w:type="dxa" w:w="80"/>
              <w:bottom w:type="dxa" w:w="50"/>
              <w:right w:type="dxa" w:w="80"/>
            </w:tcMar>
            <w:vAlign w:val="top"/>
          </w:tcPr>
          <w:p>
            <w:pPr>
              <w:spacing w:after="0" w:before="0" w:line="240"/>
            </w:pPr>
            <w:r>
              <w:rPr>
                <w:sz w:val="15"/>
                <w:szCs w:val="15"/>
              </w:rPr>
              <w:t xml:space="preserve">Mitigate</w:t>
            </w:r>
          </w:p>
        </w:tc>
        <w:tc>
          <w:tcPr>
            <w:tcW w:type="dxa" w:w="2900"/>
            <w:shd w:fill="FFFFFF" w:color="auto" w:val="clear"/>
            <w:tcMar>
              <w:top w:type="dxa" w:w="50"/>
              <w:left w:type="dxa" w:w="80"/>
              <w:bottom w:type="dxa" w:w="50"/>
              <w:right w:type="dxa" w:w="80"/>
            </w:tcMar>
            <w:vAlign w:val="top"/>
          </w:tcPr>
          <w:p>
            <w:pPr>
              <w:spacing w:after="0" w:before="0" w:line="240"/>
            </w:pPr>
            <w:r>
              <w:rPr>
                <w:sz w:val="15"/>
                <w:szCs w:val="15"/>
              </w:rPr>
              <w:t xml:space="preserve">Confirm protocol support for every in-scope app during the current-state assessment (1.2.1); make vendor-confirmed connectors a mandatory RFQ criterion</w:t>
            </w:r>
          </w:p>
        </w:tc>
        <w:tc>
          <w:tcPr>
            <w:tcW w:type="dxa" w:w="2600"/>
            <w:shd w:fill="FFFFFF" w:color="auto" w:val="clear"/>
            <w:tcMar>
              <w:top w:type="dxa" w:w="50"/>
              <w:left w:type="dxa" w:w="80"/>
              <w:bottom w:type="dxa" w:w="50"/>
              <w:right w:type="dxa" w:w="80"/>
            </w:tcMar>
            <w:vAlign w:val="top"/>
          </w:tcPr>
          <w:p>
            <w:pPr>
              <w:spacing w:after="0" w:before="0" w:line="240"/>
            </w:pPr>
            <w:r>
              <w:rPr>
                <w:sz w:val="15"/>
                <w:szCs w:val="15"/>
              </w:rPr>
              <w:t xml:space="preserve">Front the app with an application proxy or password-vaulting SSO and move it to wave 3</w:t>
            </w:r>
          </w:p>
        </w:tc>
        <w:tc>
          <w:tcPr>
            <w:tcW w:type="dxa" w:w="1748"/>
            <w:shd w:fill="FFFFFF" w:color="auto" w:val="clear"/>
            <w:tcMar>
              <w:top w:type="dxa" w:w="50"/>
              <w:left w:type="dxa" w:w="80"/>
              <w:bottom w:type="dxa" w:w="50"/>
              <w:right w:type="dxa" w:w="80"/>
            </w:tcMar>
            <w:vAlign w:val="top"/>
          </w:tcPr>
          <w:p>
            <w:pPr>
              <w:spacing w:after="0" w:before="0" w:line="240"/>
            </w:pPr>
            <w:r>
              <w:rPr>
                <w:sz w:val="15"/>
                <w:szCs w:val="15"/>
              </w:rPr>
              <w:t xml:space="preserve">App vendor cannot confirm SAML/OIDC support by Gate 2</w:t>
            </w:r>
          </w:p>
        </w:tc>
      </w:tr>
      <w:tr>
        <w:trPr>
          <w:cantSplit/>
        </w:trPr>
        <w:tc>
          <w:tcPr>
            <w:tcW w:type="dxa" w:w="480"/>
            <w:shd w:fill="F2F5F4" w:color="auto" w:val="clear"/>
            <w:tcMar>
              <w:top w:type="dxa" w:w="50"/>
              <w:left w:type="dxa" w:w="80"/>
              <w:bottom w:type="dxa" w:w="50"/>
              <w:right w:type="dxa" w:w="80"/>
            </w:tcMar>
            <w:vAlign w:val="top"/>
          </w:tcPr>
          <w:p>
            <w:pPr>
              <w:spacing w:after="0" w:before="0" w:line="240"/>
            </w:pPr>
            <w:r>
              <w:rPr>
                <w:b/>
                <w:bCs/>
                <w:sz w:val="15"/>
                <w:szCs w:val="15"/>
              </w:rPr>
              <w:t xml:space="preserve">R02</w:t>
            </w:r>
          </w:p>
        </w:tc>
        <w:tc>
          <w:tcPr>
            <w:tcW w:type="dxa" w:w="2000"/>
            <w:shd w:fill="F2F5F4" w:color="auto" w:val="clear"/>
            <w:tcMar>
              <w:top w:type="dxa" w:w="50"/>
              <w:left w:type="dxa" w:w="80"/>
              <w:bottom w:type="dxa" w:w="50"/>
              <w:right w:type="dxa" w:w="80"/>
            </w:tcMar>
            <w:vAlign w:val="top"/>
          </w:tcPr>
          <w:p>
            <w:pPr>
              <w:spacing w:after="0" w:before="0" w:line="240"/>
            </w:pPr>
            <w:r>
              <w:rPr>
                <w:sz w:val="15"/>
                <w:szCs w:val="15"/>
              </w:rPr>
              <w:t xml:space="preserve">Inaccurate HR data (job codes, managers, end dates) grants wrong access or removes access in error</w:t>
            </w:r>
          </w:p>
        </w:tc>
        <w:tc>
          <w:tcPr>
            <w:tcW w:type="dxa" w:w="900"/>
            <w:shd w:fill="F2F5F4" w:color="auto" w:val="clear"/>
            <w:tcMar>
              <w:top w:type="dxa" w:w="50"/>
              <w:left w:type="dxa" w:w="80"/>
              <w:bottom w:type="dxa" w:w="50"/>
              <w:right w:type="dxa" w:w="80"/>
            </w:tcMar>
            <w:vAlign w:val="top"/>
          </w:tcPr>
          <w:p>
            <w:pPr>
              <w:spacing w:after="0" w:before="0" w:line="240"/>
            </w:pPr>
            <w:r>
              <w:rPr>
                <w:sz w:val="15"/>
                <w:szCs w:val="15"/>
              </w:rPr>
              <w:t xml:space="preserve">Data / privacy</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4</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4</w:t>
            </w:r>
          </w:p>
        </w:tc>
        <w:tc>
          <w:tcPr>
            <w:tcW w:type="dxa" w:w="760"/>
            <w:shd w:fill="F6D3C8" w:color="auto" w:val="clear"/>
            <w:tcMar>
              <w:top w:type="dxa" w:w="50"/>
              <w:left w:type="dxa" w:w="80"/>
              <w:bottom w:type="dxa" w:w="50"/>
              <w:right w:type="dxa" w:w="80"/>
            </w:tcMar>
            <w:vAlign w:val="top"/>
          </w:tcPr>
          <w:p>
            <w:pPr>
              <w:spacing w:after="0" w:before="0" w:line="240"/>
            </w:pPr>
            <w:r>
              <w:rPr>
                <w:b/>
                <w:bCs/>
                <w:sz w:val="15"/>
                <w:szCs w:val="15"/>
              </w:rPr>
              <w:t xml:space="preserve">16 High</w:t>
            </w:r>
          </w:p>
        </w:tc>
        <w:tc>
          <w:tcPr>
            <w:tcW w:type="dxa" w:w="700"/>
            <w:shd w:fill="F2F5F4" w:color="auto" w:val="clear"/>
            <w:tcMar>
              <w:top w:type="dxa" w:w="50"/>
              <w:left w:type="dxa" w:w="80"/>
              <w:bottom w:type="dxa" w:w="50"/>
              <w:right w:type="dxa" w:w="80"/>
            </w:tcMar>
            <w:vAlign w:val="top"/>
          </w:tcPr>
          <w:p>
            <w:pPr>
              <w:spacing w:after="0" w:before="0" w:line="240"/>
              <w:jc w:val="right"/>
            </w:pPr>
            <w:r>
              <w:rPr>
                <w:sz w:val="15"/>
                <w:szCs w:val="15"/>
              </w:rPr>
              <w:t xml:space="preserve">20,000</w:t>
            </w:r>
          </w:p>
        </w:tc>
        <w:tc>
          <w:tcPr>
            <w:tcW w:type="dxa" w:w="1080"/>
            <w:shd w:fill="F2F5F4" w:color="auto" w:val="clear"/>
            <w:tcMar>
              <w:top w:type="dxa" w:w="50"/>
              <w:left w:type="dxa" w:w="80"/>
              <w:bottom w:type="dxa" w:w="50"/>
              <w:right w:type="dxa" w:w="80"/>
            </w:tcMar>
            <w:vAlign w:val="top"/>
          </w:tcPr>
          <w:p>
            <w:pPr>
              <w:spacing w:after="0" w:before="0" w:line="240"/>
            </w:pPr>
            <w:r>
              <w:rPr>
                <w:sz w:val="15"/>
                <w:szCs w:val="15"/>
              </w:rPr>
              <w:t xml:space="preserve">Kritika (with HR)</w:t>
            </w:r>
          </w:p>
        </w:tc>
        <w:tc>
          <w:tcPr>
            <w:tcW w:type="dxa" w:w="850"/>
            <w:shd w:fill="F2F5F4" w:color="auto" w:val="clear"/>
            <w:tcMar>
              <w:top w:type="dxa" w:w="50"/>
              <w:left w:type="dxa" w:w="80"/>
              <w:bottom w:type="dxa" w:w="50"/>
              <w:right w:type="dxa" w:w="80"/>
            </w:tcMar>
            <w:vAlign w:val="top"/>
          </w:tcPr>
          <w:p>
            <w:pPr>
              <w:spacing w:after="0" w:before="0" w:line="240"/>
            </w:pPr>
            <w:r>
              <w:rPr>
                <w:sz w:val="15"/>
                <w:szCs w:val="15"/>
              </w:rPr>
              <w:t xml:space="preserve">Mitigate</w:t>
            </w:r>
          </w:p>
        </w:tc>
        <w:tc>
          <w:tcPr>
            <w:tcW w:type="dxa" w:w="2900"/>
            <w:shd w:fill="F2F5F4" w:color="auto" w:val="clear"/>
            <w:tcMar>
              <w:top w:type="dxa" w:w="50"/>
              <w:left w:type="dxa" w:w="80"/>
              <w:bottom w:type="dxa" w:w="50"/>
              <w:right w:type="dxa" w:w="80"/>
            </w:tcMar>
            <w:vAlign w:val="top"/>
          </w:tcPr>
          <w:p>
            <w:pPr>
              <w:spacing w:after="0" w:before="0" w:line="240"/>
            </w:pPr>
            <w:r>
              <w:rPr>
                <w:sz w:val="15"/>
                <w:szCs w:val="15"/>
              </w:rPr>
              <w:t xml:space="preserve">HR data cleansing before 1.3.2; run leaver automation in report-only mode for two weeks with daily reconciliation</w:t>
            </w:r>
          </w:p>
        </w:tc>
        <w:tc>
          <w:tcPr>
            <w:tcW w:type="dxa" w:w="2600"/>
            <w:shd w:fill="F2F5F4" w:color="auto" w:val="clear"/>
            <w:tcMar>
              <w:top w:type="dxa" w:w="50"/>
              <w:left w:type="dxa" w:w="80"/>
              <w:bottom w:type="dxa" w:w="50"/>
              <w:right w:type="dxa" w:w="80"/>
            </w:tcMar>
            <w:vAlign w:val="top"/>
          </w:tcPr>
          <w:p>
            <w:pPr>
              <w:spacing w:after="0" w:before="0" w:line="240"/>
            </w:pPr>
            <w:r>
              <w:rPr>
                <w:sz w:val="15"/>
                <w:szCs w:val="15"/>
              </w:rPr>
              <w:t xml:space="preserve">Switch affected changes to a manual approval queue; restore wrongly removed clinical access through the break-glass process within 15 minutes</w:t>
            </w:r>
          </w:p>
        </w:tc>
        <w:tc>
          <w:tcPr>
            <w:tcW w:type="dxa" w:w="1748"/>
            <w:shd w:fill="F2F5F4" w:color="auto" w:val="clear"/>
            <w:tcMar>
              <w:top w:type="dxa" w:w="50"/>
              <w:left w:type="dxa" w:w="80"/>
              <w:bottom w:type="dxa" w:w="50"/>
              <w:right w:type="dxa" w:w="80"/>
            </w:tcMar>
            <w:vAlign w:val="top"/>
          </w:tcPr>
          <w:p>
            <w:pPr>
              <w:spacing w:after="0" w:before="0" w:line="240"/>
            </w:pPr>
            <w:r>
              <w:rPr>
                <w:sz w:val="15"/>
                <w:szCs w:val="15"/>
              </w:rPr>
              <w:t xml:space="preserve">Reconciliation mismatch above 2% of records</w:t>
            </w:r>
          </w:p>
        </w:tc>
      </w:tr>
      <w:tr>
        <w:trPr>
          <w:cantSplit/>
        </w:trPr>
        <w:tc>
          <w:tcPr>
            <w:tcW w:type="dxa" w:w="480"/>
            <w:shd w:fill="FFFFFF" w:color="auto" w:val="clear"/>
            <w:tcMar>
              <w:top w:type="dxa" w:w="50"/>
              <w:left w:type="dxa" w:w="80"/>
              <w:bottom w:type="dxa" w:w="50"/>
              <w:right w:type="dxa" w:w="80"/>
            </w:tcMar>
            <w:vAlign w:val="top"/>
          </w:tcPr>
          <w:p>
            <w:pPr>
              <w:spacing w:after="0" w:before="0" w:line="240"/>
            </w:pPr>
            <w:r>
              <w:rPr>
                <w:b/>
                <w:bCs/>
                <w:sz w:val="15"/>
                <w:szCs w:val="15"/>
              </w:rPr>
              <w:t xml:space="preserve">R03</w:t>
            </w:r>
          </w:p>
        </w:tc>
        <w:tc>
          <w:tcPr>
            <w:tcW w:type="dxa" w:w="2000"/>
            <w:shd w:fill="FFFFFF" w:color="auto" w:val="clear"/>
            <w:tcMar>
              <w:top w:type="dxa" w:w="50"/>
              <w:left w:type="dxa" w:w="80"/>
              <w:bottom w:type="dxa" w:w="50"/>
              <w:right w:type="dxa" w:w="80"/>
            </w:tcMar>
            <w:vAlign w:val="top"/>
          </w:tcPr>
          <w:p>
            <w:pPr>
              <w:spacing w:after="0" w:before="0" w:line="240"/>
            </w:pPr>
            <w:r>
              <w:rPr>
                <w:sz w:val="15"/>
                <w:szCs w:val="15"/>
              </w:rPr>
              <w:t xml:space="preserve">Clinicians resist MFA at shared ward workstations and adopt workarounds</w:t>
            </w:r>
          </w:p>
        </w:tc>
        <w:tc>
          <w:tcPr>
            <w:tcW w:type="dxa" w:w="900"/>
            <w:shd w:fill="FFFFFF" w:color="auto" w:val="clear"/>
            <w:tcMar>
              <w:top w:type="dxa" w:w="50"/>
              <w:left w:type="dxa" w:w="80"/>
              <w:bottom w:type="dxa" w:w="50"/>
              <w:right w:type="dxa" w:w="80"/>
            </w:tcMar>
            <w:vAlign w:val="top"/>
          </w:tcPr>
          <w:p>
            <w:pPr>
              <w:spacing w:after="0" w:before="0" w:line="240"/>
            </w:pPr>
            <w:r>
              <w:rPr>
                <w:sz w:val="15"/>
                <w:szCs w:val="15"/>
              </w:rPr>
              <w:t xml:space="preserve">People</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4</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760"/>
            <w:shd w:fill="F6D3C8" w:color="auto" w:val="clear"/>
            <w:tcMar>
              <w:top w:type="dxa" w:w="50"/>
              <w:left w:type="dxa" w:w="80"/>
              <w:bottom w:type="dxa" w:w="50"/>
              <w:right w:type="dxa" w:w="80"/>
            </w:tcMar>
            <w:vAlign w:val="top"/>
          </w:tcPr>
          <w:p>
            <w:pPr>
              <w:spacing w:after="0" w:before="0" w:line="240"/>
            </w:pPr>
            <w:r>
              <w:rPr>
                <w:b/>
                <w:bCs/>
                <w:sz w:val="15"/>
                <w:szCs w:val="15"/>
              </w:rPr>
              <w:t xml:space="preserve">12 High</w:t>
            </w:r>
          </w:p>
        </w:tc>
        <w:tc>
          <w:tcPr>
            <w:tcW w:type="dxa" w:w="700"/>
            <w:shd w:fill="FFFFFF" w:color="auto" w:val="clear"/>
            <w:tcMar>
              <w:top w:type="dxa" w:w="50"/>
              <w:left w:type="dxa" w:w="80"/>
              <w:bottom w:type="dxa" w:w="50"/>
              <w:right w:type="dxa" w:w="80"/>
            </w:tcMar>
            <w:vAlign w:val="top"/>
          </w:tcPr>
          <w:p>
            <w:pPr>
              <w:spacing w:after="0" w:before="0" w:line="240"/>
              <w:jc w:val="right"/>
            </w:pPr>
            <w:r>
              <w:rPr>
                <w:sz w:val="15"/>
                <w:szCs w:val="15"/>
              </w:rPr>
              <w:t xml:space="preserve">18,000</w:t>
            </w:r>
          </w:p>
        </w:tc>
        <w:tc>
          <w:tcPr>
            <w:tcW w:type="dxa" w:w="1080"/>
            <w:shd w:fill="FFFFFF" w:color="auto" w:val="clear"/>
            <w:tcMar>
              <w:top w:type="dxa" w:w="50"/>
              <w:left w:type="dxa" w:w="80"/>
              <w:bottom w:type="dxa" w:w="50"/>
              <w:right w:type="dxa" w:w="80"/>
            </w:tcMar>
            <w:vAlign w:val="top"/>
          </w:tcPr>
          <w:p>
            <w:pPr>
              <w:spacing w:after="0" w:before="0" w:line="240"/>
            </w:pPr>
            <w:r>
              <w:rPr>
                <w:sz w:val="15"/>
                <w:szCs w:val="15"/>
              </w:rPr>
              <w:t xml:space="preserve">Kritika</w:t>
            </w:r>
          </w:p>
        </w:tc>
        <w:tc>
          <w:tcPr>
            <w:tcW w:type="dxa" w:w="850"/>
            <w:shd w:fill="FFFFFF" w:color="auto" w:val="clear"/>
            <w:tcMar>
              <w:top w:type="dxa" w:w="50"/>
              <w:left w:type="dxa" w:w="80"/>
              <w:bottom w:type="dxa" w:w="50"/>
              <w:right w:type="dxa" w:w="80"/>
            </w:tcMar>
            <w:vAlign w:val="top"/>
          </w:tcPr>
          <w:p>
            <w:pPr>
              <w:spacing w:after="0" w:before="0" w:line="240"/>
            </w:pPr>
            <w:r>
              <w:rPr>
                <w:sz w:val="15"/>
                <w:szCs w:val="15"/>
              </w:rPr>
              <w:t xml:space="preserve">Mitigate</w:t>
            </w:r>
          </w:p>
        </w:tc>
        <w:tc>
          <w:tcPr>
            <w:tcW w:type="dxa" w:w="2900"/>
            <w:shd w:fill="FFFFFF" w:color="auto" w:val="clear"/>
            <w:tcMar>
              <w:top w:type="dxa" w:w="50"/>
              <w:left w:type="dxa" w:w="80"/>
              <w:bottom w:type="dxa" w:w="50"/>
              <w:right w:type="dxa" w:w="80"/>
            </w:tcMar>
            <w:vAlign w:val="top"/>
          </w:tcPr>
          <w:p>
            <w:pPr>
              <w:spacing w:after="0" w:before="0" w:line="240"/>
            </w:pPr>
            <w:r>
              <w:rPr>
                <w:sz w:val="15"/>
                <w:szCs w:val="15"/>
              </w:rPr>
              <w:t xml:space="preserve">Tap-and-go FIDO2 security keys for shared workstations; clinical champions at every site; nurses in UAT</w:t>
            </w:r>
          </w:p>
        </w:tc>
        <w:tc>
          <w:tcPr>
            <w:tcW w:type="dxa" w:w="2600"/>
            <w:shd w:fill="FFFFFF" w:color="auto" w:val="clear"/>
            <w:tcMar>
              <w:top w:type="dxa" w:w="50"/>
              <w:left w:type="dxa" w:w="80"/>
              <w:bottom w:type="dxa" w:w="50"/>
              <w:right w:type="dxa" w:w="80"/>
            </w:tcMar>
            <w:vAlign w:val="top"/>
          </w:tcPr>
          <w:p>
            <w:pPr>
              <w:spacing w:after="0" w:before="0" w:line="240"/>
            </w:pPr>
            <w:r>
              <w:rPr>
                <w:sz w:val="15"/>
                <w:szCs w:val="15"/>
              </w:rPr>
              <w:t xml:space="preserve">Extend that site's rollout by one week with floor-walkers and extra keys</w:t>
            </w:r>
          </w:p>
        </w:tc>
        <w:tc>
          <w:tcPr>
            <w:tcW w:type="dxa" w:w="1748"/>
            <w:shd w:fill="FFFFFF" w:color="auto" w:val="clear"/>
            <w:tcMar>
              <w:top w:type="dxa" w:w="50"/>
              <w:left w:type="dxa" w:w="80"/>
              <w:bottom w:type="dxa" w:w="50"/>
              <w:right w:type="dxa" w:w="80"/>
            </w:tcMar>
            <w:vAlign w:val="top"/>
          </w:tcPr>
          <w:p>
            <w:pPr>
              <w:spacing w:after="0" w:before="0" w:line="240"/>
            </w:pPr>
            <w:r>
              <w:rPr>
                <w:sz w:val="15"/>
                <w:szCs w:val="15"/>
              </w:rPr>
              <w:t xml:space="preserve">Site MFA enrolment below 80% two weeks after rollout</w:t>
            </w:r>
          </w:p>
        </w:tc>
      </w:tr>
      <w:tr>
        <w:trPr>
          <w:cantSplit/>
        </w:trPr>
        <w:tc>
          <w:tcPr>
            <w:tcW w:type="dxa" w:w="480"/>
            <w:shd w:fill="F2F5F4" w:color="auto" w:val="clear"/>
            <w:tcMar>
              <w:top w:type="dxa" w:w="50"/>
              <w:left w:type="dxa" w:w="80"/>
              <w:bottom w:type="dxa" w:w="50"/>
              <w:right w:type="dxa" w:w="80"/>
            </w:tcMar>
            <w:vAlign w:val="top"/>
          </w:tcPr>
          <w:p>
            <w:pPr>
              <w:spacing w:after="0" w:before="0" w:line="240"/>
            </w:pPr>
            <w:r>
              <w:rPr>
                <w:b/>
                <w:bCs/>
                <w:sz w:val="15"/>
                <w:szCs w:val="15"/>
              </w:rPr>
              <w:t xml:space="preserve">R04</w:t>
            </w:r>
          </w:p>
        </w:tc>
        <w:tc>
          <w:tcPr>
            <w:tcW w:type="dxa" w:w="2000"/>
            <w:shd w:fill="F2F5F4" w:color="auto" w:val="clear"/>
            <w:tcMar>
              <w:top w:type="dxa" w:w="50"/>
              <w:left w:type="dxa" w:w="80"/>
              <w:bottom w:type="dxa" w:w="50"/>
              <w:right w:type="dxa" w:w="80"/>
            </w:tcMar>
            <w:vAlign w:val="top"/>
          </w:tcPr>
          <w:p>
            <w:pPr>
              <w:spacing w:after="0" w:before="0" w:line="240"/>
            </w:pPr>
            <w:r>
              <w:rPr>
                <w:sz w:val="15"/>
                <w:szCs w:val="15"/>
              </w:rPr>
              <w:t xml:space="preserve">Implementation partner loses or reassigns a key integration engineer</w:t>
            </w:r>
          </w:p>
        </w:tc>
        <w:tc>
          <w:tcPr>
            <w:tcW w:type="dxa" w:w="900"/>
            <w:shd w:fill="F2F5F4" w:color="auto" w:val="clear"/>
            <w:tcMar>
              <w:top w:type="dxa" w:w="50"/>
              <w:left w:type="dxa" w:w="80"/>
              <w:bottom w:type="dxa" w:w="50"/>
              <w:right w:type="dxa" w:w="80"/>
            </w:tcMar>
            <w:vAlign w:val="top"/>
          </w:tcPr>
          <w:p>
            <w:pPr>
              <w:spacing w:after="0" w:before="0" w:line="240"/>
            </w:pPr>
            <w:r>
              <w:rPr>
                <w:sz w:val="15"/>
                <w:szCs w:val="15"/>
              </w:rPr>
              <w:t xml:space="preserve">Vendor</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2</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4</w:t>
            </w:r>
          </w:p>
        </w:tc>
        <w:tc>
          <w:tcPr>
            <w:tcW w:type="dxa" w:w="760"/>
            <w:shd w:fill="FBEFC9" w:color="auto" w:val="clear"/>
            <w:tcMar>
              <w:top w:type="dxa" w:w="50"/>
              <w:left w:type="dxa" w:w="80"/>
              <w:bottom w:type="dxa" w:w="50"/>
              <w:right w:type="dxa" w:w="80"/>
            </w:tcMar>
            <w:vAlign w:val="top"/>
          </w:tcPr>
          <w:p>
            <w:pPr>
              <w:spacing w:after="0" w:before="0" w:line="240"/>
            </w:pPr>
            <w:r>
              <w:rPr>
                <w:b/>
                <w:bCs/>
                <w:sz w:val="15"/>
                <w:szCs w:val="15"/>
              </w:rPr>
              <w:t xml:space="preserve">8 Medium</w:t>
            </w:r>
          </w:p>
        </w:tc>
        <w:tc>
          <w:tcPr>
            <w:tcW w:type="dxa" w:w="700"/>
            <w:shd w:fill="F2F5F4" w:color="auto" w:val="clear"/>
            <w:tcMar>
              <w:top w:type="dxa" w:w="50"/>
              <w:left w:type="dxa" w:w="80"/>
              <w:bottom w:type="dxa" w:w="50"/>
              <w:right w:type="dxa" w:w="80"/>
            </w:tcMar>
            <w:vAlign w:val="top"/>
          </w:tcPr>
          <w:p>
            <w:pPr>
              <w:spacing w:after="0" w:before="0" w:line="240"/>
              <w:jc w:val="right"/>
            </w:pPr>
            <w:r>
              <w:rPr>
                <w:sz w:val="15"/>
                <w:szCs w:val="15"/>
              </w:rPr>
              <w:t xml:space="preserve">12,500</w:t>
            </w:r>
          </w:p>
        </w:tc>
        <w:tc>
          <w:tcPr>
            <w:tcW w:type="dxa" w:w="1080"/>
            <w:shd w:fill="F2F5F4" w:color="auto" w:val="clear"/>
            <w:tcMar>
              <w:top w:type="dxa" w:w="50"/>
              <w:left w:type="dxa" w:w="80"/>
              <w:bottom w:type="dxa" w:w="50"/>
              <w:right w:type="dxa" w:w="80"/>
            </w:tcMar>
            <w:vAlign w:val="top"/>
          </w:tcPr>
          <w:p>
            <w:pPr>
              <w:spacing w:after="0" w:before="0" w:line="240"/>
            </w:pPr>
            <w:r>
              <w:rPr>
                <w:sz w:val="15"/>
                <w:szCs w:val="15"/>
              </w:rPr>
              <w:t xml:space="preserve">Toufiq</w:t>
            </w:r>
          </w:p>
        </w:tc>
        <w:tc>
          <w:tcPr>
            <w:tcW w:type="dxa" w:w="850"/>
            <w:shd w:fill="F2F5F4" w:color="auto" w:val="clear"/>
            <w:tcMar>
              <w:top w:type="dxa" w:w="50"/>
              <w:left w:type="dxa" w:w="80"/>
              <w:bottom w:type="dxa" w:w="50"/>
              <w:right w:type="dxa" w:w="80"/>
            </w:tcMar>
            <w:vAlign w:val="top"/>
          </w:tcPr>
          <w:p>
            <w:pPr>
              <w:spacing w:after="0" w:before="0" w:line="240"/>
            </w:pPr>
            <w:r>
              <w:rPr>
                <w:sz w:val="15"/>
                <w:szCs w:val="15"/>
              </w:rPr>
              <w:t xml:space="preserve">Transfer</w:t>
            </w:r>
          </w:p>
        </w:tc>
        <w:tc>
          <w:tcPr>
            <w:tcW w:type="dxa" w:w="2900"/>
            <w:shd w:fill="F2F5F4" w:color="auto" w:val="clear"/>
            <w:tcMar>
              <w:top w:type="dxa" w:w="50"/>
              <w:left w:type="dxa" w:w="80"/>
              <w:bottom w:type="dxa" w:w="50"/>
              <w:right w:type="dxa" w:w="80"/>
            </w:tcMar>
            <w:vAlign w:val="top"/>
          </w:tcPr>
          <w:p>
            <w:pPr>
              <w:spacing w:after="0" w:before="0" w:line="240"/>
            </w:pPr>
            <w:r>
              <w:rPr>
                <w:sz w:val="15"/>
                <w:szCs w:val="15"/>
              </w:rPr>
              <w:t xml:space="preserve">Named-resource clause with 10-day replacement and service credits; configuration documented in GitHub</w:t>
            </w:r>
          </w:p>
        </w:tc>
        <w:tc>
          <w:tcPr>
            <w:tcW w:type="dxa" w:w="2600"/>
            <w:shd w:fill="F2F5F4" w:color="auto" w:val="clear"/>
            <w:tcMar>
              <w:top w:type="dxa" w:w="50"/>
              <w:left w:type="dxa" w:w="80"/>
              <w:bottom w:type="dxa" w:w="50"/>
              <w:right w:type="dxa" w:w="80"/>
            </w:tcMar>
            <w:vAlign w:val="top"/>
          </w:tcPr>
          <w:p>
            <w:pPr>
              <w:spacing w:after="0" w:before="0" w:line="240"/>
            </w:pPr>
            <w:r>
              <w:rPr>
                <w:sz w:val="15"/>
                <w:szCs w:val="15"/>
              </w:rPr>
              <w:t xml:space="preserve">Call on the standing-offer second partner; resequence SSO waves to protect the critical path</w:t>
            </w:r>
          </w:p>
        </w:tc>
        <w:tc>
          <w:tcPr>
            <w:tcW w:type="dxa" w:w="1748"/>
            <w:shd w:fill="F2F5F4" w:color="auto" w:val="clear"/>
            <w:tcMar>
              <w:top w:type="dxa" w:w="50"/>
              <w:left w:type="dxa" w:w="80"/>
              <w:bottom w:type="dxa" w:w="50"/>
              <w:right w:type="dxa" w:w="80"/>
            </w:tcMar>
            <w:vAlign w:val="top"/>
          </w:tcPr>
          <w:p>
            <w:pPr>
              <w:spacing w:after="0" w:before="0" w:line="240"/>
            </w:pPr>
            <w:r>
              <w:rPr>
                <w:sz w:val="15"/>
                <w:szCs w:val="15"/>
              </w:rPr>
              <w:t xml:space="preserve">Key engineer absent for more than 5 working days</w:t>
            </w:r>
          </w:p>
        </w:tc>
      </w:tr>
      <w:tr>
        <w:trPr>
          <w:cantSplit/>
        </w:trPr>
        <w:tc>
          <w:tcPr>
            <w:tcW w:type="dxa" w:w="480"/>
            <w:shd w:fill="FFFFFF" w:color="auto" w:val="clear"/>
            <w:tcMar>
              <w:top w:type="dxa" w:w="50"/>
              <w:left w:type="dxa" w:w="80"/>
              <w:bottom w:type="dxa" w:w="50"/>
              <w:right w:type="dxa" w:w="80"/>
            </w:tcMar>
            <w:vAlign w:val="top"/>
          </w:tcPr>
          <w:p>
            <w:pPr>
              <w:spacing w:after="0" w:before="0" w:line="240"/>
            </w:pPr>
            <w:r>
              <w:rPr>
                <w:b/>
                <w:bCs/>
                <w:sz w:val="15"/>
                <w:szCs w:val="15"/>
              </w:rPr>
              <w:t xml:space="preserve">R05</w:t>
            </w:r>
          </w:p>
        </w:tc>
        <w:tc>
          <w:tcPr>
            <w:tcW w:type="dxa" w:w="2000"/>
            <w:shd w:fill="FFFFFF" w:color="auto" w:val="clear"/>
            <w:tcMar>
              <w:top w:type="dxa" w:w="50"/>
              <w:left w:type="dxa" w:w="80"/>
              <w:bottom w:type="dxa" w:w="50"/>
              <w:right w:type="dxa" w:w="80"/>
            </w:tcMar>
            <w:vAlign w:val="top"/>
          </w:tcPr>
          <w:p>
            <w:pPr>
              <w:spacing w:after="0" w:before="0" w:line="240"/>
            </w:pPr>
            <w:r>
              <w:rPr>
                <w:sz w:val="15"/>
                <w:szCs w:val="15"/>
              </w:rPr>
              <w:t xml:space="preserve">Platform procurement and contract negotiation run late, delaying design</w:t>
            </w:r>
          </w:p>
        </w:tc>
        <w:tc>
          <w:tcPr>
            <w:tcW w:type="dxa" w:w="900"/>
            <w:shd w:fill="FFFFFF" w:color="auto" w:val="clear"/>
            <w:tcMar>
              <w:top w:type="dxa" w:w="50"/>
              <w:left w:type="dxa" w:w="80"/>
              <w:bottom w:type="dxa" w:w="50"/>
              <w:right w:type="dxa" w:w="80"/>
            </w:tcMar>
            <w:vAlign w:val="top"/>
          </w:tcPr>
          <w:p>
            <w:pPr>
              <w:spacing w:after="0" w:before="0" w:line="240"/>
            </w:pPr>
            <w:r>
              <w:rPr>
                <w:sz w:val="15"/>
                <w:szCs w:val="15"/>
              </w:rPr>
              <w:t xml:space="preserve">Schedule</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760"/>
            <w:shd w:fill="FBEFC9" w:color="auto" w:val="clear"/>
            <w:tcMar>
              <w:top w:type="dxa" w:w="50"/>
              <w:left w:type="dxa" w:w="80"/>
              <w:bottom w:type="dxa" w:w="50"/>
              <w:right w:type="dxa" w:w="80"/>
            </w:tcMar>
            <w:vAlign w:val="top"/>
          </w:tcPr>
          <w:p>
            <w:pPr>
              <w:spacing w:after="0" w:before="0" w:line="240"/>
            </w:pPr>
            <w:r>
              <w:rPr>
                <w:b/>
                <w:bCs/>
                <w:sz w:val="15"/>
                <w:szCs w:val="15"/>
              </w:rPr>
              <w:t xml:space="preserve">9 Medium</w:t>
            </w:r>
          </w:p>
        </w:tc>
        <w:tc>
          <w:tcPr>
            <w:tcW w:type="dxa" w:w="700"/>
            <w:shd w:fill="FFFFFF" w:color="auto" w:val="clear"/>
            <w:tcMar>
              <w:top w:type="dxa" w:w="50"/>
              <w:left w:type="dxa" w:w="80"/>
              <w:bottom w:type="dxa" w:w="50"/>
              <w:right w:type="dxa" w:w="80"/>
            </w:tcMar>
            <w:vAlign w:val="top"/>
          </w:tcPr>
          <w:p>
            <w:pPr>
              <w:spacing w:after="0" w:before="0" w:line="240"/>
              <w:jc w:val="right"/>
            </w:pPr>
            <w:r>
              <w:rPr>
                <w:sz w:val="15"/>
                <w:szCs w:val="15"/>
              </w:rPr>
              <w:t xml:space="preserve">10,000</w:t>
            </w:r>
          </w:p>
        </w:tc>
        <w:tc>
          <w:tcPr>
            <w:tcW w:type="dxa" w:w="1080"/>
            <w:shd w:fill="FFFFFF" w:color="auto" w:val="clear"/>
            <w:tcMar>
              <w:top w:type="dxa" w:w="50"/>
              <w:left w:type="dxa" w:w="80"/>
              <w:bottom w:type="dxa" w:w="50"/>
              <w:right w:type="dxa" w:w="80"/>
            </w:tcMar>
            <w:vAlign w:val="top"/>
          </w:tcPr>
          <w:p>
            <w:pPr>
              <w:spacing w:after="0" w:before="0" w:line="240"/>
            </w:pPr>
            <w:r>
              <w:rPr>
                <w:sz w:val="15"/>
                <w:szCs w:val="15"/>
              </w:rPr>
              <w:t xml:space="preserve">Toufiq</w:t>
            </w:r>
          </w:p>
        </w:tc>
        <w:tc>
          <w:tcPr>
            <w:tcW w:type="dxa" w:w="850"/>
            <w:shd w:fill="FFFFFF" w:color="auto" w:val="clear"/>
            <w:tcMar>
              <w:top w:type="dxa" w:w="50"/>
              <w:left w:type="dxa" w:w="80"/>
              <w:bottom w:type="dxa" w:w="50"/>
              <w:right w:type="dxa" w:w="80"/>
            </w:tcMar>
            <w:vAlign w:val="top"/>
          </w:tcPr>
          <w:p>
            <w:pPr>
              <w:spacing w:after="0" w:before="0" w:line="240"/>
            </w:pPr>
            <w:r>
              <w:rPr>
                <w:sz w:val="15"/>
                <w:szCs w:val="15"/>
              </w:rPr>
              <w:t xml:space="preserve">Mitigate</w:t>
            </w:r>
          </w:p>
        </w:tc>
        <w:tc>
          <w:tcPr>
            <w:tcW w:type="dxa" w:w="2900"/>
            <w:shd w:fill="FFFFFF" w:color="auto" w:val="clear"/>
            <w:tcMar>
              <w:top w:type="dxa" w:w="50"/>
              <w:left w:type="dxa" w:w="80"/>
              <w:bottom w:type="dxa" w:w="50"/>
              <w:right w:type="dxa" w:w="80"/>
            </w:tcMar>
            <w:vAlign w:val="top"/>
          </w:tcPr>
          <w:p>
            <w:pPr>
              <w:spacing w:after="0" w:before="0" w:line="240"/>
            </w:pPr>
            <w:r>
              <w:rPr>
                <w:sz w:val="15"/>
                <w:szCs w:val="15"/>
              </w:rPr>
              <w:t xml:space="preserve">Issue the RFQ in week 3 with a pre-approved contract template; legal engaged from kickoff</w:t>
            </w:r>
          </w:p>
        </w:tc>
        <w:tc>
          <w:tcPr>
            <w:tcW w:type="dxa" w:w="2600"/>
            <w:shd w:fill="FFFFFF" w:color="auto" w:val="clear"/>
            <w:tcMar>
              <w:top w:type="dxa" w:w="50"/>
              <w:left w:type="dxa" w:w="80"/>
              <w:bottom w:type="dxa" w:w="50"/>
              <w:right w:type="dxa" w:w="80"/>
            </w:tcMar>
            <w:vAlign w:val="top"/>
          </w:tcPr>
          <w:p>
            <w:pPr>
              <w:spacing w:after="0" w:before="0" w:line="240"/>
            </w:pPr>
            <w:r>
              <w:rPr>
                <w:sz w:val="15"/>
                <w:szCs w:val="15"/>
              </w:rPr>
              <w:t xml:space="preserve">Start role model and test strategy early and use the vendor's trial tenant for design</w:t>
            </w:r>
          </w:p>
        </w:tc>
        <w:tc>
          <w:tcPr>
            <w:tcW w:type="dxa" w:w="1748"/>
            <w:shd w:fill="FFFFFF" w:color="auto" w:val="clear"/>
            <w:tcMar>
              <w:top w:type="dxa" w:w="50"/>
              <w:left w:type="dxa" w:w="80"/>
              <w:bottom w:type="dxa" w:w="50"/>
              <w:right w:type="dxa" w:w="80"/>
            </w:tcMar>
            <w:vAlign w:val="top"/>
          </w:tcPr>
          <w:p>
            <w:pPr>
              <w:spacing w:after="0" w:before="0" w:line="240"/>
            </w:pPr>
            <w:r>
              <w:rPr>
                <w:sz w:val="15"/>
                <w:szCs w:val="15"/>
              </w:rPr>
              <w:t xml:space="preserve">Contract not signed by the M3 date</w:t>
            </w:r>
          </w:p>
        </w:tc>
      </w:tr>
      <w:tr>
        <w:trPr>
          <w:cantSplit/>
        </w:trPr>
        <w:tc>
          <w:tcPr>
            <w:tcW w:type="dxa" w:w="480"/>
            <w:shd w:fill="F2F5F4" w:color="auto" w:val="clear"/>
            <w:tcMar>
              <w:top w:type="dxa" w:w="50"/>
              <w:left w:type="dxa" w:w="80"/>
              <w:bottom w:type="dxa" w:w="50"/>
              <w:right w:type="dxa" w:w="80"/>
            </w:tcMar>
            <w:vAlign w:val="top"/>
          </w:tcPr>
          <w:p>
            <w:pPr>
              <w:spacing w:after="0" w:before="0" w:line="240"/>
            </w:pPr>
            <w:r>
              <w:rPr>
                <w:b/>
                <w:bCs/>
                <w:sz w:val="15"/>
                <w:szCs w:val="15"/>
              </w:rPr>
              <w:t xml:space="preserve">R06</w:t>
            </w:r>
          </w:p>
        </w:tc>
        <w:tc>
          <w:tcPr>
            <w:tcW w:type="dxa" w:w="2000"/>
            <w:shd w:fill="F2F5F4" w:color="auto" w:val="clear"/>
            <w:tcMar>
              <w:top w:type="dxa" w:w="50"/>
              <w:left w:type="dxa" w:w="80"/>
              <w:bottom w:type="dxa" w:w="50"/>
              <w:right w:type="dxa" w:w="80"/>
            </w:tcMar>
            <w:vAlign w:val="top"/>
          </w:tcPr>
          <w:p>
            <w:pPr>
              <w:spacing w:after="0" w:before="0" w:line="240"/>
            </w:pPr>
            <w:r>
              <w:rPr>
                <w:sz w:val="15"/>
                <w:szCs w:val="15"/>
              </w:rPr>
              <w:t xml:space="preserve">Licence prices rise (USD-priced quote or exchange rate) before contract signature</w:t>
            </w:r>
          </w:p>
        </w:tc>
        <w:tc>
          <w:tcPr>
            <w:tcW w:type="dxa" w:w="900"/>
            <w:shd w:fill="F2F5F4" w:color="auto" w:val="clear"/>
            <w:tcMar>
              <w:top w:type="dxa" w:w="50"/>
              <w:left w:type="dxa" w:w="80"/>
              <w:bottom w:type="dxa" w:w="50"/>
              <w:right w:type="dxa" w:w="80"/>
            </w:tcMar>
            <w:vAlign w:val="top"/>
          </w:tcPr>
          <w:p>
            <w:pPr>
              <w:spacing w:after="0" w:before="0" w:line="240"/>
            </w:pPr>
            <w:r>
              <w:rPr>
                <w:sz w:val="15"/>
                <w:szCs w:val="15"/>
              </w:rPr>
              <w:t xml:space="preserve">Budget</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2</w:t>
            </w:r>
          </w:p>
        </w:tc>
        <w:tc>
          <w:tcPr>
            <w:tcW w:type="dxa" w:w="760"/>
            <w:shd w:fill="FBEFC9" w:color="auto" w:val="clear"/>
            <w:tcMar>
              <w:top w:type="dxa" w:w="50"/>
              <w:left w:type="dxa" w:w="80"/>
              <w:bottom w:type="dxa" w:w="50"/>
              <w:right w:type="dxa" w:w="80"/>
            </w:tcMar>
            <w:vAlign w:val="top"/>
          </w:tcPr>
          <w:p>
            <w:pPr>
              <w:spacing w:after="0" w:before="0" w:line="240"/>
            </w:pPr>
            <w:r>
              <w:rPr>
                <w:b/>
                <w:bCs/>
                <w:sz w:val="15"/>
                <w:szCs w:val="15"/>
              </w:rPr>
              <w:t xml:space="preserve">6 Medium</w:t>
            </w:r>
          </w:p>
        </w:tc>
        <w:tc>
          <w:tcPr>
            <w:tcW w:type="dxa" w:w="700"/>
            <w:shd w:fill="F2F5F4" w:color="auto" w:val="clear"/>
            <w:tcMar>
              <w:top w:type="dxa" w:w="50"/>
              <w:left w:type="dxa" w:w="80"/>
              <w:bottom w:type="dxa" w:w="50"/>
              <w:right w:type="dxa" w:w="80"/>
            </w:tcMar>
            <w:vAlign w:val="top"/>
          </w:tcPr>
          <w:p>
            <w:pPr>
              <w:spacing w:after="0" w:before="0" w:line="240"/>
              <w:jc w:val="right"/>
            </w:pPr>
            <w:r>
              <w:rPr>
                <w:sz w:val="15"/>
                <w:szCs w:val="15"/>
              </w:rPr>
              <w:t xml:space="preserve">5,400</w:t>
            </w:r>
          </w:p>
        </w:tc>
        <w:tc>
          <w:tcPr>
            <w:tcW w:type="dxa" w:w="1080"/>
            <w:shd w:fill="F2F5F4" w:color="auto" w:val="clear"/>
            <w:tcMar>
              <w:top w:type="dxa" w:w="50"/>
              <w:left w:type="dxa" w:w="80"/>
              <w:bottom w:type="dxa" w:w="50"/>
              <w:right w:type="dxa" w:w="80"/>
            </w:tcMar>
            <w:vAlign w:val="top"/>
          </w:tcPr>
          <w:p>
            <w:pPr>
              <w:spacing w:after="0" w:before="0" w:line="240"/>
            </w:pPr>
            <w:r>
              <w:rPr>
                <w:sz w:val="15"/>
                <w:szCs w:val="15"/>
              </w:rPr>
              <w:t xml:space="preserve">Toufiq</w:t>
            </w:r>
          </w:p>
        </w:tc>
        <w:tc>
          <w:tcPr>
            <w:tcW w:type="dxa" w:w="850"/>
            <w:shd w:fill="F2F5F4" w:color="auto" w:val="clear"/>
            <w:tcMar>
              <w:top w:type="dxa" w:w="50"/>
              <w:left w:type="dxa" w:w="80"/>
              <w:bottom w:type="dxa" w:w="50"/>
              <w:right w:type="dxa" w:w="80"/>
            </w:tcMar>
            <w:vAlign w:val="top"/>
          </w:tcPr>
          <w:p>
            <w:pPr>
              <w:spacing w:after="0" w:before="0" w:line="240"/>
            </w:pPr>
            <w:r>
              <w:rPr>
                <w:sz w:val="15"/>
                <w:szCs w:val="15"/>
              </w:rPr>
              <w:t xml:space="preserve">Mitigate</w:t>
            </w:r>
          </w:p>
        </w:tc>
        <w:tc>
          <w:tcPr>
            <w:tcW w:type="dxa" w:w="2900"/>
            <w:shd w:fill="F2F5F4" w:color="auto" w:val="clear"/>
            <w:tcMar>
              <w:top w:type="dxa" w:w="50"/>
              <w:left w:type="dxa" w:w="80"/>
              <w:bottom w:type="dxa" w:w="50"/>
              <w:right w:type="dxa" w:w="80"/>
            </w:tcMar>
            <w:vAlign w:val="top"/>
          </w:tcPr>
          <w:p>
            <w:pPr>
              <w:spacing w:after="0" w:before="0" w:line="240"/>
            </w:pPr>
            <w:r>
              <w:rPr>
                <w:sz w:val="15"/>
                <w:szCs w:val="15"/>
              </w:rPr>
              <w:t xml:space="preserve">Require AUD-denominated pricing held for 90 days in the RFQ</w:t>
            </w:r>
          </w:p>
        </w:tc>
        <w:tc>
          <w:tcPr>
            <w:tcW w:type="dxa" w:w="2600"/>
            <w:shd w:fill="F2F5F4" w:color="auto" w:val="clear"/>
            <w:tcMar>
              <w:top w:type="dxa" w:w="50"/>
              <w:left w:type="dxa" w:w="80"/>
              <w:bottom w:type="dxa" w:w="50"/>
              <w:right w:type="dxa" w:w="80"/>
            </w:tcMar>
            <w:vAlign w:val="top"/>
          </w:tcPr>
          <w:p>
            <w:pPr>
              <w:spacing w:after="0" w:before="0" w:line="240"/>
            </w:pPr>
            <w:r>
              <w:rPr>
                <w:sz w:val="15"/>
                <w:szCs w:val="15"/>
              </w:rPr>
              <w:t xml:space="preserve">Draw on contingency; license lower-risk contractor identities on a cheaper tier</w:t>
            </w:r>
          </w:p>
        </w:tc>
        <w:tc>
          <w:tcPr>
            <w:tcW w:type="dxa" w:w="1748"/>
            <w:shd w:fill="F2F5F4" w:color="auto" w:val="clear"/>
            <w:tcMar>
              <w:top w:type="dxa" w:w="50"/>
              <w:left w:type="dxa" w:w="80"/>
              <w:bottom w:type="dxa" w:w="50"/>
              <w:right w:type="dxa" w:w="80"/>
            </w:tcMar>
            <w:vAlign w:val="top"/>
          </w:tcPr>
          <w:p>
            <w:pPr>
              <w:spacing w:after="0" w:before="0" w:line="240"/>
            </w:pPr>
            <w:r>
              <w:rPr>
                <w:sz w:val="15"/>
                <w:szCs w:val="15"/>
              </w:rPr>
              <w:t xml:space="preserve">Final quote exceeds the baseline licence line by more than 5%</w:t>
            </w:r>
          </w:p>
        </w:tc>
      </w:tr>
      <w:tr>
        <w:trPr>
          <w:cantSplit/>
        </w:trPr>
        <w:tc>
          <w:tcPr>
            <w:tcW w:type="dxa" w:w="480"/>
            <w:shd w:fill="FFFFFF" w:color="auto" w:val="clear"/>
            <w:tcMar>
              <w:top w:type="dxa" w:w="50"/>
              <w:left w:type="dxa" w:w="80"/>
              <w:bottom w:type="dxa" w:w="50"/>
              <w:right w:type="dxa" w:w="80"/>
            </w:tcMar>
            <w:vAlign w:val="top"/>
          </w:tcPr>
          <w:p>
            <w:pPr>
              <w:spacing w:after="0" w:before="0" w:line="240"/>
            </w:pPr>
            <w:r>
              <w:rPr>
                <w:b/>
                <w:bCs/>
                <w:sz w:val="15"/>
                <w:szCs w:val="15"/>
              </w:rPr>
              <w:t xml:space="preserve">R07</w:t>
            </w:r>
          </w:p>
        </w:tc>
        <w:tc>
          <w:tcPr>
            <w:tcW w:type="dxa" w:w="2000"/>
            <w:shd w:fill="FFFFFF" w:color="auto" w:val="clear"/>
            <w:tcMar>
              <w:top w:type="dxa" w:w="50"/>
              <w:left w:type="dxa" w:w="80"/>
              <w:bottom w:type="dxa" w:w="50"/>
              <w:right w:type="dxa" w:w="80"/>
            </w:tcMar>
            <w:vAlign w:val="top"/>
          </w:tcPr>
          <w:p>
            <w:pPr>
              <w:spacing w:after="0" w:before="0" w:line="240"/>
            </w:pPr>
            <w:r>
              <w:rPr>
                <w:sz w:val="15"/>
                <w:szCs w:val="15"/>
              </w:rPr>
              <w:t xml:space="preserve">Clinical staff unavailable for UAT because of roster pressure</w:t>
            </w:r>
          </w:p>
        </w:tc>
        <w:tc>
          <w:tcPr>
            <w:tcW w:type="dxa" w:w="900"/>
            <w:shd w:fill="FFFFFF" w:color="auto" w:val="clear"/>
            <w:tcMar>
              <w:top w:type="dxa" w:w="50"/>
              <w:left w:type="dxa" w:w="80"/>
              <w:bottom w:type="dxa" w:w="50"/>
              <w:right w:type="dxa" w:w="80"/>
            </w:tcMar>
            <w:vAlign w:val="top"/>
          </w:tcPr>
          <w:p>
            <w:pPr>
              <w:spacing w:after="0" w:before="0" w:line="240"/>
            </w:pPr>
            <w:r>
              <w:rPr>
                <w:sz w:val="15"/>
                <w:szCs w:val="15"/>
              </w:rPr>
              <w:t xml:space="preserve">Organisational</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760"/>
            <w:shd w:fill="FBEFC9" w:color="auto" w:val="clear"/>
            <w:tcMar>
              <w:top w:type="dxa" w:w="50"/>
              <w:left w:type="dxa" w:w="80"/>
              <w:bottom w:type="dxa" w:w="50"/>
              <w:right w:type="dxa" w:w="80"/>
            </w:tcMar>
            <w:vAlign w:val="top"/>
          </w:tcPr>
          <w:p>
            <w:pPr>
              <w:spacing w:after="0" w:before="0" w:line="240"/>
            </w:pPr>
            <w:r>
              <w:rPr>
                <w:b/>
                <w:bCs/>
                <w:sz w:val="15"/>
                <w:szCs w:val="15"/>
              </w:rPr>
              <w:t xml:space="preserve">9 Medium</w:t>
            </w:r>
          </w:p>
        </w:tc>
        <w:tc>
          <w:tcPr>
            <w:tcW w:type="dxa" w:w="700"/>
            <w:shd w:fill="FFFFFF" w:color="auto" w:val="clear"/>
            <w:tcMar>
              <w:top w:type="dxa" w:w="50"/>
              <w:left w:type="dxa" w:w="80"/>
              <w:bottom w:type="dxa" w:w="50"/>
              <w:right w:type="dxa" w:w="80"/>
            </w:tcMar>
            <w:vAlign w:val="top"/>
          </w:tcPr>
          <w:p>
            <w:pPr>
              <w:spacing w:after="0" w:before="0" w:line="240"/>
              <w:jc w:val="right"/>
            </w:pPr>
            <w:r>
              <w:rPr>
                <w:sz w:val="15"/>
                <w:szCs w:val="15"/>
              </w:rPr>
              <w:t xml:space="preserve">8,000</w:t>
            </w:r>
          </w:p>
        </w:tc>
        <w:tc>
          <w:tcPr>
            <w:tcW w:type="dxa" w:w="1080"/>
            <w:shd w:fill="FFFFFF" w:color="auto" w:val="clear"/>
            <w:tcMar>
              <w:top w:type="dxa" w:w="50"/>
              <w:left w:type="dxa" w:w="80"/>
              <w:bottom w:type="dxa" w:w="50"/>
              <w:right w:type="dxa" w:w="80"/>
            </w:tcMar>
            <w:vAlign w:val="top"/>
          </w:tcPr>
          <w:p>
            <w:pPr>
              <w:spacing w:after="0" w:before="0" w:line="240"/>
            </w:pPr>
            <w:r>
              <w:rPr>
                <w:sz w:val="15"/>
                <w:szCs w:val="15"/>
              </w:rPr>
              <w:t xml:space="preserve">Fardin</w:t>
            </w:r>
          </w:p>
        </w:tc>
        <w:tc>
          <w:tcPr>
            <w:tcW w:type="dxa" w:w="850"/>
            <w:shd w:fill="FFFFFF" w:color="auto" w:val="clear"/>
            <w:tcMar>
              <w:top w:type="dxa" w:w="50"/>
              <w:left w:type="dxa" w:w="80"/>
              <w:bottom w:type="dxa" w:w="50"/>
              <w:right w:type="dxa" w:w="80"/>
            </w:tcMar>
            <w:vAlign w:val="top"/>
          </w:tcPr>
          <w:p>
            <w:pPr>
              <w:spacing w:after="0" w:before="0" w:line="240"/>
            </w:pPr>
            <w:r>
              <w:rPr>
                <w:sz w:val="15"/>
                <w:szCs w:val="15"/>
              </w:rPr>
              <w:t xml:space="preserve">Mitigate</w:t>
            </w:r>
          </w:p>
        </w:tc>
        <w:tc>
          <w:tcPr>
            <w:tcW w:type="dxa" w:w="2900"/>
            <w:shd w:fill="FFFFFF" w:color="auto" w:val="clear"/>
            <w:tcMar>
              <w:top w:type="dxa" w:w="50"/>
              <w:left w:type="dxa" w:w="80"/>
              <w:bottom w:type="dxa" w:w="50"/>
              <w:right w:type="dxa" w:w="80"/>
            </w:tcMar>
            <w:vAlign w:val="top"/>
          </w:tcPr>
          <w:p>
            <w:pPr>
              <w:spacing w:after="0" w:before="0" w:line="240"/>
            </w:pPr>
            <w:r>
              <w:rPr>
                <w:sz w:val="15"/>
                <w:szCs w:val="15"/>
              </w:rPr>
              <w:t xml:space="preserve">Book testers six weeks ahead with funded backfill shifts; agree dates with the Director of Nursing</w:t>
            </w:r>
          </w:p>
        </w:tc>
        <w:tc>
          <w:tcPr>
            <w:tcW w:type="dxa" w:w="2600"/>
            <w:shd w:fill="FFFFFF" w:color="auto" w:val="clear"/>
            <w:tcMar>
              <w:top w:type="dxa" w:w="50"/>
              <w:left w:type="dxa" w:w="80"/>
              <w:bottom w:type="dxa" w:w="50"/>
              <w:right w:type="dxa" w:w="80"/>
            </w:tcMar>
            <w:vAlign w:val="top"/>
          </w:tcPr>
          <w:p>
            <w:pPr>
              <w:spacing w:after="0" w:before="0" w:line="240"/>
            </w:pPr>
            <w:r>
              <w:rPr>
                <w:sz w:val="15"/>
                <w:szCs w:val="15"/>
              </w:rPr>
              <w:t xml:space="preserve">Add evening UAT sessions and test critical clinical scenarios first; if UAT still slips, shorten the pilot from 10 to 7 days with sponsor approval</w:t>
            </w:r>
          </w:p>
        </w:tc>
        <w:tc>
          <w:tcPr>
            <w:tcW w:type="dxa" w:w="1748"/>
            <w:shd w:fill="FFFFFF" w:color="auto" w:val="clear"/>
            <w:tcMar>
              <w:top w:type="dxa" w:w="50"/>
              <w:left w:type="dxa" w:w="80"/>
              <w:bottom w:type="dxa" w:w="50"/>
              <w:right w:type="dxa" w:w="80"/>
            </w:tcMar>
            <w:vAlign w:val="top"/>
          </w:tcPr>
          <w:p>
            <w:pPr>
              <w:spacing w:after="0" w:before="0" w:line="240"/>
            </w:pPr>
            <w:r>
              <w:rPr>
                <w:sz w:val="15"/>
                <w:szCs w:val="15"/>
              </w:rPr>
              <w:t xml:space="preserve">Fewer than 70% of booked testers attend in UAT week 1</w:t>
            </w:r>
          </w:p>
        </w:tc>
      </w:tr>
      <w:tr>
        <w:trPr>
          <w:cantSplit/>
        </w:trPr>
        <w:tc>
          <w:tcPr>
            <w:tcW w:type="dxa" w:w="480"/>
            <w:shd w:fill="F2F5F4" w:color="auto" w:val="clear"/>
            <w:tcMar>
              <w:top w:type="dxa" w:w="50"/>
              <w:left w:type="dxa" w:w="80"/>
              <w:bottom w:type="dxa" w:w="50"/>
              <w:right w:type="dxa" w:w="80"/>
            </w:tcMar>
            <w:vAlign w:val="top"/>
          </w:tcPr>
          <w:p>
            <w:pPr>
              <w:spacing w:after="0" w:before="0" w:line="240"/>
            </w:pPr>
            <w:r>
              <w:rPr>
                <w:b/>
                <w:bCs/>
                <w:sz w:val="15"/>
                <w:szCs w:val="15"/>
              </w:rPr>
              <w:t xml:space="preserve">R08</w:t>
            </w:r>
          </w:p>
        </w:tc>
        <w:tc>
          <w:tcPr>
            <w:tcW w:type="dxa" w:w="2000"/>
            <w:shd w:fill="F2F5F4" w:color="auto" w:val="clear"/>
            <w:tcMar>
              <w:top w:type="dxa" w:w="50"/>
              <w:left w:type="dxa" w:w="80"/>
              <w:bottom w:type="dxa" w:w="50"/>
              <w:right w:type="dxa" w:w="80"/>
            </w:tcMar>
            <w:vAlign w:val="top"/>
          </w:tcPr>
          <w:p>
            <w:pPr>
              <w:spacing w:after="0" w:before="0" w:line="240"/>
            </w:pPr>
            <w:r>
              <w:rPr>
                <w:sz w:val="15"/>
                <w:szCs w:val="15"/>
              </w:rPr>
              <w:t xml:space="preserve">Misconfigured conditional access policy locks users or administrators out</w:t>
            </w:r>
          </w:p>
        </w:tc>
        <w:tc>
          <w:tcPr>
            <w:tcW w:type="dxa" w:w="900"/>
            <w:shd w:fill="F2F5F4" w:color="auto" w:val="clear"/>
            <w:tcMar>
              <w:top w:type="dxa" w:w="50"/>
              <w:left w:type="dxa" w:w="80"/>
              <w:bottom w:type="dxa" w:w="50"/>
              <w:right w:type="dxa" w:w="80"/>
            </w:tcMar>
            <w:vAlign w:val="top"/>
          </w:tcPr>
          <w:p>
            <w:pPr>
              <w:spacing w:after="0" w:before="0" w:line="240"/>
            </w:pPr>
            <w:r>
              <w:rPr>
                <w:sz w:val="15"/>
                <w:szCs w:val="15"/>
              </w:rPr>
              <w:t xml:space="preserve">Technical</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2</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5</w:t>
            </w:r>
          </w:p>
        </w:tc>
        <w:tc>
          <w:tcPr>
            <w:tcW w:type="dxa" w:w="760"/>
            <w:shd w:fill="F6D3C8" w:color="auto" w:val="clear"/>
            <w:tcMar>
              <w:top w:type="dxa" w:w="50"/>
              <w:left w:type="dxa" w:w="80"/>
              <w:bottom w:type="dxa" w:w="50"/>
              <w:right w:type="dxa" w:w="80"/>
            </w:tcMar>
            <w:vAlign w:val="top"/>
          </w:tcPr>
          <w:p>
            <w:pPr>
              <w:spacing w:after="0" w:before="0" w:line="240"/>
            </w:pPr>
            <w:r>
              <w:rPr>
                <w:b/>
                <w:bCs/>
                <w:sz w:val="15"/>
                <w:szCs w:val="15"/>
              </w:rPr>
              <w:t xml:space="preserve">10 High</w:t>
            </w:r>
          </w:p>
        </w:tc>
        <w:tc>
          <w:tcPr>
            <w:tcW w:type="dxa" w:w="700"/>
            <w:shd w:fill="F2F5F4" w:color="auto" w:val="clear"/>
            <w:tcMar>
              <w:top w:type="dxa" w:w="50"/>
              <w:left w:type="dxa" w:w="80"/>
              <w:bottom w:type="dxa" w:w="50"/>
              <w:right w:type="dxa" w:w="80"/>
            </w:tcMar>
            <w:vAlign w:val="top"/>
          </w:tcPr>
          <w:p>
            <w:pPr>
              <w:spacing w:after="0" w:before="0" w:line="240"/>
              <w:jc w:val="right"/>
            </w:pPr>
            <w:r>
              <w:rPr>
                <w:sz w:val="15"/>
                <w:szCs w:val="15"/>
              </w:rPr>
              <w:t xml:space="preserve">16,000</w:t>
            </w:r>
          </w:p>
        </w:tc>
        <w:tc>
          <w:tcPr>
            <w:tcW w:type="dxa" w:w="1080"/>
            <w:shd w:fill="F2F5F4" w:color="auto" w:val="clear"/>
            <w:tcMar>
              <w:top w:type="dxa" w:w="50"/>
              <w:left w:type="dxa" w:w="80"/>
              <w:bottom w:type="dxa" w:w="50"/>
              <w:right w:type="dxa" w:w="80"/>
            </w:tcMar>
            <w:vAlign w:val="top"/>
          </w:tcPr>
          <w:p>
            <w:pPr>
              <w:spacing w:after="0" w:before="0" w:line="240"/>
            </w:pPr>
            <w:r>
              <w:rPr>
                <w:sz w:val="15"/>
                <w:szCs w:val="15"/>
              </w:rPr>
              <w:t xml:space="preserve">IAM Architect</w:t>
            </w:r>
          </w:p>
        </w:tc>
        <w:tc>
          <w:tcPr>
            <w:tcW w:type="dxa" w:w="850"/>
            <w:shd w:fill="F2F5F4" w:color="auto" w:val="clear"/>
            <w:tcMar>
              <w:top w:type="dxa" w:w="50"/>
              <w:left w:type="dxa" w:w="80"/>
              <w:bottom w:type="dxa" w:w="50"/>
              <w:right w:type="dxa" w:w="80"/>
            </w:tcMar>
            <w:vAlign w:val="top"/>
          </w:tcPr>
          <w:p>
            <w:pPr>
              <w:spacing w:after="0" w:before="0" w:line="240"/>
            </w:pPr>
            <w:r>
              <w:rPr>
                <w:sz w:val="15"/>
                <w:szCs w:val="15"/>
              </w:rPr>
              <w:t xml:space="preserve">Mitigate</w:t>
            </w:r>
          </w:p>
        </w:tc>
        <w:tc>
          <w:tcPr>
            <w:tcW w:type="dxa" w:w="2900"/>
            <w:shd w:fill="F2F5F4" w:color="auto" w:val="clear"/>
            <w:tcMar>
              <w:top w:type="dxa" w:w="50"/>
              <w:left w:type="dxa" w:w="80"/>
              <w:bottom w:type="dxa" w:w="50"/>
              <w:right w:type="dxa" w:w="80"/>
            </w:tcMar>
            <w:vAlign w:val="top"/>
          </w:tcPr>
          <w:p>
            <w:pPr>
              <w:spacing w:after="0" w:before="0" w:line="240"/>
            </w:pPr>
            <w:r>
              <w:rPr>
                <w:sz w:val="15"/>
                <w:szCs w:val="15"/>
              </w:rPr>
              <w:t xml:space="preserve">Two monitored break-glass accounts excluded from policies; policies run in report-only mode first; every policy change peer-reviewed through change control</w:t>
            </w:r>
          </w:p>
        </w:tc>
        <w:tc>
          <w:tcPr>
            <w:tcW w:type="dxa" w:w="2600"/>
            <w:shd w:fill="F2F5F4" w:color="auto" w:val="clear"/>
            <w:tcMar>
              <w:top w:type="dxa" w:w="50"/>
              <w:left w:type="dxa" w:w="80"/>
              <w:bottom w:type="dxa" w:w="50"/>
              <w:right w:type="dxa" w:w="80"/>
            </w:tcMar>
            <w:vAlign w:val="top"/>
          </w:tcPr>
          <w:p>
            <w:pPr>
              <w:spacing w:after="0" w:before="0" w:line="240"/>
            </w:pPr>
            <w:r>
              <w:rPr>
                <w:sz w:val="15"/>
                <w:szCs w:val="15"/>
              </w:rPr>
              <w:t xml:space="preserve">Invoke the rollback runbook and break-glass access; communicate through the service desk</w:t>
            </w:r>
          </w:p>
        </w:tc>
        <w:tc>
          <w:tcPr>
            <w:tcW w:type="dxa" w:w="1748"/>
            <w:shd w:fill="F2F5F4" w:color="auto" w:val="clear"/>
            <w:tcMar>
              <w:top w:type="dxa" w:w="50"/>
              <w:left w:type="dxa" w:w="80"/>
              <w:bottom w:type="dxa" w:w="50"/>
              <w:right w:type="dxa" w:w="80"/>
            </w:tcMar>
            <w:vAlign w:val="top"/>
          </w:tcPr>
          <w:p>
            <w:pPr>
              <w:spacing w:after="0" w:before="0" w:line="240"/>
            </w:pPr>
            <w:r>
              <w:rPr>
                <w:sz w:val="15"/>
                <w:szCs w:val="15"/>
              </w:rPr>
              <w:t xml:space="preserve">More than 20 lockouts in one hour</w:t>
            </w:r>
          </w:p>
        </w:tc>
      </w:tr>
      <w:tr>
        <w:trPr>
          <w:cantSplit/>
        </w:trPr>
        <w:tc>
          <w:tcPr>
            <w:tcW w:type="dxa" w:w="480"/>
            <w:shd w:fill="FFFFFF" w:color="auto" w:val="clear"/>
            <w:tcMar>
              <w:top w:type="dxa" w:w="50"/>
              <w:left w:type="dxa" w:w="80"/>
              <w:bottom w:type="dxa" w:w="50"/>
              <w:right w:type="dxa" w:w="80"/>
            </w:tcMar>
            <w:vAlign w:val="top"/>
          </w:tcPr>
          <w:p>
            <w:pPr>
              <w:spacing w:after="0" w:before="0" w:line="240"/>
            </w:pPr>
            <w:r>
              <w:rPr>
                <w:b/>
                <w:bCs/>
                <w:sz w:val="15"/>
                <w:szCs w:val="15"/>
              </w:rPr>
              <w:t xml:space="preserve">R09</w:t>
            </w:r>
          </w:p>
        </w:tc>
        <w:tc>
          <w:tcPr>
            <w:tcW w:type="dxa" w:w="2000"/>
            <w:shd w:fill="FFFFFF" w:color="auto" w:val="clear"/>
            <w:tcMar>
              <w:top w:type="dxa" w:w="50"/>
              <w:left w:type="dxa" w:w="80"/>
              <w:bottom w:type="dxa" w:w="50"/>
              <w:right w:type="dxa" w:w="80"/>
            </w:tcMar>
            <w:vAlign w:val="top"/>
          </w:tcPr>
          <w:p>
            <w:pPr>
              <w:spacing w:after="0" w:before="0" w:line="240"/>
            </w:pPr>
            <w:r>
              <w:rPr>
                <w:sz w:val="15"/>
                <w:szCs w:val="15"/>
              </w:rPr>
              <w:t xml:space="preserve">Credential phishing attack succeeds during the transition while old and new sign-ins coexist</w:t>
            </w:r>
          </w:p>
        </w:tc>
        <w:tc>
          <w:tcPr>
            <w:tcW w:type="dxa" w:w="900"/>
            <w:shd w:fill="FFFFFF" w:color="auto" w:val="clear"/>
            <w:tcMar>
              <w:top w:type="dxa" w:w="50"/>
              <w:left w:type="dxa" w:w="80"/>
              <w:bottom w:type="dxa" w:w="50"/>
              <w:right w:type="dxa" w:w="80"/>
            </w:tcMar>
            <w:vAlign w:val="top"/>
          </w:tcPr>
          <w:p>
            <w:pPr>
              <w:spacing w:after="0" w:before="0" w:line="240"/>
            </w:pPr>
            <w:r>
              <w:rPr>
                <w:sz w:val="15"/>
                <w:szCs w:val="15"/>
              </w:rPr>
              <w:t xml:space="preserve">External</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4</w:t>
            </w:r>
          </w:p>
        </w:tc>
        <w:tc>
          <w:tcPr>
            <w:tcW w:type="dxa" w:w="760"/>
            <w:shd w:fill="F6D3C8" w:color="auto" w:val="clear"/>
            <w:tcMar>
              <w:top w:type="dxa" w:w="50"/>
              <w:left w:type="dxa" w:w="80"/>
              <w:bottom w:type="dxa" w:w="50"/>
              <w:right w:type="dxa" w:w="80"/>
            </w:tcMar>
            <w:vAlign w:val="top"/>
          </w:tcPr>
          <w:p>
            <w:pPr>
              <w:spacing w:after="0" w:before="0" w:line="240"/>
            </w:pPr>
            <w:r>
              <w:rPr>
                <w:b/>
                <w:bCs/>
                <w:sz w:val="15"/>
                <w:szCs w:val="15"/>
              </w:rPr>
              <w:t xml:space="preserve">12 High</w:t>
            </w:r>
          </w:p>
        </w:tc>
        <w:tc>
          <w:tcPr>
            <w:tcW w:type="dxa" w:w="700"/>
            <w:shd w:fill="FFFFFF" w:color="auto" w:val="clear"/>
            <w:tcMar>
              <w:top w:type="dxa" w:w="50"/>
              <w:left w:type="dxa" w:w="80"/>
              <w:bottom w:type="dxa" w:w="50"/>
              <w:right w:type="dxa" w:w="80"/>
            </w:tcMar>
            <w:vAlign w:val="top"/>
          </w:tcPr>
          <w:p>
            <w:pPr>
              <w:spacing w:after="0" w:before="0" w:line="240"/>
              <w:jc w:val="right"/>
            </w:pPr>
            <w:r>
              <w:rPr>
                <w:sz w:val="15"/>
                <w:szCs w:val="15"/>
              </w:rPr>
              <w:t xml:space="preserve">18,000</w:t>
            </w:r>
          </w:p>
        </w:tc>
        <w:tc>
          <w:tcPr>
            <w:tcW w:type="dxa" w:w="1080"/>
            <w:shd w:fill="FFFFFF" w:color="auto" w:val="clear"/>
            <w:tcMar>
              <w:top w:type="dxa" w:w="50"/>
              <w:left w:type="dxa" w:w="80"/>
              <w:bottom w:type="dxa" w:w="50"/>
              <w:right w:type="dxa" w:w="80"/>
            </w:tcMar>
            <w:vAlign w:val="top"/>
          </w:tcPr>
          <w:p>
            <w:pPr>
              <w:spacing w:after="0" w:before="0" w:line="240"/>
            </w:pPr>
            <w:r>
              <w:rPr>
                <w:sz w:val="15"/>
                <w:szCs w:val="15"/>
              </w:rPr>
              <w:t xml:space="preserve">IAM Architect</w:t>
            </w:r>
          </w:p>
        </w:tc>
        <w:tc>
          <w:tcPr>
            <w:tcW w:type="dxa" w:w="850"/>
            <w:shd w:fill="FFFFFF" w:color="auto" w:val="clear"/>
            <w:tcMar>
              <w:top w:type="dxa" w:w="50"/>
              <w:left w:type="dxa" w:w="80"/>
              <w:bottom w:type="dxa" w:w="50"/>
              <w:right w:type="dxa" w:w="80"/>
            </w:tcMar>
            <w:vAlign w:val="top"/>
          </w:tcPr>
          <w:p>
            <w:pPr>
              <w:spacing w:after="0" w:before="0" w:line="240"/>
            </w:pPr>
            <w:r>
              <w:rPr>
                <w:sz w:val="15"/>
                <w:szCs w:val="15"/>
              </w:rPr>
              <w:t xml:space="preserve">Mitigate</w:t>
            </w:r>
          </w:p>
        </w:tc>
        <w:tc>
          <w:tcPr>
            <w:tcW w:type="dxa" w:w="2900"/>
            <w:shd w:fill="FFFFFF" w:color="auto" w:val="clear"/>
            <w:tcMar>
              <w:top w:type="dxa" w:w="50"/>
              <w:left w:type="dxa" w:w="80"/>
              <w:bottom w:type="dxa" w:w="50"/>
              <w:right w:type="dxa" w:w="80"/>
            </w:tcMar>
            <w:vAlign w:val="top"/>
          </w:tcPr>
          <w:p>
            <w:pPr>
              <w:spacing w:after="0" w:before="0" w:line="240"/>
            </w:pPr>
            <w:r>
              <w:rPr>
                <w:sz w:val="15"/>
                <w:szCs w:val="15"/>
              </w:rPr>
              <w:t xml:space="preserve">MFA for remote access and admin accounts in wave 1; sign-in risk alerts monitored daily</w:t>
            </w:r>
          </w:p>
        </w:tc>
        <w:tc>
          <w:tcPr>
            <w:tcW w:type="dxa" w:w="2600"/>
            <w:shd w:fill="FFFFFF" w:color="auto" w:val="clear"/>
            <w:tcMar>
              <w:top w:type="dxa" w:w="50"/>
              <w:left w:type="dxa" w:w="80"/>
              <w:bottom w:type="dxa" w:w="50"/>
              <w:right w:type="dxa" w:w="80"/>
            </w:tcMar>
            <w:vAlign w:val="top"/>
          </w:tcPr>
          <w:p>
            <w:pPr>
              <w:spacing w:after="0" w:before="0" w:line="240"/>
            </w:pPr>
            <w:r>
              <w:rPr>
                <w:sz w:val="15"/>
                <w:szCs w:val="15"/>
              </w:rPr>
              <w:t xml:space="preserve">Run the cyber incident response plan; assess for a notifiable data breach to the OAIC</w:t>
            </w:r>
          </w:p>
        </w:tc>
        <w:tc>
          <w:tcPr>
            <w:tcW w:type="dxa" w:w="1748"/>
            <w:shd w:fill="FFFFFF" w:color="auto" w:val="clear"/>
            <w:tcMar>
              <w:top w:type="dxa" w:w="50"/>
              <w:left w:type="dxa" w:w="80"/>
              <w:bottom w:type="dxa" w:w="50"/>
              <w:right w:type="dxa" w:w="80"/>
            </w:tcMar>
            <w:vAlign w:val="top"/>
          </w:tcPr>
          <w:p>
            <w:pPr>
              <w:spacing w:after="0" w:before="0" w:line="240"/>
            </w:pPr>
            <w:r>
              <w:rPr>
                <w:sz w:val="15"/>
                <w:szCs w:val="15"/>
              </w:rPr>
              <w:t xml:space="preserve">Risky sign-in alert or user report of a suspicious prompt</w:t>
            </w:r>
          </w:p>
        </w:tc>
      </w:tr>
      <w:tr>
        <w:trPr>
          <w:cantSplit/>
        </w:trPr>
        <w:tc>
          <w:tcPr>
            <w:tcW w:type="dxa" w:w="480"/>
            <w:shd w:fill="F2F5F4" w:color="auto" w:val="clear"/>
            <w:tcMar>
              <w:top w:type="dxa" w:w="50"/>
              <w:left w:type="dxa" w:w="80"/>
              <w:bottom w:type="dxa" w:w="50"/>
              <w:right w:type="dxa" w:w="80"/>
            </w:tcMar>
            <w:vAlign w:val="top"/>
          </w:tcPr>
          <w:p>
            <w:pPr>
              <w:spacing w:after="0" w:before="0" w:line="240"/>
            </w:pPr>
            <w:r>
              <w:rPr>
                <w:b/>
                <w:bCs/>
                <w:sz w:val="15"/>
                <w:szCs w:val="15"/>
              </w:rPr>
              <w:t xml:space="preserve">R10</w:t>
            </w:r>
          </w:p>
        </w:tc>
        <w:tc>
          <w:tcPr>
            <w:tcW w:type="dxa" w:w="2000"/>
            <w:shd w:fill="F2F5F4" w:color="auto" w:val="clear"/>
            <w:tcMar>
              <w:top w:type="dxa" w:w="50"/>
              <w:left w:type="dxa" w:w="80"/>
              <w:bottom w:type="dxa" w:w="50"/>
              <w:right w:type="dxa" w:w="80"/>
            </w:tcMar>
            <w:vAlign w:val="top"/>
          </w:tcPr>
          <w:p>
            <w:pPr>
              <w:spacing w:after="0" w:before="0" w:line="240"/>
            </w:pPr>
            <w:r>
              <w:rPr>
                <w:sz w:val="15"/>
                <w:szCs w:val="15"/>
              </w:rPr>
              <w:t xml:space="preserve">Departments push extra applications into phase 1 (scope creep)</w:t>
            </w:r>
          </w:p>
        </w:tc>
        <w:tc>
          <w:tcPr>
            <w:tcW w:type="dxa" w:w="900"/>
            <w:shd w:fill="F2F5F4" w:color="auto" w:val="clear"/>
            <w:tcMar>
              <w:top w:type="dxa" w:w="50"/>
              <w:left w:type="dxa" w:w="80"/>
              <w:bottom w:type="dxa" w:w="50"/>
              <w:right w:type="dxa" w:w="80"/>
            </w:tcMar>
            <w:vAlign w:val="top"/>
          </w:tcPr>
          <w:p>
            <w:pPr>
              <w:spacing w:after="0" w:before="0" w:line="240"/>
            </w:pPr>
            <w:r>
              <w:rPr>
                <w:sz w:val="15"/>
                <w:szCs w:val="15"/>
              </w:rPr>
              <w:t xml:space="preserve">Organisational</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760"/>
            <w:shd w:fill="FBEFC9" w:color="auto" w:val="clear"/>
            <w:tcMar>
              <w:top w:type="dxa" w:w="50"/>
              <w:left w:type="dxa" w:w="80"/>
              <w:bottom w:type="dxa" w:w="50"/>
              <w:right w:type="dxa" w:w="80"/>
            </w:tcMar>
            <w:vAlign w:val="top"/>
          </w:tcPr>
          <w:p>
            <w:pPr>
              <w:spacing w:after="0" w:before="0" w:line="240"/>
            </w:pPr>
            <w:r>
              <w:rPr>
                <w:b/>
                <w:bCs/>
                <w:sz w:val="15"/>
                <w:szCs w:val="15"/>
              </w:rPr>
              <w:t xml:space="preserve">9 Medium</w:t>
            </w:r>
          </w:p>
        </w:tc>
        <w:tc>
          <w:tcPr>
            <w:tcW w:type="dxa" w:w="700"/>
            <w:shd w:fill="F2F5F4" w:color="auto" w:val="clear"/>
            <w:tcMar>
              <w:top w:type="dxa" w:w="50"/>
              <w:left w:type="dxa" w:w="80"/>
              <w:bottom w:type="dxa" w:w="50"/>
              <w:right w:type="dxa" w:w="80"/>
            </w:tcMar>
            <w:vAlign w:val="top"/>
          </w:tcPr>
          <w:p>
            <w:pPr>
              <w:spacing w:after="0" w:before="0" w:line="240"/>
              <w:jc w:val="right"/>
            </w:pPr>
            <w:r>
              <w:rPr>
                <w:sz w:val="15"/>
                <w:szCs w:val="15"/>
              </w:rPr>
              <w:t xml:space="preserve">13,500</w:t>
            </w:r>
          </w:p>
        </w:tc>
        <w:tc>
          <w:tcPr>
            <w:tcW w:type="dxa" w:w="1080"/>
            <w:shd w:fill="F2F5F4" w:color="auto" w:val="clear"/>
            <w:tcMar>
              <w:top w:type="dxa" w:w="50"/>
              <w:left w:type="dxa" w:w="80"/>
              <w:bottom w:type="dxa" w:w="50"/>
              <w:right w:type="dxa" w:w="80"/>
            </w:tcMar>
            <w:vAlign w:val="top"/>
          </w:tcPr>
          <w:p>
            <w:pPr>
              <w:spacing w:after="0" w:before="0" w:line="240"/>
            </w:pPr>
            <w:r>
              <w:rPr>
                <w:sz w:val="15"/>
                <w:szCs w:val="15"/>
              </w:rPr>
              <w:t xml:space="preserve">Mahir</w:t>
            </w:r>
          </w:p>
        </w:tc>
        <w:tc>
          <w:tcPr>
            <w:tcW w:type="dxa" w:w="850"/>
            <w:shd w:fill="F2F5F4" w:color="auto" w:val="clear"/>
            <w:tcMar>
              <w:top w:type="dxa" w:w="50"/>
              <w:left w:type="dxa" w:w="80"/>
              <w:bottom w:type="dxa" w:w="50"/>
              <w:right w:type="dxa" w:w="80"/>
            </w:tcMar>
            <w:vAlign w:val="top"/>
          </w:tcPr>
          <w:p>
            <w:pPr>
              <w:spacing w:after="0" w:before="0" w:line="240"/>
            </w:pPr>
            <w:r>
              <w:rPr>
                <w:sz w:val="15"/>
                <w:szCs w:val="15"/>
              </w:rPr>
              <w:t xml:space="preserve">Avoid</w:t>
            </w:r>
          </w:p>
        </w:tc>
        <w:tc>
          <w:tcPr>
            <w:tcW w:type="dxa" w:w="2900"/>
            <w:shd w:fill="F2F5F4" w:color="auto" w:val="clear"/>
            <w:tcMar>
              <w:top w:type="dxa" w:w="50"/>
              <w:left w:type="dxa" w:w="80"/>
              <w:bottom w:type="dxa" w:w="50"/>
              <w:right w:type="dxa" w:w="80"/>
            </w:tcMar>
            <w:vAlign w:val="top"/>
          </w:tcPr>
          <w:p>
            <w:pPr>
              <w:spacing w:after="0" w:before="0" w:line="240"/>
            </w:pPr>
            <w:r>
              <w:rPr>
                <w:sz w:val="15"/>
                <w:szCs w:val="15"/>
              </w:rPr>
              <w:t xml:space="preserve">Signed scope statement with a named out-of-scope list; all requests through the change control board</w:t>
            </w:r>
          </w:p>
        </w:tc>
        <w:tc>
          <w:tcPr>
            <w:tcW w:type="dxa" w:w="2600"/>
            <w:shd w:fill="F2F5F4" w:color="auto" w:val="clear"/>
            <w:tcMar>
              <w:top w:type="dxa" w:w="50"/>
              <w:left w:type="dxa" w:w="80"/>
              <w:bottom w:type="dxa" w:w="50"/>
              <w:right w:type="dxa" w:w="80"/>
            </w:tcMar>
            <w:vAlign w:val="top"/>
          </w:tcPr>
          <w:p>
            <w:pPr>
              <w:spacing w:after="0" w:before="0" w:line="240"/>
            </w:pPr>
            <w:r>
              <w:rPr>
                <w:sz w:val="15"/>
                <w:szCs w:val="15"/>
              </w:rPr>
              <w:t xml:space="preserve">CCB defers new apps to the phase 2 backlog; contingency used only with sponsor approval</w:t>
            </w:r>
          </w:p>
        </w:tc>
        <w:tc>
          <w:tcPr>
            <w:tcW w:type="dxa" w:w="1748"/>
            <w:shd w:fill="F2F5F4" w:color="auto" w:val="clear"/>
            <w:tcMar>
              <w:top w:type="dxa" w:w="50"/>
              <w:left w:type="dxa" w:w="80"/>
              <w:bottom w:type="dxa" w:w="50"/>
              <w:right w:type="dxa" w:w="80"/>
            </w:tcMar>
            <w:vAlign w:val="top"/>
          </w:tcPr>
          <w:p>
            <w:pPr>
              <w:spacing w:after="0" w:before="0" w:line="240"/>
            </w:pPr>
            <w:r>
              <w:rPr>
                <w:sz w:val="15"/>
                <w:szCs w:val="15"/>
              </w:rPr>
              <w:t xml:space="preserve">More than two change requests for new apps in a month</w:t>
            </w:r>
          </w:p>
        </w:tc>
      </w:tr>
      <w:tr>
        <w:trPr>
          <w:cantSplit/>
        </w:trPr>
        <w:tc>
          <w:tcPr>
            <w:tcW w:type="dxa" w:w="480"/>
            <w:shd w:fill="FFFFFF" w:color="auto" w:val="clear"/>
            <w:tcMar>
              <w:top w:type="dxa" w:w="50"/>
              <w:left w:type="dxa" w:w="80"/>
              <w:bottom w:type="dxa" w:w="50"/>
              <w:right w:type="dxa" w:w="80"/>
            </w:tcMar>
            <w:vAlign w:val="top"/>
          </w:tcPr>
          <w:p>
            <w:pPr>
              <w:spacing w:after="0" w:before="0" w:line="240"/>
            </w:pPr>
            <w:r>
              <w:rPr>
                <w:b/>
                <w:bCs/>
                <w:sz w:val="15"/>
                <w:szCs w:val="15"/>
              </w:rPr>
              <w:t xml:space="preserve">R11</w:t>
            </w:r>
          </w:p>
        </w:tc>
        <w:tc>
          <w:tcPr>
            <w:tcW w:type="dxa" w:w="2000"/>
            <w:shd w:fill="FFFFFF" w:color="auto" w:val="clear"/>
            <w:tcMar>
              <w:top w:type="dxa" w:w="50"/>
              <w:left w:type="dxa" w:w="80"/>
              <w:bottom w:type="dxa" w:w="50"/>
              <w:right w:type="dxa" w:w="80"/>
            </w:tcMar>
            <w:vAlign w:val="top"/>
          </w:tcPr>
          <w:p>
            <w:pPr>
              <w:spacing w:after="0" w:before="0" w:line="240"/>
            </w:pPr>
            <w:r>
              <w:rPr>
                <w:sz w:val="15"/>
                <w:szCs w:val="15"/>
              </w:rPr>
              <w:t xml:space="preserve">Identity or audit data stored offshore conflicts with privacy obligations</w:t>
            </w:r>
          </w:p>
        </w:tc>
        <w:tc>
          <w:tcPr>
            <w:tcW w:type="dxa" w:w="900"/>
            <w:shd w:fill="FFFFFF" w:color="auto" w:val="clear"/>
            <w:tcMar>
              <w:top w:type="dxa" w:w="50"/>
              <w:left w:type="dxa" w:w="80"/>
              <w:bottom w:type="dxa" w:w="50"/>
              <w:right w:type="dxa" w:w="80"/>
            </w:tcMar>
            <w:vAlign w:val="top"/>
          </w:tcPr>
          <w:p>
            <w:pPr>
              <w:spacing w:after="0" w:before="0" w:line="240"/>
            </w:pPr>
            <w:r>
              <w:rPr>
                <w:sz w:val="15"/>
                <w:szCs w:val="15"/>
              </w:rPr>
              <w:t xml:space="preserve">Data / privacy</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2</w:t>
            </w:r>
          </w:p>
        </w:tc>
        <w:tc>
          <w:tcPr>
            <w:tcW w:type="dxa" w:w="330"/>
            <w:shd w:fill="FFFFFF" w:color="auto" w:val="clear"/>
            <w:tcMar>
              <w:top w:type="dxa" w:w="50"/>
              <w:left w:type="dxa" w:w="80"/>
              <w:bottom w:type="dxa" w:w="50"/>
              <w:right w:type="dxa" w:w="80"/>
            </w:tcMar>
            <w:vAlign w:val="top"/>
          </w:tcPr>
          <w:p>
            <w:pPr>
              <w:spacing w:after="0" w:before="0" w:line="240"/>
              <w:jc w:val="center"/>
            </w:pPr>
            <w:r>
              <w:rPr>
                <w:sz w:val="15"/>
                <w:szCs w:val="15"/>
              </w:rPr>
              <w:t xml:space="preserve">4</w:t>
            </w:r>
          </w:p>
        </w:tc>
        <w:tc>
          <w:tcPr>
            <w:tcW w:type="dxa" w:w="760"/>
            <w:shd w:fill="FBEFC9" w:color="auto" w:val="clear"/>
            <w:tcMar>
              <w:top w:type="dxa" w:w="50"/>
              <w:left w:type="dxa" w:w="80"/>
              <w:bottom w:type="dxa" w:w="50"/>
              <w:right w:type="dxa" w:w="80"/>
            </w:tcMar>
            <w:vAlign w:val="top"/>
          </w:tcPr>
          <w:p>
            <w:pPr>
              <w:spacing w:after="0" w:before="0" w:line="240"/>
            </w:pPr>
            <w:r>
              <w:rPr>
                <w:b/>
                <w:bCs/>
                <w:sz w:val="15"/>
                <w:szCs w:val="15"/>
              </w:rPr>
              <w:t xml:space="preserve">8 Medium</w:t>
            </w:r>
          </w:p>
        </w:tc>
        <w:tc>
          <w:tcPr>
            <w:tcW w:type="dxa" w:w="700"/>
            <w:shd w:fill="FFFFFF" w:color="auto" w:val="clear"/>
            <w:tcMar>
              <w:top w:type="dxa" w:w="50"/>
              <w:left w:type="dxa" w:w="80"/>
              <w:bottom w:type="dxa" w:w="50"/>
              <w:right w:type="dxa" w:w="80"/>
            </w:tcMar>
            <w:vAlign w:val="top"/>
          </w:tcPr>
          <w:p>
            <w:pPr>
              <w:spacing w:after="0" w:before="0" w:line="240"/>
              <w:jc w:val="right"/>
            </w:pPr>
            <w:r>
              <w:rPr>
                <w:sz w:val="15"/>
                <w:szCs w:val="15"/>
              </w:rPr>
              <w:t xml:space="preserve">10,000</w:t>
            </w:r>
          </w:p>
        </w:tc>
        <w:tc>
          <w:tcPr>
            <w:tcW w:type="dxa" w:w="1080"/>
            <w:shd w:fill="FFFFFF" w:color="auto" w:val="clear"/>
            <w:tcMar>
              <w:top w:type="dxa" w:w="50"/>
              <w:left w:type="dxa" w:w="80"/>
              <w:bottom w:type="dxa" w:w="50"/>
              <w:right w:type="dxa" w:w="80"/>
            </w:tcMar>
            <w:vAlign w:val="top"/>
          </w:tcPr>
          <w:p>
            <w:pPr>
              <w:spacing w:after="0" w:before="0" w:line="240"/>
            </w:pPr>
            <w:r>
              <w:rPr>
                <w:sz w:val="15"/>
                <w:szCs w:val="15"/>
              </w:rPr>
              <w:t xml:space="preserve">Fardin (with Privacy Officer)</w:t>
            </w:r>
          </w:p>
        </w:tc>
        <w:tc>
          <w:tcPr>
            <w:tcW w:type="dxa" w:w="850"/>
            <w:shd w:fill="FFFFFF" w:color="auto" w:val="clear"/>
            <w:tcMar>
              <w:top w:type="dxa" w:w="50"/>
              <w:left w:type="dxa" w:w="80"/>
              <w:bottom w:type="dxa" w:w="50"/>
              <w:right w:type="dxa" w:w="80"/>
            </w:tcMar>
            <w:vAlign w:val="top"/>
          </w:tcPr>
          <w:p>
            <w:pPr>
              <w:spacing w:after="0" w:before="0" w:line="240"/>
            </w:pPr>
            <w:r>
              <w:rPr>
                <w:sz w:val="15"/>
                <w:szCs w:val="15"/>
              </w:rPr>
              <w:t xml:space="preserve">Avoid</w:t>
            </w:r>
          </w:p>
        </w:tc>
        <w:tc>
          <w:tcPr>
            <w:tcW w:type="dxa" w:w="2900"/>
            <w:shd w:fill="FFFFFF" w:color="auto" w:val="clear"/>
            <w:tcMar>
              <w:top w:type="dxa" w:w="50"/>
              <w:left w:type="dxa" w:w="80"/>
              <w:bottom w:type="dxa" w:w="50"/>
              <w:right w:type="dxa" w:w="80"/>
            </w:tcMar>
            <w:vAlign w:val="top"/>
          </w:tcPr>
          <w:p>
            <w:pPr>
              <w:spacing w:after="0" w:before="0" w:line="240"/>
            </w:pPr>
            <w:r>
              <w:rPr>
                <w:sz w:val="15"/>
                <w:szCs w:val="15"/>
              </w:rPr>
              <w:t xml:space="preserve">Australian data residency as a mandatory RFQ criterion; privacy impact assessment (1.2.3) before contract</w:t>
            </w:r>
          </w:p>
        </w:tc>
        <w:tc>
          <w:tcPr>
            <w:tcW w:type="dxa" w:w="2600"/>
            <w:shd w:fill="FFFFFF" w:color="auto" w:val="clear"/>
            <w:tcMar>
              <w:top w:type="dxa" w:w="50"/>
              <w:left w:type="dxa" w:w="80"/>
              <w:bottom w:type="dxa" w:w="50"/>
              <w:right w:type="dxa" w:w="80"/>
            </w:tcMar>
            <w:vAlign w:val="top"/>
          </w:tcPr>
          <w:p>
            <w:pPr>
              <w:spacing w:after="0" w:before="0" w:line="240"/>
            </w:pPr>
            <w:r>
              <w:rPr>
                <w:sz w:val="15"/>
                <w:szCs w:val="15"/>
              </w:rPr>
              <w:t xml:space="preserve">Select the vendor's Australian region or the runner-up vendor</w:t>
            </w:r>
          </w:p>
        </w:tc>
        <w:tc>
          <w:tcPr>
            <w:tcW w:type="dxa" w:w="1748"/>
            <w:shd w:fill="FFFFFF" w:color="auto" w:val="clear"/>
            <w:tcMar>
              <w:top w:type="dxa" w:w="50"/>
              <w:left w:type="dxa" w:w="80"/>
              <w:bottom w:type="dxa" w:w="50"/>
              <w:right w:type="dxa" w:w="80"/>
            </w:tcMar>
            <w:vAlign w:val="top"/>
          </w:tcPr>
          <w:p>
            <w:pPr>
              <w:spacing w:after="0" w:before="0" w:line="240"/>
            </w:pPr>
            <w:r>
              <w:rPr>
                <w:sz w:val="15"/>
                <w:szCs w:val="15"/>
              </w:rPr>
              <w:t xml:space="preserve">PIA identifies offshore storage of personal information</w:t>
            </w:r>
          </w:p>
        </w:tc>
      </w:tr>
      <w:tr>
        <w:trPr>
          <w:cantSplit/>
        </w:trPr>
        <w:tc>
          <w:tcPr>
            <w:tcW w:type="dxa" w:w="480"/>
            <w:shd w:fill="F2F5F4" w:color="auto" w:val="clear"/>
            <w:tcMar>
              <w:top w:type="dxa" w:w="50"/>
              <w:left w:type="dxa" w:w="80"/>
              <w:bottom w:type="dxa" w:w="50"/>
              <w:right w:type="dxa" w:w="80"/>
            </w:tcMar>
            <w:vAlign w:val="top"/>
          </w:tcPr>
          <w:p>
            <w:pPr>
              <w:spacing w:after="0" w:before="0" w:line="240"/>
            </w:pPr>
            <w:r>
              <w:rPr>
                <w:b/>
                <w:bCs/>
                <w:sz w:val="15"/>
                <w:szCs w:val="15"/>
              </w:rPr>
              <w:t xml:space="preserve">R12</w:t>
            </w:r>
          </w:p>
        </w:tc>
        <w:tc>
          <w:tcPr>
            <w:tcW w:type="dxa" w:w="2000"/>
            <w:shd w:fill="F2F5F4" w:color="auto" w:val="clear"/>
            <w:tcMar>
              <w:top w:type="dxa" w:w="50"/>
              <w:left w:type="dxa" w:w="80"/>
              <w:bottom w:type="dxa" w:w="50"/>
              <w:right w:type="dxa" w:w="80"/>
            </w:tcMar>
            <w:vAlign w:val="top"/>
          </w:tcPr>
          <w:p>
            <w:pPr>
              <w:spacing w:after="0" w:before="0" w:line="240"/>
            </w:pPr>
            <w:r>
              <w:rPr>
                <w:sz w:val="15"/>
                <w:szCs w:val="15"/>
              </w:rPr>
              <w:t xml:space="preserve">Project manager or a workstream lead unavailable for an extended period</w:t>
            </w:r>
          </w:p>
        </w:tc>
        <w:tc>
          <w:tcPr>
            <w:tcW w:type="dxa" w:w="900"/>
            <w:shd w:fill="F2F5F4" w:color="auto" w:val="clear"/>
            <w:tcMar>
              <w:top w:type="dxa" w:w="50"/>
              <w:left w:type="dxa" w:w="80"/>
              <w:bottom w:type="dxa" w:w="50"/>
              <w:right w:type="dxa" w:w="80"/>
            </w:tcMar>
            <w:vAlign w:val="top"/>
          </w:tcPr>
          <w:p>
            <w:pPr>
              <w:spacing w:after="0" w:before="0" w:line="240"/>
            </w:pPr>
            <w:r>
              <w:rPr>
                <w:sz w:val="15"/>
                <w:szCs w:val="15"/>
              </w:rPr>
              <w:t xml:space="preserve">People</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2</w:t>
            </w:r>
          </w:p>
        </w:tc>
        <w:tc>
          <w:tcPr>
            <w:tcW w:type="dxa" w:w="330"/>
            <w:shd w:fill="F2F5F4" w:color="auto" w:val="clear"/>
            <w:tcMar>
              <w:top w:type="dxa" w:w="50"/>
              <w:left w:type="dxa" w:w="80"/>
              <w:bottom w:type="dxa" w:w="50"/>
              <w:right w:type="dxa" w:w="80"/>
            </w:tcMar>
            <w:vAlign w:val="top"/>
          </w:tcPr>
          <w:p>
            <w:pPr>
              <w:spacing w:after="0" w:before="0" w:line="240"/>
              <w:jc w:val="center"/>
            </w:pPr>
            <w:r>
              <w:rPr>
                <w:sz w:val="15"/>
                <w:szCs w:val="15"/>
              </w:rPr>
              <w:t xml:space="preserve">3</w:t>
            </w:r>
          </w:p>
        </w:tc>
        <w:tc>
          <w:tcPr>
            <w:tcW w:type="dxa" w:w="760"/>
            <w:shd w:fill="FBEFC9" w:color="auto" w:val="clear"/>
            <w:tcMar>
              <w:top w:type="dxa" w:w="50"/>
              <w:left w:type="dxa" w:w="80"/>
              <w:bottom w:type="dxa" w:w="50"/>
              <w:right w:type="dxa" w:w="80"/>
            </w:tcMar>
            <w:vAlign w:val="top"/>
          </w:tcPr>
          <w:p>
            <w:pPr>
              <w:spacing w:after="0" w:before="0" w:line="240"/>
            </w:pPr>
            <w:r>
              <w:rPr>
                <w:b/>
                <w:bCs/>
                <w:sz w:val="15"/>
                <w:szCs w:val="15"/>
              </w:rPr>
              <w:t xml:space="preserve">6 Medium</w:t>
            </w:r>
          </w:p>
        </w:tc>
        <w:tc>
          <w:tcPr>
            <w:tcW w:type="dxa" w:w="700"/>
            <w:shd w:fill="F2F5F4" w:color="auto" w:val="clear"/>
            <w:tcMar>
              <w:top w:type="dxa" w:w="50"/>
              <w:left w:type="dxa" w:w="80"/>
              <w:bottom w:type="dxa" w:w="50"/>
              <w:right w:type="dxa" w:w="80"/>
            </w:tcMar>
            <w:vAlign w:val="top"/>
          </w:tcPr>
          <w:p>
            <w:pPr>
              <w:spacing w:after="0" w:before="0" w:line="240"/>
              <w:jc w:val="right"/>
            </w:pPr>
            <w:r>
              <w:rPr>
                <w:sz w:val="15"/>
                <w:szCs w:val="15"/>
              </w:rPr>
              <w:t xml:space="preserve">3,000</w:t>
            </w:r>
          </w:p>
        </w:tc>
        <w:tc>
          <w:tcPr>
            <w:tcW w:type="dxa" w:w="1080"/>
            <w:shd w:fill="F2F5F4" w:color="auto" w:val="clear"/>
            <w:tcMar>
              <w:top w:type="dxa" w:w="50"/>
              <w:left w:type="dxa" w:w="80"/>
              <w:bottom w:type="dxa" w:w="50"/>
              <w:right w:type="dxa" w:w="80"/>
            </w:tcMar>
            <w:vAlign w:val="top"/>
          </w:tcPr>
          <w:p>
            <w:pPr>
              <w:spacing w:after="0" w:before="0" w:line="240"/>
            </w:pPr>
            <w:r>
              <w:rPr>
                <w:sz w:val="15"/>
                <w:szCs w:val="15"/>
              </w:rPr>
              <w:t xml:space="preserve">Toufiq</w:t>
            </w:r>
          </w:p>
        </w:tc>
        <w:tc>
          <w:tcPr>
            <w:tcW w:type="dxa" w:w="850"/>
            <w:shd w:fill="F2F5F4" w:color="auto" w:val="clear"/>
            <w:tcMar>
              <w:top w:type="dxa" w:w="50"/>
              <w:left w:type="dxa" w:w="80"/>
              <w:bottom w:type="dxa" w:w="50"/>
              <w:right w:type="dxa" w:w="80"/>
            </w:tcMar>
            <w:vAlign w:val="top"/>
          </w:tcPr>
          <w:p>
            <w:pPr>
              <w:spacing w:after="0" w:before="0" w:line="240"/>
            </w:pPr>
            <w:r>
              <w:rPr>
                <w:sz w:val="15"/>
                <w:szCs w:val="15"/>
              </w:rPr>
              <w:t xml:space="preserve">Accept</w:t>
            </w:r>
          </w:p>
        </w:tc>
        <w:tc>
          <w:tcPr>
            <w:tcW w:type="dxa" w:w="2900"/>
            <w:shd w:fill="F2F5F4" w:color="auto" w:val="clear"/>
            <w:tcMar>
              <w:top w:type="dxa" w:w="50"/>
              <w:left w:type="dxa" w:w="80"/>
              <w:bottom w:type="dxa" w:w="50"/>
              <w:right w:type="dxa" w:w="80"/>
            </w:tcMar>
            <w:vAlign w:val="top"/>
          </w:tcPr>
          <w:p>
            <w:pPr>
              <w:spacing w:after="0" w:before="0" w:line="240"/>
            </w:pPr>
            <w:r>
              <w:rPr>
                <w:sz w:val="15"/>
                <w:szCs w:val="15"/>
              </w:rPr>
              <w:t xml:space="preserve">Named deputy for each role; decisions and plans kept in GitHub and Jira</w:t>
            </w:r>
          </w:p>
        </w:tc>
        <w:tc>
          <w:tcPr>
            <w:tcW w:type="dxa" w:w="2600"/>
            <w:shd w:fill="F2F5F4" w:color="auto" w:val="clear"/>
            <w:tcMar>
              <w:top w:type="dxa" w:w="50"/>
              <w:left w:type="dxa" w:w="80"/>
              <w:bottom w:type="dxa" w:w="50"/>
              <w:right w:type="dxa" w:w="80"/>
            </w:tcMar>
            <w:vAlign w:val="top"/>
          </w:tcPr>
          <w:p>
            <w:pPr>
              <w:spacing w:after="0" w:before="0" w:line="240"/>
            </w:pPr>
            <w:r>
              <w:rPr>
                <w:sz w:val="15"/>
                <w:szCs w:val="15"/>
              </w:rPr>
              <w:t xml:space="preserve">Deputy steps in; re-baseline the schedule through change control if needed</w:t>
            </w:r>
          </w:p>
        </w:tc>
        <w:tc>
          <w:tcPr>
            <w:tcW w:type="dxa" w:w="1748"/>
            <w:shd w:fill="F2F5F4" w:color="auto" w:val="clear"/>
            <w:tcMar>
              <w:top w:type="dxa" w:w="50"/>
              <w:left w:type="dxa" w:w="80"/>
              <w:bottom w:type="dxa" w:w="50"/>
              <w:right w:type="dxa" w:w="80"/>
            </w:tcMar>
            <w:vAlign w:val="top"/>
          </w:tcPr>
          <w:p>
            <w:pPr>
              <w:spacing w:after="0" w:before="0" w:line="240"/>
            </w:pPr>
            <w:r>
              <w:rPr>
                <w:sz w:val="15"/>
                <w:szCs w:val="15"/>
              </w:rPr>
              <w:t xml:space="preserve">Absence longer than 10 working days</w:t>
            </w:r>
          </w:p>
        </w:tc>
      </w:tr>
    </w:tbl>
    <w:p>
      <w:pPr>
        <w:sectPr>
          <w:headerReference w:type="default" r:id="rId16"/>
          <w:footerReference w:type="default" r:id="rId17"/>
          <w:type w:val="nextPage"/>
          <w:pgSz w:w="16838" w:h="11906" w:orient="landscape"/>
          <w:pgMar w:top="720" w:right="720" w:bottom="720" w:left="720" w:header="340" w:footer="340" w:gutter="0"/>
          <w:pgNumType/>
          <w:docGrid w:linePitch="360"/>
        </w:sectPr>
      </w:pPr>
    </w:p>
    <w:p>
      <w:pPr>
        <w:pStyle w:val="Heading1"/>
      </w:pPr>
      <w:r>
        <w:t xml:space="preserve">References cited in these sections</w:t>
      </w:r>
    </w:p>
    <w:p>
      <w:r>
        <w:rPr>
          <w:i/>
          <w:iCs/>
          <w:color w:val="5D666B"/>
          <w:sz w:val="18"/>
          <w:szCs w:val="18"/>
        </w:rPr>
        <w:t xml:space="preserve">Numbers match the full reference list in the plan (Fardin's section).</w:t>
      </w:r>
    </w:p>
    <w:p>
      <w:pPr>
        <w:tabs>
          <w:tab w:val="left" w:pos="567"/>
        </w:tabs>
        <w:spacing w:after="100"/>
        <w:ind w:left="567" w:hanging="567"/>
      </w:pPr>
      <w:r>
        <w:t xml:space="preserve">[1]	</w:t>
      </w:r>
      <w:r>
        <w:t xml:space="preserve">Verizon Business, “2026 Data Breach Investigations Report: Executive summary,” Verizon, Rep. OGES2110526, May 2026. Accessed: Oct. 24, 2026. [Online]. Available: https://www.verizon.com/business/resources/executivebriefs/2026-dbir-executive-summary.pdf</w:t>
      </w:r>
    </w:p>
    <w:p>
      <w:pPr>
        <w:tabs>
          <w:tab w:val="left" w:pos="567"/>
        </w:tabs>
        <w:spacing w:after="100"/>
        <w:ind w:left="567" w:hanging="567"/>
      </w:pPr>
      <w:r>
        <w:t xml:space="preserve">[2]	</w:t>
      </w:r>
      <w:r>
        <w:t xml:space="preserve">Office of the Australian Information Commissioner, “Data breach notifications increase to all-time high in 2025, new NDB stats show,” Media release, Jul. 6, 2026. Accessed: Oct. 24, 2026. [Online]. Available: https://www.oaic.gov.au/news/media-centre/data-breach-notifications-increase-to-all-time-high-in-2025,-new-ndb-stats-show</w:t>
      </w:r>
    </w:p>
    <w:p>
      <w:pPr>
        <w:tabs>
          <w:tab w:val="left" w:pos="567"/>
        </w:tabs>
        <w:spacing w:after="100"/>
        <w:ind w:left="567" w:hanging="567"/>
      </w:pPr>
      <w:r>
        <w:t xml:space="preserve">[7]	</w:t>
      </w:r>
      <w:r>
        <w:t xml:space="preserve">Australian Signals Directorate, “Essential Eight maturity model,” Australian Cyber Security Centre, Nov. 27, 2023. Accessed: Oct. 24, 2026. [Online]. Available: https://www.cyber.gov.au/publication/essential-eight-maturity-model</w:t>
      </w:r>
    </w:p>
    <w:p>
      <w:pPr>
        <w:tabs>
          <w:tab w:val="left" w:pos="567"/>
        </w:tabs>
        <w:spacing w:after="100"/>
        <w:ind w:left="567" w:hanging="567"/>
      </w:pPr>
      <w:r>
        <w:t xml:space="preserve">[12]	</w:t>
      </w:r>
      <w:r>
        <w:t xml:space="preserve">Project Management Institute, </w:t>
      </w:r>
      <w:r>
        <w:rPr>
          <w:i/>
          <w:iCs/>
        </w:rPr>
        <w:t xml:space="preserve">A Guide to the Project Management Body of Knowledge (PMBOK Guide)</w:t>
      </w:r>
      <w:r>
        <w:t xml:space="preserve">, 8th ed. Newtown Square, PA, USA: PMI, 2025.</w:t>
      </w:r>
    </w:p>
    <w:p>
      <w:pPr>
        <w:tabs>
          <w:tab w:val="left" w:pos="567"/>
        </w:tabs>
        <w:spacing w:after="100"/>
        <w:ind w:left="567" w:hanging="567"/>
      </w:pPr>
      <w:r>
        <w:t xml:space="preserve">[14]	</w:t>
      </w:r>
      <w:r>
        <w:rPr>
          <w:i/>
          <w:iCs/>
        </w:rPr>
        <w:t xml:space="preserve">Risk Management — Guidelines</w:t>
      </w:r>
      <w:r>
        <w:t xml:space="preserve">, ISO 31000:2018, International Organization for Standardization, Geneva, Switzerland, Feb. 2018.</w:t>
      </w:r>
    </w:p>
    <w:p>
      <w:pPr>
        <w:tabs>
          <w:tab w:val="left" w:pos="567"/>
        </w:tabs>
        <w:spacing w:after="100"/>
        <w:ind w:left="567" w:hanging="567"/>
      </w:pPr>
      <w:r>
        <w:t xml:space="preserve">[15]	</w:t>
      </w:r>
      <w:r>
        <w:t xml:space="preserve">P. Willumsen, J. Oehmen, V. Stingl, and J. Geraldi, “Value creation through project risk management,” </w:t>
      </w:r>
      <w:r>
        <w:rPr>
          <w:i/>
          <w:iCs/>
        </w:rPr>
        <w:t xml:space="preserve">Int. J. Proj. Manag.</w:t>
      </w:r>
      <w:r>
        <w:t xml:space="preserve">, vol. 37, no. 5, pp. 731–749, Jul. 2019, doi: 10.1016/j.ijproman.2019.01.007.</w:t>
      </w:r>
    </w:p>
    <w:sectPr>
      <w:headerReference w:type="default" r:id="rId18"/>
      <w:footerReference w:type="default" r:id="rId19"/>
      <w:type w:val="nextPage"/>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bullet"/>
      <w:lvlText w:val="•"/>
      <w:lvlJc w:val="left"/>
      <w:pPr>
        <w:ind w:left="220" w:hanging="18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60" w:before="360"/>
      <w:outlineLvl w:val="0"/>
    </w:pPr>
    <w:rPr>
      <w:b/>
      <w:bCs/>
      <w:color w:val="2F5D50"/>
      <w:sz w:val="32"/>
      <w:szCs w:val="32"/>
    </w:rPr>
  </w:style>
  <w:style w:type="paragraph" w:styleId="Heading2">
    <w:name w:val="Heading 2"/>
    <w:basedOn w:val="Normal"/>
    <w:next w:val="Normal"/>
    <w:qFormat/>
    <w:pPr>
      <w:keepNext/>
      <w:keepLines/>
      <w:spacing w:after="80" w:before="240"/>
      <w:outlineLvl w:val="1"/>
    </w:pPr>
    <w:rPr>
      <w:b/>
      <w:bCs/>
      <w:color w:val="1F2A30"/>
      <w:sz w:val="25"/>
      <w:szCs w:val="25"/>
    </w:rPr>
  </w:style>
  <w:style w:type="paragraph" w:styleId="Caption">
    <w:name w:val="Caption"/>
    <w:basedOn w:val="Normal"/>
    <w:next w:val="Normal"/>
    <w:qFormat/>
    <w:pPr>
      <w:spacing w:after="200" w:before="80"/>
    </w:pPr>
    <w:rPr>
      <w:color w:val="5D666B"/>
      <w:sz w:val="18"/>
      <w:szCs w:val="18"/>
    </w:rPr>
  </w:style>
  <w:style w:type="paragraph" w:styleId="TitleSmall">
    <w:name w:val="Front Heading"/>
    <w:basedOn w:val="Normal"/>
    <w:next w:val="Normal"/>
    <w:pPr>
      <w:spacing w:after="160"/>
    </w:pPr>
    <w:rPr>
      <w:b/>
      <w:bCs/>
      <w:color w:val="2F5D50"/>
      <w:sz w:val="30"/>
      <w:szCs w:val="30"/>
    </w:rPr>
  </w:style>
  <w:style w:type="paragraph" w:styleId="TOC1">
    <w:name w:val="toc 1"/>
    <w:basedOn w:val="Normal"/>
    <w:next w:val="Normal"/>
    <w:pPr>
      <w:spacing w:after="0" w:before="70" w:line="252"/>
    </w:pPr>
    <w:rPr>
      <w:b/>
      <w:bCs/>
      <w:sz w:val="21"/>
      <w:szCs w:val="21"/>
    </w:rPr>
  </w:style>
  <w:style w:type="paragraph" w:styleId="TOC2">
    <w:name w:val="toc 2"/>
    <w:basedOn w:val="Normal"/>
    <w:next w:val="Normal"/>
    <w:pPr>
      <w:spacing w:after="0" w:before="0" w:line="252"/>
      <w:ind w:left="30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theme" Target="theme/theme1.xml"/><Relationship Id="rId21" Type="http://schemas.openxmlformats.org/officeDocument/2006/relationships/image" Target="media/c395e7f355a2140a8201bcda006a38233fb789ad.png"/><Relationship Id="rId22" Type="http://schemas.openxmlformats.org/officeDocument/2006/relationships/image" Target="media/fc21e6f95fbd896a29bc9b13cf0bab059107712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System Deployment — Project Plan v1.0</dc:title>
  <dc:creator>Toufiq Ahmed Joy, Kritika Bhattarai, Fardin Rahman Tanvir, Ahmed Mahir Daiyan</dc:creator>
  <dc:description>Project plan for deploying an identity and access management system at Corella Health Group</dc:description>
  <cp:lastModifiedBy>Un-named</cp:lastModifiedBy>
  <cp:revision>1</cp:revision>
  <dcterms:created xsi:type="dcterms:W3CDTF">2026-10-24T01:03:14.453Z</dcterms:created>
  <dcterms:modified xsi:type="dcterms:W3CDTF">2026-10-24T01:03:14.455Z</dcterms:modified>
</cp:coreProperties>
</file>

<file path=docProps/custom.xml><?xml version="1.0" encoding="utf-8"?>
<Properties xmlns="http://schemas.openxmlformats.org/officeDocument/2006/custom-properties" xmlns:vt="http://schemas.openxmlformats.org/officeDocument/2006/docPropsVTypes"/>
</file>