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DM Mono" w:cs="DM Mono" w:eastAsia="DM Mono" w:hAnsi="DM Mono"/>
          <w:b/>
          <w:bCs/>
          <w:color w:val="A88644"/>
          <w:sz w:val="18"/>
          <w:szCs w:val="18"/>
        </w:rPr>
        <w:t xml:space="preserve">INSTITUTE FOR AUTONOMOUS GOVERNANCE</w:t>
      </w:r>
    </w:p>
    <w:p>
      <w:pPr>
        <w:spacing w:before="0" w:after="160"/>
      </w:pPr>
      <w:r>
        <w:rPr>
          <w:rFonts w:ascii="Libre Baskerville" w:cs="Libre Baskerville" w:eastAsia="Libre Baskerville" w:hAnsi="Libre Baskerville"/>
          <w:b/>
          <w:bCs/>
          <w:color w:val="0d0d0b"/>
          <w:sz w:val="48"/>
          <w:szCs w:val="48"/>
        </w:rPr>
        <w:t xml:space="preserve">Board and Audit Committee Reporting Crosswalk</w:t>
      </w:r>
    </w:p>
    <w:p>
      <w:pPr>
        <w:spacing w:before="0" w:after="80"/>
      </w:pPr>
      <w:r>
        <w:rPr>
          <w:rFonts w:ascii="Libre Baskerville" w:cs="Libre Baskerville" w:eastAsia="Libre Baskerville" w:hAnsi="Libre Baskerville"/>
          <w:i/>
          <w:iCs/>
          <w:color w:val="444444"/>
          <w:sz w:val="26"/>
          <w:szCs w:val="26"/>
        </w:rPr>
        <w:t xml:space="preserve">Mapping ARAF Assessment Outputs to Board Governance Obligations</w:t>
      </w:r>
    </w:p>
    <w:p>
      <w:pPr>
        <w:spacing w:before="0" w:after="400"/>
      </w:pPr>
      <w:r>
        <w:rPr>
          <w:rFonts w:ascii="DM Mono" w:cs="DM Mono" w:eastAsia="DM Mono" w:hAnsi="DM Mono"/>
          <w:color w:val="888888"/>
          <w:sz w:val="16"/>
          <w:szCs w:val="16"/>
        </w:rPr>
        <w:t xml:space="preserve">Agentic Risk Architecture Framework, Version 3.0 — Institute for Autonomous Governance Pty Ltd</w:t>
      </w:r>
    </w:p>
    <w:p>
      <w:pPr>
        <w:pBdr>
          <w:bottom w:val="single" w:color="A88644" w:sz="6" w:space="1"/>
        </w:pBdr>
        <w:spacing w:before="0" w:after="16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AT A GLANCE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680"/>
        <w:gridCol w:w="1080"/>
      </w:tblGrid>
      <w:tr>
        <w:trPr>
          <w:tblHeader/>
        </w:trPr>
        <w:tc>
          <w:tcPr>
            <w:tcW w:type="dxa" w:w="2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OBLIGATION</w:t>
            </w:r>
          </w:p>
        </w:tc>
        <w:tc>
          <w:tcPr>
            <w:tcW w:type="dxa" w:w="2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DIMENSION / OUTPUT</w:t>
            </w:r>
          </w:p>
        </w:tc>
        <w:tc>
          <w:tcPr>
            <w:tcW w:type="dxa" w:w="2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REPORTING ARTEFACT</w:t>
            </w:r>
          </w:p>
        </w:tc>
        <w:tc>
          <w:tcPr>
            <w:tcW w:type="dxa" w:w="168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RECEIVING BODY</w:t>
            </w:r>
          </w:p>
        </w:tc>
        <w:tc>
          <w:tcPr>
            <w:tcW w:type="dxa" w:w="108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CADENCE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Set governance risk appetite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Board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Risk Appetite Statement for Autonomous Systems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Full board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Annually and on material change</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Know what systems are deployed</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Decision system registry</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Decision System Registry</w:t>
            </w:r>
          </w:p>
        </w:tc>
        <w:tc>
          <w:tcPr>
            <w:tcW w:type="dxa" w:w="16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Board / risk committee</w:t>
            </w:r>
          </w:p>
        </w:tc>
        <w:tc>
          <w:tcPr>
            <w:tcW w:type="dxa" w:w="10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Quarterly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Understand autonomy levels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D1: Autonomy Gradient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Autonomy and Authority Summary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Board / risk committee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deployment and reassessment</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Understand data exposure</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D2: Data Sensitivity</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Data Sensitivity Summary</w:t>
            </w:r>
          </w:p>
        </w:tc>
        <w:tc>
          <w:tcPr>
            <w:tcW w:type="dxa" w:w="16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Board / risk committee</w:t>
            </w:r>
          </w:p>
        </w:tc>
        <w:tc>
          <w:tcPr>
            <w:tcW w:type="dxa" w:w="10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assessment and when D2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Ensure contractual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D3: Contract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Contract Infrastructure Summary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Audit committee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assessment and when D3 changes</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Oversee liability architecture</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D4: Liability Architecture</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Liability Architecture Summary</w:t>
            </w:r>
          </w:p>
        </w:tc>
        <w:tc>
          <w:tcPr>
            <w:tcW w:type="dxa" w:w="16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Audit committee</w:t>
            </w:r>
          </w:p>
        </w:tc>
        <w:tc>
          <w:tcPr>
            <w:tcW w:type="dxa" w:w="10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assessment and when D4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Understand commercial dependencies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D5: Commercial Leverage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Commercial Dependency Summary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Board / risk committee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assessment and when D5 changes</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Challenge management representations</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Independent GBI assessment</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Independent Governance Assessment Report</w:t>
            </w:r>
          </w:p>
        </w:tc>
        <w:tc>
          <w:tcPr>
            <w:tcW w:type="dxa" w:w="16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Audit committee</w:t>
            </w:r>
          </w:p>
        </w:tc>
        <w:tc>
          <w:tcPr>
            <w:tcW w:type="dxa" w:w="10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assessment and reassessment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Monitor governance operations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GCI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GCI Dashboard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Audit committee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Quarterly</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Ensure governance keeps pace</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D6: Adaptive Stability</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Reassessment and Lifecycle Summary</w:t>
            </w:r>
          </w:p>
        </w:tc>
        <w:tc>
          <w:tcPr>
            <w:tcW w:type="dxa" w:w="16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Audit committee</w:t>
            </w:r>
          </w:p>
        </w:tc>
        <w:tc>
          <w:tcPr>
            <w:tcW w:type="dxa" w:w="108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reassessment and on trigger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Produce contemporaneous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EIS-01 Evidence Tiers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Evidence Tier Report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Audit committee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At assessment</w:t>
            </w:r>
          </w:p>
        </w:tc>
      </w:tr>
    </w:tbl>
    <w:p>
      <w:pPr>
        <w:spacing w:before="0" w:after="48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PURPOSE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Boards and audit committees already have governance reporting obligations for the systems and processes producing consequential organisational decisions. When those systems include autonomous AI, the obligations do not change. The accountability standard remains the same: who was responsible, what did they know, what did they do. What changes is the governance infrastructure required to answer those questions.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This crosswalk maps ARAF assessment outputs to the governance reporting obligations boards and audit committees already discharge. It is designed for the company secretary preparing board papers, the general counsel advising on governance adequacy, and the audit committee chair evaluating whether the organisation's AI governance programme produces the information the committee needs to satisfy its oversight obligations.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crosswalk does not introduce new obligations. It maps existing obligations to the governance information ARAF produces, so that boards can discharge their duty of care for autonomous system deployments through the same governance structures they use for every other consequential risk category.</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For organisations that are AI vendors (whose autonomous systems are deployed by customers rather than only internally), the board's governance obligations extend to how the organisation's systems are governed when deployed by others, including downstream liability (D4), contractual architecture with customers (D3), and the governance signals the organisation provides to its customers' boards. The ARAF Procurement and Vendor Onboarding Crosswalk addresses the buyer-side perspective.</w:t>
      </w:r>
    </w:p>
    <w:p>
      <w:pPr>
        <w:spacing w:before="0" w:after="32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THE GOVERNANCE TELEMETRY DISTINCTION</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crosswalk rests on a distinction that frames every obligation that follows: the difference between engineering telemetry and governance telemetry.</w:t>
      </w:r>
    </w:p>
    <w:p>
      <w:pPr>
        <w:spacing w:before="0" w:after="80"/>
      </w:pPr>
      <w:r>
        <w:t xml:space="preserve"/>
      </w:r>
    </w:p>
    <w:p>
      <w:pPr>
        <w:spacing w:before="0" w:after="120"/>
      </w:pPr>
      <w:r>
        <w:rPr>
          <w:rFonts w:ascii="Libre Baskerville" w:cs="Libre Baskerville" w:eastAsia="Libre Baskerville" w:hAnsi="Libre Baskerville"/>
          <w:color w:val="0d0d0b"/>
          <w:sz w:val="20"/>
          <w:szCs w:val="20"/>
        </w:rPr>
      </w:r>
      <w:r>
        <w:rPr>
          <w:rFonts w:ascii="Libre Baskerville" w:cs="Libre Baskerville" w:eastAsia="Libre Baskerville" w:hAnsi="Libre Baskerville"/>
          <w:color w:val="0d0d0b"/>
          <w:sz w:val="20"/>
          <w:szCs w:val="20"/>
        </w:rPr>
        <w:t xml:space="preserve">records whether the system is performing as designed. It answers management’s question: is the system working?</w:t>
      </w:r>
    </w:p>
    <w:p>
      <w:pPr>
        <w:spacing w:before="0" w:after="80"/>
      </w:pPr>
      <w:r>
        <w:t xml:space="preserve"/>
      </w:r>
    </w:p>
    <w:p>
      <w:pPr>
        <w:spacing w:before="0" w:after="120"/>
      </w:pPr>
      <w:r>
        <w:rPr>
          <w:rFonts w:ascii="Libre Baskerville" w:cs="Libre Baskerville" w:eastAsia="Libre Baskerville" w:hAnsi="Libre Baskerville"/>
          <w:color w:val="0d0d0b"/>
          <w:sz w:val="20"/>
          <w:szCs w:val="20"/>
        </w:rPr>
      </w:r>
      <w:r>
        <w:rPr>
          <w:rFonts w:ascii="Libre Baskerville" w:cs="Libre Baskerville" w:eastAsia="Libre Baskerville" w:hAnsi="Libre Baskerville"/>
          <w:color w:val="0d0d0b"/>
          <w:sz w:val="20"/>
          <w:szCs w:val="20"/>
        </w:rPr>
        <w:t xml:space="preserve">records whether governance is being exercised as authorised. It answers the board’s question: is the system governed?</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Most organisations deploying autonomous systems produce the first and lack the second. Boards receiving management assurances that AI systems are performing well are receiving engineering telemetry. That information does not answer the three questions courts ask when governance is tested: who held authority, what did they know, what did they do.</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ARAF assessment framework, the GBI score, the GCI dashboard, and the evidence tier report together produce governance telemetry. They provide the board with independently assessed, contemporaneous, evidence-graded records of whether governance is being exercised, not merely whether systems are operating. That is the distinction between governance on paper and governance in practice, and it is the distinction that determines whether the board's position is defensible when institutional scrutiny arrives.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Every obligation in this crosswalk is designed to produce governance telemetry. The board already receives engineering telemetry from management. This crosswalk addresses what management cannot provide: the independent governance signal.</w:t>
      </w:r>
    </w:p>
    <w:p>
      <w:pPr>
        <w:spacing w:before="0" w:after="32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THE ACCOUNTABILITY STANDARD</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crosswalk is structured around the accountability standard for director governance of autonomous systems, established across major common law jurisdictions: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AUTHORITY</w:t>
            </w:r>
          </w:p>
        </w:tc>
        <w:tc>
          <w:tcPr>
            <w:tcW w:type="dxa" w:w="61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i/>
                <w:iCs/>
                <w:color w:val="0d0d0b"/>
                <w:sz w:val="18"/>
                <w:szCs w:val="18"/>
              </w:rPr>
              <w:t xml:space="preserve">ASIC v Bekier [2026] FCA 196 (Australia)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Officers with operational responsibility who fail to act on governance information breach the duty of care (Corporations Act 2001 (Cth) s 180(1)). Non-executive directors may rely on management absent information that would awaken suspicion. Three-question institutional accountability test (established across Bekier, Healey, and Cassimatis): who held authority, what did they know, what did they do.</w:t>
            </w:r>
          </w:p>
        </w:tc>
      </w:tr>
      <w:tr>
        <w:tc>
          <w:tcPr>
            <w:tcW w:type="dxa" w:w="3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i/>
                <w:iCs/>
                <w:color w:val="0d0d0b"/>
                <w:sz w:val="18"/>
                <w:szCs w:val="18"/>
              </w:rPr>
              <w:t xml:space="preserve">ASIC v Healey [2011] FCA 717 (Australia)</w:t>
            </w:r>
          </w:p>
        </w:tc>
        <w:tc>
          <w:tcPr>
            <w:tcW w:type="dxa" w:w="61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Directors must engage substantively with governance information before them, not merely approve its receipt.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i/>
                <w:iCs/>
                <w:color w:val="0d0d0b"/>
                <w:sz w:val="18"/>
                <w:szCs w:val="18"/>
              </w:rPr>
              <w:t xml:space="preserve">ASIC v Cassimatis [2016] FCA 1023 (Australia)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Delegation to management does not discharge the duty of care without an independent basis for verifying management's representations.</w:t>
            </w:r>
          </w:p>
        </w:tc>
      </w:tr>
      <w:tr>
        <w:tc>
          <w:tcPr>
            <w:tcW w:type="dxa" w:w="3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i/>
                <w:iCs/>
                <w:color w:val="0d0d0b"/>
                <w:sz w:val="18"/>
                <w:szCs w:val="18"/>
              </w:rPr>
              <w:t xml:space="preserve">Caremark / Marchand (United States)</w:t>
            </w:r>
          </w:p>
        </w:tc>
        <w:tc>
          <w:tcPr>
            <w:tcW w:type="dxa" w:w="61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Directors must implement monitoring systems for mission-critical risks, and the existence of a monitoring structure does not satisfy the duty unless the board substantively engages with the information it produces. (In re Caremark, 698 A.2d 959 (Del. Ch. 1996); Marchand v. Barnhill, 212 A.3d 805 (Del. 2019)).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i/>
                <w:iCs/>
                <w:color w:val="0d0d0b"/>
                <w:sz w:val="18"/>
                <w:szCs w:val="18"/>
              </w:rPr>
              <w:t xml:space="preserve">UK Companies Act 2006 ss 172–174; UK Corporate Governance Code (2024)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Directors must exercise reasonable care, skill, and diligence (s 174) and promote the success of the company with regard to the consequences of decisions (s 172). The FRC's UK Corporate Governance Code requires boards to maintain sound risk management and internal control systems (Principle O) and monitor their effectiveness (Provision 29). Where autonomous systems produce consequential decisions, these systems fall within the board's risk management and internal control obligations.</w:t>
            </w:r>
          </w:p>
        </w:tc>
      </w:tr>
    </w:tbl>
    <w:p>
      <w:pPr>
        <w:spacing w:before="0" w:after="160"/>
      </w:pPr>
      <w:r>
        <w:t xml:space="preserve"/>
      </w:r>
    </w:p>
    <w:p>
      <w:pPr>
        <w:spacing w:before="0" w:after="120"/>
      </w:pPr>
      <w:r>
        <w:rPr>
          <w:rFonts w:ascii="Libre Baskerville" w:cs="Libre Baskerville" w:eastAsia="Libre Baskerville" w:hAnsi="Libre Baskerville"/>
          <w:color w:val="0d0d0b"/>
          <w:sz w:val="20"/>
          <w:szCs w:val="20"/>
        </w:rPr>
        <w:t xml:space="preserve">The common requirement across all authorities: the board must have governance information that allows it to understand what autonomous systems are doing, challenge what management reports about them, and act on what that information discloses. The ARAF assessment framework is designed to produce that information.</w:t>
      </w:r>
    </w:p>
    <w:p>
      <w:pPr>
        <w:spacing w:before="0" w:after="32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OBLIGATION MAPPING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GOVERNANCE OBLIGATION</w:t>
            </w:r>
          </w:p>
        </w:tc>
        <w:tc>
          <w:tcPr>
            <w:tcW w:type="dxa" w:w="26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LEGAL STANDARD</w:t>
            </w:r>
          </w:p>
        </w:tc>
        <w:tc>
          <w:tcPr>
            <w:tcW w:type="dxa" w:w="20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ARAF OUTPUT</w:t>
            </w:r>
          </w:p>
        </w:tc>
        <w:tc>
          <w:tcPr>
            <w:tcW w:type="dxa" w:w="23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BOARD REPORTING ARTEFACT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Define and approve the organisation's risk appetite for autonomous system deployment, including maximum acceptable autonomy levels, data sensitivity categories requiring board-level approval, and liability architecture requirements that must be in place before deployment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The institutional accountability test (Bekier/Healey/Cassimatis): the three-question test presumes the board made a governance decision before deployment, not only after adverse outcomes. Caremark/Marchand: monitoring systems must exist for mission-critical risks, which presumes the board identified autonomous system governance as a risk category requiring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ARAF's dimensional scoring scales (D1–D6) provide the vocabulary for expressing risk appetite in measurable terms. The board can define thresholds (e.g., "no system shall operate above D1 = 3.0 without explicit board approval") that management implements and ARAF assessment verifies.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Risk Appetite Statement for Autonomous Systems, approved by the full board and reviewed annually or upon material change to the organisation's AI deployment strategy.</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Maintain a register of autonomous systems producing consequential organisational decisions</w:t>
            </w:r>
          </w:p>
        </w:tc>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the board must have governance information sufficient to understand the systems producing the outcomes for which it is accountable. Caremark: monitoring systems must exist for mission-critical risks. Prudential operational risk requirements (including APRA CPS 230 Para. 27 and equivalent standards in other jurisdictions) require documentation of processes and resources for critical operations including technology and interdependencies.</w:t>
            </w:r>
          </w:p>
        </w:tc>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The ARAF assessment programme produces a decision system registry: a record of each autonomous system assessed, its GBI score, certification tier, dimensional profile, active multipliers, and assessment currency.</w:t>
            </w:r>
          </w:p>
        </w:tc>
        <w:tc>
          <w:tcPr>
            <w:tcW w:type="dxa" w:w="2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Decision System Registry, presented to the board or risk committee quarterly.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Understand the autonomy level at which each consequential system operates and the authority boundaries governing its actions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directors must be able to answer "what did they know" about the systems producing the decisions at issue. Healey: directors must engage substantively with governance information, not merely approve its receipt. EU AI Act Art. 14: human oversight must be commensurate with the level of autonomy.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D1 (Autonomy Gradient) assessment: operational autonomy level, commitment authority, oversight adequacy, and scope boundary enforcement.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Autonomy and Authority Summary for each assessed system, at deployment and each reassessment.</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Understand what data categories the organisation's autonomous systems process during operation and training, and whether that exposure is governed</w:t>
            </w:r>
          </w:p>
        </w:tc>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a director who cannot demonstrate awareness of the data sensitivity profile cannot answer "what did they know." EU AI Act Art. 10: data governance practices covering design choices, collection origins, and bias examination. Prudential operational risk requirements (including APRA CPS 230 Paras. 24–25 and equivalents) require data risk to be identified, managed, and monitored.</w:t>
            </w:r>
          </w:p>
        </w:tc>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D2 (Data Sensitivity Exposure) assessment: operational data sensitivity classification, training data provenance, and the gap between data exposure and data governance coverage.</w:t>
            </w:r>
          </w:p>
        </w:tc>
        <w:tc>
          <w:tcPr>
            <w:tcW w:type="dxa" w:w="2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Data Sensitivity Summary for each assessed system, at assessment and when D2 conditions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Ensure the contractual architecture governing autonomous system deployments covers the scope of what those systems actually 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reliance on an autonomous system without adequate contract infrastructure is a governance failure at the design link. Prudential operational risk requirements (including APRA CPS 230 Paras. 47–60 and equivalents) require formal agreements specifying services, service levels, liability, indemnity, and sub-contractor disclosure for material service providers.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D3 (Contract Infrastructure) assessment: vendor liability allocation for AI-generated outputs, customer agreement coverage, data processing agreement adequacy for AI-specific processing, and contractual chain liability mapping. Infrastructure Collapse multiplier (D3 ≥ 4 AND D1 ≥ 3) flags the compound condition.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Contract Infrastructure Summary for each assessed system, at assessment and when D3 conditions change.</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Oversee the liability architecture governing autonomous system deployments, including whether liability for AI-generated decisions is allocated, capped, insured, and defensible</w:t>
            </w:r>
          </w:p>
        </w:tc>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directors must be able to answer "what did they do" in response to the governance conditions they were aware of. Prudential operational risk requirements (including APRA CPS 230 Para. 12 and equivalents) require operational risks to be effectively managed. D&amp;O underwriting: boards must demonstrate that governance architecture anticipated the liability consequences of autonomous action.</w:t>
            </w:r>
          </w:p>
        </w:tc>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D4 (Liability Architecture) assessment: AE3 consequence boundaries, liability cap adequacy, carve-out structure, and insurance coverage adequacy. Systemic Escalation multiplier (D1 ≥ 4 AND D4 ≥ 4) flags the highest-risk governance profile.</w:t>
            </w:r>
          </w:p>
        </w:tc>
        <w:tc>
          <w:tcPr>
            <w:tcW w:type="dxa" w:w="2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Liability Architecture Summary for each assessed system, at assessment and when D4 conditions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Understand whether the organisation can exit or substitute its autonomous systems if governance remediation, regulatory compliance, or risk management requires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a board that cannot exit or substitute an autonomous system producing consequential decisions has delegated authority without retained governance capacity. Prudential operational risk requirements (including APRA CPS 230 Paras. 48, 53, 56 and equivalents) require service provider management to include substitution and exit approaches, concentration risk assessment, and orderly exit capability.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D5 (Commercial Leverage) assessment: operational dependency, remediation resistance, revenue concentration, and lock-in dynamics. Leverage Collapse multiplier (D5 ≥ 4 AND D4 ≥ 3) flags the compound condition.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Commercial Dependency Summary for each assessed system where D5 is above 3.0, at assessment and when D5 conditions change.</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Independently verify management's representations about autonomous system governance, rather than relying solely on management assurances that “AI systems are performing well”</w:t>
            </w:r>
          </w:p>
        </w:tc>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Cassimatis: delegation to management does not discharge the duty of care without an independent basis for verifying management's representations. EIS-01 (separately): management representations without independent corroboration are excluded from all ARAF certification tiers.</w:t>
            </w:r>
          </w:p>
        </w:tc>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The GBI score and dimensional profile are produced by accredited assessors independent of the deploying organisation. The assessment report is not a management representation. It is an independently assessed governance signal.</w:t>
            </w:r>
          </w:p>
        </w:tc>
        <w:tc>
          <w:tcPr>
            <w:tcW w:type="dxa" w:w="2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Independent Governance Assessment Report (the ARAF assessment report itself), at initial assessment and each reassessment.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Monitor whether governance controls for autonomous systems are operating at the required cadence, not only whether they have been designed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governance documentation that exists but is not exercised does not satisfy the duty of care. Prudential operational risk requirements (including APRA CPS 230 Para. 29 and equivalents) require controls to be regularly monitored and tested for design and operating effectiveness. Caremark/Marchand: monitoring structures must actually operate. EU AI Act Art. 26(5): deployers must monitor the operation of high-risk AI systems on the basis of the instructions for use and inform the provider of serious incidents.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The GCI (Governance Coherence Index) assesses operational effectiveness across three components: Authority Adherence, Control Exercise, and Drift Detection. The GCI is analogous to SOC 2 Type II: the GBI assesses design adequacy; the GCI assesses operational effectiveness over a 180-day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GCI Dashboard, presented to the audit committee quarterly.</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Ensure that governance architecture for autonomous systems remains current as systems change through model updates, scope expansion, and operational drift</w:t>
            </w:r>
          </w:p>
        </w:tc>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and Caremark: the duty of care extends to ongoing oversight, not only initial deployment decisions. EU AI Act Art. 9(1): risk management must be a continuous iterative process throughout the lifecycle. EU AI Act Art. 26(5): deployers must monitor operation and inform providers of risks. Prudential operational risk requirements (including APRA CPS 230 Paras. 17, 44–45 and equivalents) require periodic review of risk management frameworks and systematic testing.</w:t>
            </w:r>
          </w:p>
        </w:tc>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D6 (Adaptive Stability) assessment: governance maintenance capacity as the system evolves. ARAF's mandatory reassessment architecture defines five trigger categories. The GCI Drift Detection component measures whether the system has evolved away from deployment-time governance assumptions.</w:t>
            </w:r>
          </w:p>
        </w:tc>
        <w:tc>
          <w:tcPr>
            <w:tcW w:type="dxa" w:w="2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Reassessment and Lifecycle Summary, at each scheduled reassessment and whenever a trigger event occurs.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Ensure that governance records for autonomous system decisions are produced contemporaneously, not reconstructed after adverse outcomes occur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Bekier: the accountability test is applied after adverse outcomes; the governance record must exist at the time of the decision, not be assembled after the fact. EIS-01: Tier 1 evidence (infrastructure-generated, contemporaneous) cannot be retrospectively assembled; management representations are excluded from certification.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The EIS-01 evidence tier classification for each ARAF dimension documents what evidence exists and at what tier. Tier 1 supports the strongest governance position. Tier 2 supports Compliant certification. Tier 3 may support assessment but not certification.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Evidence Tier Report, included in the ARAF assessment report and presented to the audit committee at each assessment.</w:t>
            </w:r>
          </w:p>
        </w:tc>
      </w:tr>
    </w:tbl>
    <w:p>
      <w:pPr>
        <w:spacing w:before="0" w:after="32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HOW TO USE THIS CROSSWALK</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For each board governance obligation, the crosswalk identifies: the legal standard that establishes it, the ARAF dimension or output that produces the relevant governance information, and the specific reporting artefact the board or audit committee should receive. The crosswalk is designed to be implemented through existing board reporting structures (board papers, risk committee reports, audit committee agendas) rather than requiring new governance bodies or reporting lines.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Company secretaries preparing board papers within established governance frameworks (ASX Corporate Governance Principles, UK Corporate Governance Code, King IV, Dutch Corporate Governance Code, or equivalent) should note that ARAF reporting integrates into the risk management and internal control reporting these frameworks already require. The obligations below are not additions to the governance framework. They are the application of existing risk oversight obligations to a category of operational risk (autonomous system deployment) that existing frameworks were not designed to address at the decision infrastructure layer.</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crosswalk assumes the organisation has established (or will establish) an Autonomous Intelligence Oversight Committee (AIOC) or equivalent management-level governance body responsible for the operational oversight of autonomous system deployments. The AIOC is not a board sub-committee; it is a management body whose operation the board oversees. Its structure, mandate, and reporting line are addressed in Phase 2 below.</w:t>
      </w:r>
    </w:p>
    <w:p>
      <w:pPr>
        <w:spacing w:before="0" w:after="160"/>
      </w:pPr>
      <w:r>
        <w:t xml:space="preserve"/>
      </w:r>
    </w:p>
    <w:p>
      <w:pPr>
        <w:spacing w:before="0" w:after="120"/>
      </w:pPr>
      <w:r>
        <w:rPr>
          <w:rFonts w:ascii="Libre Baskerville" w:cs="Libre Baskerville" w:eastAsia="Libre Baskerville" w:hAnsi="Libre Baskerville"/>
          <w:color w:val="0d0d0b"/>
          <w:sz w:val="20"/>
          <w:szCs w:val="20"/>
        </w:rPr>
        <w:t xml:space="preserve">The obligations are organised in three phases:</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Phase 1: Understanding the deployment (Obligations 0–6). What systems exist, what they do, what data they process, what contracts govern them, what liability architecture absorbs consequences, and whether the organisation can exit if needed.</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Phase 2: Verifying and monitoring (Obligations 7–9). Independent verification of management representations, operational effectiveness of governance controls, and lifecycle governance as systems evolve.</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Phase 3: Documenting for defensibility (Obligation 10). Contemporaneous evidence production that supports the board's position under institutional scrutiny.</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Phase 1: Understanding the Deployment</w:t>
      </w:r>
    </w:p>
    <w:p>
      <w:pPr>
        <w:pStyle w:val="Heading2"/>
        <w:spacing w:before="360" w:after="120"/>
      </w:pPr>
      <w:r>
        <w:rPr>
          <w:rFonts w:ascii="Libre Baskerville" w:cs="Libre Baskerville" w:eastAsia="Libre Baskerville" w:hAnsi="Libre Baskerville"/>
          <w:b/>
          <w:bCs/>
          <w:color w:val="0d0d0b"/>
          <w:sz w:val="26"/>
          <w:szCs w:val="26"/>
        </w:rPr>
        <w:t xml:space="preserve">Obligation 0: Setting the Governance Risk Appetite for Autonomous System Deployment</w:t>
      </w:r>
    </w:p>
    <w:p>
      <w:pPr>
        <w:spacing w:before="0" w:after="120"/>
      </w:pPr>
      <w:r>
        <w:rPr>
          <w:rFonts w:ascii="Libre Baskerville" w:cs="Libre Baskerville" w:eastAsia="Libre Baskerville" w:hAnsi="Libre Baskerville"/>
          <w:color w:val="0d0d0b"/>
          <w:sz w:val="20"/>
          <w:szCs w:val="20"/>
        </w:rPr>
        <w:t xml:space="preserve">Before governance reporting can function, the board must define what level of autonomous authority the organisation is willing to accept.</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Risk Appetite Statement should define, at minimum:</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The maximum D1 (autonomy) level permitted for deployment without board or risk committee approval.</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The data sensitivity categories (D2) that require board-level awareness before AI processing is authorised.</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The minimum contractual protections (D3) that must be in place before an AI vendor is engaged for consequential decision functions.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The liability architecture requirements (D4) that must be documented before deployment (liability caps, insurance coverage, incident response).</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The concentration risk threshold (D5) at which vendor dependency requires board-level review.</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The GBI score threshold below which the board considers governance adequate for institutional reliance.</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This statement provides the reference point against which all subsequent obligations are assessed. Without it, the board is receiving governance information without a framework for evaluating whether the governance posture it describes is acceptable.</w:t>
      </w:r>
    </w:p>
    <w:p>
      <w:pPr>
        <w:pStyle w:val="Heading2"/>
        <w:spacing w:before="360" w:after="120"/>
      </w:pPr>
      <w:r>
        <w:rPr>
          <w:rFonts w:ascii="Libre Baskerville" w:cs="Libre Baskerville" w:eastAsia="Libre Baskerville" w:hAnsi="Libre Baskerville"/>
          <w:b/>
          <w:bCs/>
          <w:color w:val="0d0d0b"/>
          <w:sz w:val="26"/>
          <w:szCs w:val="26"/>
        </w:rPr>
        <w:t xml:space="preserve">Obligation 1: Knowing What Autonomous Systems Are Deployed</w:t>
      </w:r>
    </w:p>
    <w:p>
      <w:pPr>
        <w:spacing w:before="0" w:after="120"/>
      </w:pPr>
      <w:r>
        <w:rPr>
          <w:rFonts w:ascii="Libre Baskerville" w:cs="Libre Baskerville" w:eastAsia="Libre Baskerville" w:hAnsi="Libre Baskerville"/>
          <w:color w:val="0d0d0b"/>
          <w:sz w:val="20"/>
          <w:szCs w:val="20"/>
        </w:rPr>
        <w:t xml:space="preserve">The board cannot govern what it does not know exists.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registry should show, for each system: system name and deployment scope, GBI score and tier, assessment date and reliance freshness status, active multipliers, and dimensional scores for D1 (autonomy level) and D4 (liability architecture). Systems not yet assessed should appear on the registry as "unassessed" with a target assessment date. When a new autonomous system is deployed between quarterly reporting cycles, the company secretary should notify the board or risk committee chair and add the system to the registry at the next scheduled report.</w:t>
      </w:r>
    </w:p>
    <w:p>
      <w:pPr>
        <w:pStyle w:val="Heading2"/>
        <w:spacing w:before="360" w:after="120"/>
      </w:pPr>
      <w:r>
        <w:rPr>
          <w:rFonts w:ascii="Libre Baskerville" w:cs="Libre Baskerville" w:eastAsia="Libre Baskerville" w:hAnsi="Libre Baskerville"/>
          <w:b/>
          <w:bCs/>
          <w:color w:val="0d0d0b"/>
          <w:sz w:val="26"/>
          <w:szCs w:val="26"/>
        </w:rPr>
        <w:t xml:space="preserve">Obligation 2: Understanding Autonomy Levels and Authority Delegation</w:t>
      </w:r>
    </w:p>
    <w:p>
      <w:pPr>
        <w:spacing w:before="0" w:after="120"/>
      </w:pPr>
      <w:r>
        <w:rPr>
          <w:rFonts w:ascii="Libre Baskerville" w:cs="Libre Baskerville" w:eastAsia="Libre Baskerville" w:hAnsi="Libre Baskerville"/>
          <w:color w:val="0d0d0b"/>
          <w:sz w:val="20"/>
          <w:szCs w:val="20"/>
        </w:rPr>
        <w:t xml:space="preserve">The board must understand what authority it has delegated to autonomous systems.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summary should answer, in plain language: what can this system do without a human approving it? What are the limits on what it can do? Who authorised those limits? Is the oversight architecture adequate for the autonomy level? Directors should be able to read this summary and understand the authority delegation without technical expertise.</w:t>
      </w:r>
    </w:p>
    <w:p>
      <w:pPr>
        <w:pStyle w:val="Heading2"/>
        <w:spacing w:before="360" w:after="120"/>
      </w:pPr>
      <w:r>
        <w:rPr>
          <w:rFonts w:ascii="Libre Baskerville" w:cs="Libre Baskerville" w:eastAsia="Libre Baskerville" w:hAnsi="Libre Baskerville"/>
          <w:b/>
          <w:bCs/>
          <w:color w:val="0d0d0b"/>
          <w:sz w:val="26"/>
          <w:szCs w:val="26"/>
        </w:rPr>
        <w:t xml:space="preserve">Obligation 3: Understanding the Data Exposure of Autonomous Systems</w:t>
      </w:r>
    </w:p>
    <w:p>
      <w:pPr>
        <w:spacing w:before="0" w:after="120"/>
      </w:pPr>
      <w:r>
        <w:rPr>
          <w:rFonts w:ascii="Libre Baskerville" w:cs="Libre Baskerville" w:eastAsia="Libre Baskerville" w:hAnsi="Libre Baskerville"/>
          <w:color w:val="0d0d0b"/>
          <w:sz w:val="20"/>
          <w:szCs w:val="20"/>
        </w:rPr>
        <w:t xml:space="preserve">A board that does not know what data its autonomous systems process cannot govern the exposure that data creates.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summary should answer, in plain language: what categories of data does this system access and process? Does it handle personal data, financial records, health information, or trade secrets? Was it trained on data the organisation has verified rights to use? If training data provenance issues exist, what is the contingent IP exposure across the system's outputs? Are the data processing agreements in place adequate for what the system actually does with data? A D2 score above 3.0 should be highlighted as a priority item. The summary should be written so that a director without technical AI expertise can understand the data exposure and assess whether it is adequately governed.</w:t>
      </w:r>
    </w:p>
    <w:p>
      <w:pPr>
        <w:pStyle w:val="Heading2"/>
        <w:spacing w:before="360" w:after="120"/>
      </w:pPr>
      <w:r>
        <w:rPr>
          <w:rFonts w:ascii="Libre Baskerville" w:cs="Libre Baskerville" w:eastAsia="Libre Baskerville" w:hAnsi="Libre Baskerville"/>
          <w:b/>
          <w:bCs/>
          <w:color w:val="0d0d0b"/>
          <w:sz w:val="26"/>
          <w:szCs w:val="26"/>
        </w:rPr>
        <w:t xml:space="preserve">Obligation 4: Ensuring Contractual Architecture Covers the Deployment Scope</w:t>
      </w:r>
    </w:p>
    <w:p>
      <w:pPr>
        <w:spacing w:before="0" w:after="120"/>
      </w:pPr>
      <w:r>
        <w:rPr>
          <w:rFonts w:ascii="Libre Baskerville" w:cs="Libre Baskerville" w:eastAsia="Libre Baskerville" w:hAnsi="Libre Baskerville"/>
          <w:color w:val="0d0d0b"/>
          <w:sz w:val="20"/>
          <w:szCs w:val="20"/>
        </w:rPr>
        <w:t xml:space="preserve">A contract designed for conventional software does not govern an autonomous system operating under it.</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summary should answer: do the vendor's contract terms cover what this system actually does? Is liability for AI-generated outputs explicitly allocated or does it fall into a contractual gap? Do the data processing agreements address AI-specific processing? Are audit rights adequate for AI governance? Where the Infrastructure Collapse multiplier is active, it should be highlighted as a priority item. The board should also consider whether it needs to direct management on minimum contractual protections for future AI vendor engagements, consistent with the Risk Appetite Statement (Obligation 0). The summary should be written so that a director without technical AI expertise can understand the contractual gaps and assess whether they are adequately addressed.</w:t>
      </w:r>
    </w:p>
    <w:p>
      <w:pPr>
        <w:pStyle w:val="Heading2"/>
        <w:spacing w:before="360" w:after="120"/>
      </w:pPr>
      <w:r>
        <w:rPr>
          <w:rFonts w:ascii="Libre Baskerville" w:cs="Libre Baskerville" w:eastAsia="Libre Baskerville" w:hAnsi="Libre Baskerville"/>
          <w:b/>
          <w:bCs/>
          <w:color w:val="0d0d0b"/>
          <w:sz w:val="26"/>
          <w:szCs w:val="26"/>
        </w:rPr>
        <w:t xml:space="preserve">Obligation 5: Overseeing Liability Architecture for Autonomous Action Consequences</w:t>
      </w:r>
    </w:p>
    <w:p>
      <w:pPr>
        <w:spacing w:before="0" w:after="120"/>
      </w:pPr>
      <w:r>
        <w:rPr>
          <w:rFonts w:ascii="Libre Baskerville" w:cs="Libre Baskerville" w:eastAsia="Libre Baskerville" w:hAnsi="Libre Baskerville"/>
          <w:color w:val="0d0d0b"/>
          <w:sz w:val="20"/>
          <w:szCs w:val="20"/>
        </w:rPr>
        <w:t xml:space="preserve">The audit committee must understand the liability exposure autonomous systems create and whether it is governed.</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summary should answer: what are the categories of consequence this system can produce? Is liability for those consequences allocated between the organisation, the vendor, and any intermediaries? Are there gaps between what the system can do and what the liability architecture covers? Is insurance coverage adequate for the autonomous action exposure? The Systemic Escalation multiplier, if active, should be highlighted as a priority remediation item: it identifies the compound condition where liability consequences will be most severe and least governed.</w:t>
      </w:r>
    </w:p>
    <w:p>
      <w:pPr>
        <w:pStyle w:val="Heading2"/>
        <w:spacing w:before="360" w:after="120"/>
      </w:pPr>
      <w:r>
        <w:rPr>
          <w:rFonts w:ascii="Libre Baskerville" w:cs="Libre Baskerville" w:eastAsia="Libre Baskerville" w:hAnsi="Libre Baskerville"/>
          <w:b/>
          <w:bCs/>
          <w:color w:val="0d0d0b"/>
          <w:sz w:val="26"/>
          <w:szCs w:val="26"/>
        </w:rPr>
        <w:t xml:space="preserve">Obligation 6: Understanding Commercial Dependencies and Exit Capacity</w:t>
      </w:r>
    </w:p>
    <w:p>
      <w:pPr>
        <w:spacing w:before="0" w:after="120"/>
      </w:pPr>
      <w:r>
        <w:rPr>
          <w:rFonts w:ascii="Libre Baskerville" w:cs="Libre Baskerville" w:eastAsia="Libre Baskerville" w:hAnsi="Libre Baskerville"/>
          <w:color w:val="0d0d0b"/>
          <w:sz w:val="20"/>
          <w:szCs w:val="20"/>
        </w:rPr>
        <w:t xml:space="preserve">A board that cannot exit a system it cannot govern has lost the ability to act.</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summary should answer: can the organisation exit this vendor or system if it needs to? What would exiting cost and how long would it take? Does the vendor's contractual framework include transition assistance and data portability? Are there alternative systems available? The Leverage Collapse multiplier, if active, should be highlighted: the organisation cannot practically remediate a governance failure because it cannot exit the system causing it. The summary should be written so that a director without technical AI expertise can understand the commercial dependency and assess whether the organisation retains practical governance authority.</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Phase 2: Verifying and Monitoring</w:t>
      </w:r>
    </w:p>
    <w:p>
      <w:pPr>
        <w:spacing w:before="0" w:after="120"/>
      </w:pPr>
      <w:r>
        <w:rPr>
          <w:rFonts w:ascii="Libre Baskerville" w:cs="Libre Baskerville" w:eastAsia="Libre Baskerville" w:hAnsi="Libre Baskerville"/>
          <w:color w:val="0d0d0b"/>
          <w:sz w:val="20"/>
          <w:szCs w:val="20"/>
        </w:rPr>
        <w:t xml:space="preserve">Phase 1 establishes what the board needs to understand about its autonomous system deployments. Phase 2 addresses how the board verifies that understanding and monitors it over time.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r>
      <w:r>
        <w:rPr>
          <w:rFonts w:ascii="Libre Baskerville" w:cs="Libre Baskerville" w:eastAsia="Libre Baskerville" w:hAnsi="Libre Baskerville"/>
          <w:color w:val="0d0d0b"/>
          <w:sz w:val="20"/>
          <w:szCs w:val="20"/>
        </w:rPr>
        <w:t xml:space="preserve"> The Cassimatis standard establishes that delegation to management does not discharge the duty of care without independent verification. The board's delegation of AI governance responsibilities should be structured through a defined framework: the board defines governance parameters and risk appetite (Phase 1, Obligations 0–6), delegates operational governance to management through a designated body (the Autonomous Intelligence Oversight Committee, or AIOC: the operational governance body responsible for ongoing autonomous system oversight, meeting at a defined cadence, with documented membership, mandate, and reporting line to the audit committee or risk committee), and then verifies and monitors that delegation (Obligations 7–10 below). The AIOC is not a board sub-committee. It is a management-level body whose operation the board oversees through the GCI Dashboard and the independent ARAF assessment.</w:t>
      </w:r>
    </w:p>
    <w:p>
      <w:pPr>
        <w:pStyle w:val="Heading2"/>
        <w:spacing w:before="360" w:after="120"/>
      </w:pPr>
      <w:r>
        <w:rPr>
          <w:rFonts w:ascii="Libre Baskerville" w:cs="Libre Baskerville" w:eastAsia="Libre Baskerville" w:hAnsi="Libre Baskerville"/>
          <w:b/>
          <w:bCs/>
          <w:color w:val="0d0d0b"/>
          <w:sz w:val="26"/>
          <w:szCs w:val="26"/>
        </w:rPr>
        <w:t xml:space="preserve">Obligation 7: Challenging Management Representations About AI Performance</w:t>
      </w:r>
    </w:p>
    <w:p>
      <w:pPr>
        <w:spacing w:before="0" w:after="120"/>
      </w:pPr>
      <w:r>
        <w:rPr>
          <w:rFonts w:ascii="Libre Baskerville" w:cs="Libre Baskerville" w:eastAsia="Libre Baskerville" w:hAnsi="Libre Baskerville"/>
          <w:color w:val="0d0d0b"/>
          <w:sz w:val="20"/>
          <w:szCs w:val="20"/>
        </w:rPr>
        <w:t xml:space="preserve">The board must have an independent basis for verifying what management reports.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audit committee should receive: the GBI composite score and dimensional profile, the evidence tier classification for each dimension, any active multipliers with explanation, and the assessor's accreditation confirmation. This is the artefact that applies the governance telemetry distinction in practice: management reports whether systems are working (engineering telemetry); the ARAF assessment reports whether governance is being exercised (governance telemetry). The board needs both. Only the second satisfies the Cassimatis standard.</w:t>
      </w:r>
    </w:p>
    <w:p>
      <w:pPr>
        <w:pStyle w:val="Heading2"/>
        <w:spacing w:before="360" w:after="120"/>
      </w:pPr>
      <w:r>
        <w:rPr>
          <w:rFonts w:ascii="Libre Baskerville" w:cs="Libre Baskerville" w:eastAsia="Libre Baskerville" w:hAnsi="Libre Baskerville"/>
          <w:b/>
          <w:bCs/>
          <w:color w:val="0d0d0b"/>
          <w:sz w:val="26"/>
          <w:szCs w:val="26"/>
        </w:rPr>
        <w:t xml:space="preserve">Obligation 8: Monitoring Whether Governance Controls Are Operating</w:t>
      </w:r>
    </w:p>
    <w:p>
      <w:pPr>
        <w:spacing w:before="0" w:after="120"/>
      </w:pPr>
      <w:r>
        <w:rPr>
          <w:rFonts w:ascii="Libre Baskerville" w:cs="Libre Baskerville" w:eastAsia="Libre Baskerville" w:hAnsi="Libre Baskerville"/>
          <w:color w:val="0d0d0b"/>
          <w:sz w:val="20"/>
          <w:szCs w:val="20"/>
        </w:rPr>
        <w:t xml:space="preserve">Governance on paper is not governance. The board must know whether governance is being exercised in practice.</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dashboard should show, for each assessed system: GCI composite and component scores, governance drift alerts (triggered when GCI falls below the operational conformance threshold), AIOC meeting frequency and attendance against the required cadence, and escalation pathway test results. An organisation with a strong GBI but a failing GCI has designed adequate governance and is not executing it. That is the precise condition the institutional accountability test identifies as insufficient.</w:t>
      </w:r>
    </w:p>
    <w:p>
      <w:pPr>
        <w:pStyle w:val="Heading2"/>
        <w:spacing w:before="360" w:after="120"/>
      </w:pPr>
      <w:r>
        <w:rPr>
          <w:rFonts w:ascii="Libre Baskerville" w:cs="Libre Baskerville" w:eastAsia="Libre Baskerville" w:hAnsi="Libre Baskerville"/>
          <w:b/>
          <w:bCs/>
          <w:color w:val="0d0d0b"/>
          <w:sz w:val="26"/>
          <w:szCs w:val="26"/>
        </w:rPr>
        <w:t xml:space="preserve">Obligation 9: Ensuring Governance Keeps Pace with System Evolution</w:t>
      </w:r>
    </w:p>
    <w:p>
      <w:pPr>
        <w:spacing w:before="0" w:after="120"/>
      </w:pPr>
      <w:r>
        <w:rPr>
          <w:rFonts w:ascii="Libre Baskerville" w:cs="Libre Baskerville" w:eastAsia="Libre Baskerville" w:hAnsi="Libre Baskerville"/>
          <w:color w:val="0d0d0b"/>
          <w:sz w:val="20"/>
          <w:szCs w:val="20"/>
        </w:rPr>
        <w:t xml:space="preserve">The duty of care does not expire at deployment. It runs for the system's operational life.</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five reassessment trigger categories, with examples: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Scheduled: annual reassessment regardless of whether changes have occurred.</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Event-triggered: the vendor releases a new model version; the organisation expands the system's deployment scope to a new business function; the system is granted increased commitment authority.</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Consequence-triggered: the system produces an adverse outcome (erroneous transaction, regulatory finding, customer complaint arising from autonomous action).</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Dependency-triggered: the vendor changes its terms of service; a new regulation takes effect in a jurisdiction where the system operates; the vendor's own governance posture changes.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Government action-triggered: a government action, including supply chain risk designation, affecting the organisation's primary AI provider or any material component of the Decision Supply Chain.</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summary should show: current assessment date and next scheduled reassessment, any trigger events since the last assessment (classified by category), Drift Detection score, and model version, scope, and authority boundary changes since last assessment. The audit committee should receive trigger event notifications within the 60-day notification period defined in the ARAF Reassessment Protocol. A system that has changed materially since its last assessment and has not been reassessed represents a governance gap that the committee must address.</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Phase 3: Documenting for Defensibility</w:t>
      </w:r>
    </w:p>
    <w:p>
      <w:pPr>
        <w:pStyle w:val="Heading2"/>
        <w:spacing w:before="360" w:after="120"/>
      </w:pPr>
      <w:r>
        <w:rPr>
          <w:rFonts w:ascii="Libre Baskerville" w:cs="Libre Baskerville" w:eastAsia="Libre Baskerville" w:hAnsi="Libre Baskerville"/>
          <w:b/>
          <w:bCs/>
          <w:color w:val="0d0d0b"/>
          <w:sz w:val="26"/>
          <w:szCs w:val="26"/>
        </w:rPr>
        <w:t xml:space="preserve">Obligation 10: Producing Contemporaneous Governance Records</w:t>
      </w:r>
    </w:p>
    <w:p>
      <w:pPr>
        <w:spacing w:before="0" w:after="120"/>
      </w:pPr>
      <w:r>
        <w:rPr>
          <w:rFonts w:ascii="Libre Baskerville" w:cs="Libre Baskerville" w:eastAsia="Libre Baskerville" w:hAnsi="Libre Baskerville"/>
          <w:color w:val="0d0d0b"/>
          <w:sz w:val="20"/>
          <w:szCs w:val="20"/>
        </w:rPr>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report should show, for each dimension: what evidence tier the assessment relied upon, what evidence gaps exist (dimensions supported only by Tier 3 or where evidence is absent), and the claims defensibility implication (whether the governance record would support or undermine the organisation's position in a regulatory inquiry, insurance claim, or litigation). A board whose governance evidence is Tier 1 across all dimensions has the strongest possible position under the institutional accountability test. A board whose evidence is Tier 3 or absent has, for institutional purposes, governance on paper.</w:t>
      </w:r>
    </w:p>
    <w:p>
      <w:pPr>
        <w:spacing w:before="0" w:after="32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BOARD RESPONSE FRAMEWORK</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obligations above define what governance information the board should receive. This framework defines what the board should do when that information arrives.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GOVERNANCE SIGNAL</w:t>
            </w:r>
          </w:p>
        </w:tc>
        <w:tc>
          <w:tcPr>
            <w:tcW w:type="dxa" w:w="67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RECOMMENDED BOARD RESPONSE</w:t>
            </w:r>
          </w:p>
        </w:tc>
      </w:tr>
      <w:tr>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7"/>
                <w:szCs w:val="17"/>
              </w:rPr>
              <w:t xml:space="preserve">GBI ≤ 1.75 (Certified)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Note and file. Include in annual governance statement. Confirm governance maintenance resources are adequate to sustain Certified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7"/>
                <w:szCs w:val="17"/>
              </w:rPr>
              <w:t xml:space="preserve">GBI 1.75–2.50 (Compliant)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Review the specific dimensions driving the Compliant (rather than Certified) score. Direct management to develop improvement milestones with a defined timeline toward Certified. Monitor progress at each reassessment.</w:t>
            </w:r>
          </w:p>
        </w:tc>
      </w:tr>
      <w:tr>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7"/>
                <w:szCs w:val="17"/>
              </w:rPr>
              <w:t xml:space="preserve">GBI &gt; 2.50 (Not Compliant)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Require management remediation plan with defined timeline and accountable owner. Report to risk committee. Assess whether the system should continue operating at its current authority level pending remediation. If D1 is above 3.0, consider whether autonomous authority should be reduced to advisory level until governance is adequate.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7"/>
                <w:szCs w:val="17"/>
              </w:rPr>
              <w:t xml:space="preserve">Multiplier activated (Systemic Escalation, Infrastructure Collapse, or Leverage Collapse)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Priority item requiring immediate management briefing to the board or risk committee on the compound condition. Assess whether deployment should continue at current scope and authority pending remediation. Each multiplier identifies a condition where the combined exposure exceeds what the individual dimensional findings suggest; the response must address both contributing dimensions simultaneously.</w:t>
            </w:r>
          </w:p>
        </w:tc>
      </w:tr>
      <w:tr>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7"/>
                <w:szCs w:val="17"/>
              </w:rPr>
              <w:t xml:space="preserve">GCI below conformance threshold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Governance is designed but not operating. Require explanation from the AIOC on why governance controls lapsed. Assess whether the AIOC is meeting at the required cadence and with adequate attendance. Consider whether the governance programme needs additional operational support or whether accountability for governance execution should be reassigned.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7"/>
                <w:szCs w:val="17"/>
              </w:rPr>
              <w:t xml:space="preserve">Trigger event notification received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Assess whether the trigger warrants early reassessment before the next scheduled cycle. For model version changes or scope expansion: confirm governance architecture remains adequate for the new operational state. For adverse outcomes: confirm the incident response and liability architecture operated as designed. For dependency changes: assess impact on the organisation's commercial leverage and exit capacity.</w:t>
            </w:r>
          </w:p>
        </w:tc>
      </w:tr>
      <w:tr>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7"/>
                <w:szCs w:val="17"/>
              </w:rPr>
              <w:t xml:space="preserve">Evidence Tier degradation (dimension moves from Tier 1 to Tier 2, or Tier 2 to Tier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Require management explanation for why evidence quality has declined. Direct the governance function to implement infrastructure changes that restore evidence quality to the prior tier. Evidence degradation weakens the board's defensibility position and should be treated as a governance maintenance failure.</w:t>
            </w:r>
          </w:p>
        </w:tc>
      </w:tr>
    </w:tbl>
    <w:p>
      <w:pPr>
        <w:spacing w:before="0" w:after="32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DIRECTOR PERSONAL LIABILITY AND D&amp;O IMPLICATIONS</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obligations above address the organisation's governance position. Individual directors should understand how ARAF governance reporting affects their personal position.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Under the institutional accountability test, each director's conduct is assessed individually: who held authority, what did that person know, what did they do. A director who can demonstrate, through contemporaneous governance records, that they received ARAF governance reporting, engaged substantively with the information it contained (not merely approved its receipt, per Healey), and took action in response to governance findings has the strongest personal defence. A director who cannot produce evidence of that engagement has the weakest.</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ARAF reporting artefacts (Decision System Registry, GCI Dashboard, Evidence Tier Report, multiplier alerts) create the board-level governance record that supports each director's individual position. Board minutes should reflect substantive engagement with these artefacts: questions asked, concerns raised, actions directed. The combination of independently assessed governance information (the ARAF report) and documented board engagement with that information (the minutes) satisfies the Cassimatis requirement for independent verification and the Healey requirement for substantive engagement.</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For D&amp;O insurance purposes, a board operating within this crosswalk's framework demonstrates governance action at the decision infrastructure layer. The ARAF Insurance Underwriting Crosswalk describes how D&amp;O underwriters assess governance posture using ARAF dimensional output. A board that maintains ARAF governance reporting and demonstrates engagement with it strengthens the insured's defence position and supports the D&amp;O insurer's assessment that governance was exercised during the policy period.</w:t>
      </w:r>
    </w:p>
    <w:p>
      <w:pPr>
        <w:spacing w:before="0" w:after="32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IMPLEMENTING THE CROSSWALK THROUGH EXISTING BOARD STRUCTURES</w:t>
      </w:r>
    </w:p>
    <w:p>
      <w:pPr>
        <w:spacing w:before="0" w:after="160"/>
      </w:pPr>
      <w:r>
        <w:t xml:space="preserve"/>
      </w:r>
    </w:p>
    <w:p>
      <w:pPr>
        <w:spacing w:before="240" w:after="80"/>
      </w:pPr>
      <w:r>
        <w:rPr>
          <w:rFonts w:ascii="Libre Baskerville" w:cs="Libre Baskerville" w:eastAsia="Libre Baskerville" w:hAnsi="Libre Baskerville"/>
          <w:b/>
          <w:bCs/>
          <w:color w:val="0d0d0b"/>
          <w:sz w:val="22"/>
          <w:szCs w:val="22"/>
        </w:rPr>
        <w:t xml:space="preserve">Reporting Routing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EXISTING BOARD STRUCTURE</w:t>
            </w:r>
          </w:p>
        </w:tc>
        <w:tc>
          <w:tcPr>
            <w:tcW w:type="dxa" w:w="67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ARAF REPORTING INTEGRATION</w:t>
            </w:r>
          </w:p>
        </w:tc>
      </w:tr>
      <w:tr>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b/>
                <w:bCs/>
                <w:color w:val="0d0d0b"/>
                <w:sz w:val="18"/>
                <w:szCs w:val="18"/>
              </w:rPr>
              <w:t xml:space="preserve">Full board (or board risk committee where established)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Decision System Registry (quarterly); Risk Appetite Statement for Autonomous Systems (annually); Autonomy and Authority Summary (at deployment and reassessment); Data Sensitivity Summary (at assessment and when D2 conditions change); Commercial Dependency Summary (at assessment and when D5 conditions change); Systemic Escalation and Leverage Collapse multiplier alerts (as triggered).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b/>
                <w:bCs/>
                <w:color w:val="0d0d0b"/>
                <w:sz w:val="18"/>
                <w:szCs w:val="18"/>
              </w:rPr>
              <w:t xml:space="preserve">Audit committee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Independent Governance Assessment Report (at assessment and reassessment); GCI Dashboard (quarterly); Evidence Tier Report (at assessment); Liability Architecture Summary (at assessment and when D4 conditions change); Contract Infrastructure Summary (at assessment and when D3 conditions change).</w:t>
            </w:r>
          </w:p>
        </w:tc>
      </w:tr>
      <w:tr>
        <w:tc>
          <w:tcPr>
            <w:tcW w:type="dxa" w:w="2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b/>
                <w:bCs/>
                <w:color w:val="0d0d0b"/>
                <w:sz w:val="18"/>
                <w:szCs w:val="18"/>
              </w:rPr>
              <w:t xml:space="preserve">Company secretary / governance function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Reassessment and Lifecycle Summary (at each scheduled reassessment and trigger event); trigger event notifications (within the 60-day period defined in the ARAF Reassessment Protocol); maintenance of decision system registry; coordination of board paper preparation for each reporting artefact.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b/>
                <w:bCs/>
                <w:color w:val="0d0d0b"/>
                <w:sz w:val="18"/>
                <w:szCs w:val="18"/>
              </w:rPr>
              <w:t xml:space="preserve">Internal audit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8"/>
                <w:szCs w:val="18"/>
              </w:rPr>
              <w:t xml:space="preserve">GCI validation (whether the GCI scores produced by the ARAF assessment are consistent with internal audit's own observations of governance control exercise); evidence tier verification (whether the evidence classifications are accurate). See the ARAF Internal Audit and Assurance Crosswalk for detailed audit methodology mapping.</w:t>
            </w:r>
          </w:p>
        </w:tc>
      </w:tr>
    </w:tbl>
    <w:p>
      <w:pPr>
        <w:spacing w:before="0" w:after="320"/>
      </w:pPr>
      <w:r>
        <w:t xml:space="preserve"/>
      </w:r>
    </w:p>
    <w:p>
      <w:pPr>
        <w:spacing w:before="240" w:after="80"/>
      </w:pPr>
      <w:r>
        <w:rPr>
          <w:rFonts w:ascii="Libre Baskerville" w:cs="Libre Baskerville" w:eastAsia="Libre Baskerville" w:hAnsi="Libre Baskerville"/>
          <w:b/>
          <w:bCs/>
          <w:color w:val="0d0d0b"/>
          <w:sz w:val="22"/>
          <w:szCs w:val="22"/>
        </w:rPr>
        <w:t xml:space="preserve">Calendar-Based Board Pack Schedule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90"/>
        <w:gridCol w:w="2090"/>
        <w:gridCol w:w="2090"/>
        <w:gridCol w:w="1890"/>
      </w:tblGrid>
      <w:tr>
        <w:trPr>
          <w:tblHeader/>
        </w:trPr>
        <w:tc>
          <w:tcPr>
            <w:tcW w:type="dxa" w:w="1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TIMING</w:t>
            </w:r>
          </w:p>
        </w:tc>
        <w:tc>
          <w:tcPr>
            <w:tcW w:type="dxa" w:w="209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BOARD / RISK COMMITTEE RECEIVES</w:t>
            </w:r>
          </w:p>
        </w:tc>
        <w:tc>
          <w:tcPr>
            <w:tcW w:type="dxa" w:w="209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AUDIT COMMITTEE RECEIVES</w:t>
            </w:r>
          </w:p>
        </w:tc>
        <w:tc>
          <w:tcPr>
            <w:tcW w:type="dxa" w:w="209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GOVERNANCE FUNCTION ACTIONS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Quarterly (standing agenda)</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Decision System Registry (updated); multiplier status update</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GCI Dashboard; multiplier status update</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Update registry; compile GCI data; prepare trigger event log for the quarter</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t xml:space="preserve"/>
            </w:r>
          </w:p>
        </w:tc>
      </w:tr>
      <w:tr>
        <w:tc>
          <w:tcPr>
            <w:tcW w:type="dxa" w:w="1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At initial deployment of a new autonomous system</w:t>
            </w:r>
          </w:p>
        </w:tc>
        <w:tc>
          <w:tcPr>
            <w:tcW w:type="dxa" w:w="209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Autonomy and Authority Summary; Data Sensitivity Summary (if D2 &gt; 2.0); Commercial Dependency Summary (if D5 &gt; 3.0)</w:t>
            </w:r>
          </w:p>
        </w:tc>
        <w:tc>
          <w:tcPr>
            <w:tcW w:type="dxa" w:w="209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Contract Infrastructure Summary; Liability Architecture Summary</w:t>
            </w:r>
          </w:p>
        </w:tc>
        <w:tc>
          <w:tcPr>
            <w:tcW w:type="dxa" w:w="209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Register new system; confirm assessment timeline; verify Risk Appetite Statement thresholds are met</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At ARAF assessment or reassessment</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Updated registry entry with new GBI score</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Full Independent Governance Assessment Report; Evidence Tier Report; updated Liability Architecture and Contract Infrastructure Summaries</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File assessment report; update registry; notify insurer and investor per applicable obligations; confirm next reassessment date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t xml:space="preserve"/>
            </w:r>
          </w:p>
        </w:tc>
      </w:tr>
      <w:tr>
        <w:tc>
          <w:tcPr>
            <w:tcW w:type="dxa" w:w="1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On trigger event (model update, scope change, adverse outcome, dependency change)</w:t>
            </w:r>
          </w:p>
        </w:tc>
        <w:tc>
          <w:tcPr>
            <w:tcW w:type="dxa" w:w="209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Multiplier alert (if activated); Commercial Dependency Summary (if D5 affected)</w:t>
            </w:r>
          </w:p>
        </w:tc>
        <w:tc>
          <w:tcPr>
            <w:tcW w:type="dxa" w:w="209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Trigger event briefing; Drift Detection update; assessment of whether early reassessment is warranted</w:t>
            </w:r>
          </w:p>
        </w:tc>
        <w:tc>
          <w:tcPr>
            <w:tcW w:type="dxa" w:w="209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File trigger notification with the Institute within the 60-day notification period; assess materiality; recommend to audit committee whether early reassessment is needed</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Annually</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Risk Appetite Statement review and reapproval; governance programme effectiveness review</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Evidence tier trend analysis; GCI trend analysis across all assessed systems; assessment of whether evidence quality has improved or degraded</w:t>
            </w:r>
          </w:p>
        </w:tc>
        <w:tc>
          <w:tcPr>
            <w:tcW w:type="dxa" w:w="2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Annual reassessment scheduling; governance programme review; AIOC terms of reference review</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t xml:space="preserve"/>
            </w:r>
          </w:p>
        </w:tc>
      </w:tr>
    </w:tbl>
    <w:p>
      <w:pPr>
        <w:spacing w:before="0" w:after="480"/>
      </w:pPr>
      <w:r>
        <w:t xml:space="preserve"/>
      </w:r>
    </w:p>
    <w:p>
      <w:pPr>
        <w:pBdr>
          <w:bottom w:val="single" w:color="A88644" w:sz="6" w:space="1"/>
        </w:pBdr>
        <w:spacing w:before="0" w:after="160"/>
      </w:pPr>
      <w:r>
        <w:t xml:space="preserve"/>
      </w:r>
    </w:p>
    <w:p>
      <w:pPr>
        <w:spacing w:before="80" w:after="0"/>
        <w:jc w:val="center"/>
      </w:pPr>
      <w:r>
        <w:rPr>
          <w:rFonts w:ascii="DM Mono" w:cs="DM Mono" w:eastAsia="DM Mono" w:hAnsi="DM Mono"/>
          <w:color w:val="888888"/>
          <w:sz w:val="15"/>
          <w:szCs w:val="15"/>
        </w:rPr>
        <w:t xml:space="preserve">Martin, Carly. Agentic Risk Architecture Framework (ARAF), Version 3.0. Institute for Autonomous Governance Pty Ltd, 2026.  |  araf-standard.org  |  carlymartin@araf-standard.org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8644" w:sz="2" w:space="1"/>
      </w:pBdr>
      <w:spacing w:before="100" w:after="0"/>
    </w:pPr>
    <w:r>
      <w:rPr>
        <w:rFonts w:ascii="DM Mono" w:cs="DM Mono" w:eastAsia="DM Mono" w:hAnsi="DM Mono"/>
        <w:color w:val="999999"/>
        <w:sz w:val="14"/>
        <w:szCs w:val="14"/>
      </w:rPr>
      <w:t xml:space="preserve">Martin, Carly. Agentic Risk Architecture Framework (ARAF), Version 3.0. Institute for Autonomous Governance Pty Ltd, 2026.</w:t>
    </w:r>
    <w:r>
      <w:rPr>
        <w:rFonts w:ascii="DM Mono" w:cs="DM Mono" w:eastAsia="DM Mono" w:hAnsi="DM Mono"/>
        <w:color w:val="A88644"/>
        <w:sz w:val="14"/>
        <w:szCs w:val="14"/>
      </w:rPr>
      <w:t xml:space="preserve">    araf-standard.org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8644" w:sz="2" w:space="1"/>
      </w:pBdr>
      <w:tabs>
        <w:tab w:val="right" w:pos="9026"/>
      </w:tabs>
      <w:spacing w:before="0" w:after="160"/>
    </w:pPr>
    <w:r>
      <w:rPr>
        <w:rFonts w:ascii="DM Mono" w:cs="DM Mono" w:eastAsia="DM Mono" w:hAnsi="DM Mono"/>
        <w:color w:val="A88644"/>
        <w:sz w:val="14"/>
        <w:szCs w:val="14"/>
      </w:rPr>
      <w:t xml:space="preserve">INSTITUTE FOR AUTONOMOUS GOVERNANCE</w:t>
    </w:r>
    <w:r>
      <w:rPr>
        <w:rFonts w:ascii="DM Mono" w:cs="DM Mono" w:eastAsia="DM Mono" w:hAnsi="DM Mono"/>
        <w:color w:val="999999"/>
        <w:sz w:val="14"/>
        <w:szCs w:val="14"/>
      </w:rPr>
      <w:t xml:space="preserve">    Board and Audit Committee Reporting Crosswalk</w:t>
    </w:r>
    <w:r>
      <w:rPr>
        <w:rFonts w:ascii="DM Mono" w:cs="DM Mono" w:eastAsia="DM Mono" w:hAnsi="DM Mono"/>
        <w:sz w:val="14"/>
        <w:szCs w:val="14"/>
      </w:rPr>
      <w:t xml:space="preserve">	</w:t>
    </w:r>
    <w:r>
      <w:rPr>
        <w:rFonts w:ascii="DM Mono" w:cs="DM Mono" w:eastAsia="DM Mono" w:hAnsi="DM Mono"/>
        <w:color w:val="999999"/>
        <w:sz w:val="14"/>
        <w:szCs w:val="1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color w:val="0d0d0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Libre Baskerville" w:cs="Libre Baskerville" w:eastAsia="Libre Baskerville" w:hAnsi="Libre Baskerville"/>
      <w:b/>
      <w:bCs/>
      <w:color w:val="0d0d0b"/>
      <w:sz w:val="36"/>
      <w:szCs w:val="36"/>
    </w:rPr>
  </w:style>
  <w:style w:type="paragraph" w:styleId="Heading2">
    <w:name w:val="Heading 2"/>
    <w:basedOn w:val="Normal"/>
    <w:next w:val="Normal"/>
    <w:qFormat/>
    <w:pPr>
      <w:spacing w:before="360" w:after="120"/>
      <w:outlineLvl w:val="1"/>
    </w:pPr>
    <w:rPr>
      <w:rFonts w:ascii="Libre Baskerville" w:cs="Libre Baskerville" w:eastAsia="Libre Baskerville" w:hAnsi="Libre Baskerville"/>
      <w:b/>
      <w:bCs/>
      <w:color w:val="0d0d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2026-03-15T06:20:36.888Z</dcterms:created>
  <dcterms:modified xsi:type="dcterms:W3CDTF">2026-03-15T06:20:36.889Z</dcterms:modified>
</cp:coreProperties>
</file>

<file path=docProps/custom.xml><?xml version="1.0" encoding="utf-8"?>
<Properties xmlns="http://schemas.openxmlformats.org/officeDocument/2006/custom-properties" xmlns:vt="http://schemas.openxmlformats.org/officeDocument/2006/docPropsVTypes"/>
</file>