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DM Mono" w:cs="DM Mono" w:eastAsia="DM Mono" w:hAnsi="DM Mono"/>
          <w:b/>
          <w:bCs/>
          <w:color w:val="A88644"/>
          <w:sz w:val="18"/>
          <w:szCs w:val="18"/>
        </w:rPr>
        <w:t xml:space="preserve">INSTITUTE FOR AUTONOMOUS GOVERNANCE</w:t>
      </w:r>
    </w:p>
    <w:p>
      <w:pPr>
        <w:spacing w:before="0" w:after="160"/>
      </w:pPr>
      <w:r>
        <w:rPr>
          <w:rFonts w:ascii="Libre Baskerville" w:cs="Libre Baskerville" w:eastAsia="Libre Baskerville" w:hAnsi="Libre Baskerville"/>
          <w:b/>
          <w:bCs/>
          <w:color w:val="0d0d0b"/>
          <w:sz w:val="48"/>
          <w:szCs w:val="48"/>
        </w:rPr>
        <w:t xml:space="preserve">Healthcare Sector Crosswalk</w:t>
      </w:r>
    </w:p>
    <w:p>
      <w:pPr>
        <w:spacing w:before="0" w:after="80"/>
      </w:pPr>
      <w:r>
        <w:rPr>
          <w:rFonts w:ascii="Libre Baskerville" w:cs="Libre Baskerville" w:eastAsia="Libre Baskerville" w:hAnsi="Libre Baskerville"/>
          <w:i/>
          <w:iCs/>
          <w:color w:val="444444"/>
          <w:sz w:val="26"/>
          <w:szCs w:val="26"/>
        </w:rPr>
        <w:t xml:space="preserve">ARAF and Healthcare Sector Governance Obligations</w:t>
      </w:r>
    </w:p>
    <w:p>
      <w:pPr>
        <w:spacing w:before="0" w:after="400"/>
      </w:pPr>
      <w:r>
        <w:rPr>
          <w:rFonts w:ascii="DM Mono" w:cs="DM Mono" w:eastAsia="DM Mono" w:hAnsi="DM Mono"/>
          <w:color w:val="888888"/>
          <w:sz w:val="16"/>
          <w:szCs w:val="16"/>
        </w:rPr>
        <w:t xml:space="preserve">Agentic Risk Architecture Framework, Version 3.0  —  Institute for Autonomous Governance Pty Ltd  |  Final (2026-03-15)</w:t>
      </w:r>
    </w:p>
    <w:p>
      <w:pPr>
        <w:pBdr>
          <w:bottom w:val="single" w:color="A88644" w:sz="6" w:space="1"/>
        </w:pBdr>
        <w:spacing w:before="0" w:after="16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AT A GLANCE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OBLIGATION</w:t>
            </w:r>
          </w:p>
        </w:tc>
        <w:tc>
          <w:tcPr>
            <w:tcW w:type="dxa" w:w="16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ARAF COVERAGE</w:t>
            </w:r>
          </w:p>
        </w:tc>
        <w:tc>
          <w:tcPr>
            <w:tcW w:type="dxa" w:w="53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HEALTHCARE ORGANISATION’S INDEPENDENT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Proper use of decision-making powers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Map D1 to scope-of-practice framework. Confirm registered practitioner holds clinical authority. Monitor override rates. Independently satisfy all applicable SaMD regulatory requirements (TGA, FDA, MDR). ARAF assessment does not constitute, contribute to, or satisfy medical device regulatory compliance.</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Ability to reconstruct the decision</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5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Integrate AI governance records into clinical records at patient encounter level. Ensure records are producible for coronial inquiries, health complaints, and medical negligence proceedings.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Reliability of evidence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Map D2 to health data governance (APPs, health records legislation, TGA data requirements). Assess training data representativeness. Document consent basis for secondary use of health data.</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Procedural fairness</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Partially supported</w:t>
            </w:r>
          </w:p>
        </w:tc>
        <w:tc>
          <w:tcPr>
            <w:tcW w:type="dxa" w:w="5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Implement tiered informed consent disclosure (routine, specific, enhanced). Configure systems for shared decision-making (multiple options, not single recommendations). Establish human-only assessment pathway. For health insurer determinations: implement insurance crosswalk framework with urgency-adjusted timelines and clinical evidence engagement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Transparency and explainability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Partially supported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Require clinician-interpretable explanation outputs from all clinical AI systems. Establish minimum interpretability standard (clinician must be able to answer “why did the system recommend this?” in clinical terms). Develop patient-facing explanation materials tested for health literacy. Ensure SaMD labelling is accessible at point of care.</w:t>
            </w:r>
          </w:p>
        </w:tc>
      </w:tr>
      <w:tr>
        <w:tc>
          <w:tcPr>
            <w:tcW w:type="dxa" w:w="2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Bias and fair treatment</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Not assessed</w:t>
            </w:r>
          </w:p>
        </w:tc>
        <w:tc>
          <w:tcPr>
            <w:tcW w:type="dxa" w:w="5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Maintain four-dimensional bias programme: diagnostic bias (subgroup performance validation), treatment recommendation bias (historical disparity analysis), access and triage bias (urgency and referral equity monitoring), and cultural safety (Aboriginal and Torres Strait Islander health impact assessment). Commission independent clinical equity audits.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Reasonableness of the decision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Not assessed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Validate clinical outputs against standard of care. Maintain standard-of-care currency. Define clinician responsibility framework. Integrate AI incidents into clinical governance.</w:t>
            </w:r>
          </w:p>
        </w:tc>
      </w:tr>
    </w:tbl>
    <w:p>
      <w:pPr>
        <w:spacing w:before="0" w:after="480"/>
      </w:pPr>
      <w:r>
        <w:t xml:space="preserve"/>
      </w:r>
    </w:p>
    <w:p>
      <w:pPr>
        <w:pBdr>
          <w:bottom w:val="single" w:color="A88644" w:sz="2" w:space="1"/>
        </w:pBdr>
        <w:spacing w:before="360" w:after="80"/>
      </w:pPr>
      <w:r>
        <w:rPr>
          <w:rFonts w:ascii="DM Mono" w:cs="DM Mono" w:eastAsia="DM Mono" w:hAnsi="DM Mono"/>
          <w:b/>
          <w:bCs/>
          <w:color w:val="A88644"/>
          <w:sz w:val="18"/>
          <w:szCs w:val="18"/>
        </w:rPr>
        <w:t xml:space="preserve">PURPOSE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This crosswalk maps the Agentic Risk Architecture Framework’s six governance dimensions to the legal, regulatory, and professional obligations that apply when autonomous systems participate in healthcare decision-making, including clinical diagnosis, treatment recommendations, triage and prioritisation, coverage and benefit determinations, claims adjudication within health insurers, clinical trial management, drug interaction screening, and administrative operations affecting patient care.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AI carries a dual exposure that most other sectors do not: a single AI-assisted decision can simultaneously create liability under anti-discrimination law and patient safety law. A biased clinical algorithm that systematically under-triages patients from a particular demographic group is both a discrimination event and a patient safety event. This dual exposure means that every gap identified in this crosswalk carries consequences across two independent liability frameworks.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AI also operates under unique professional regulatory constraints. Medical practice acts prescribe who may exercise clinical judgment. A system that effectively determines diagnosis or treatment selection may raise scope-of-practice questions that extend beyond the institutional delegation analysis ARAF performs. The clinical decision-maker is typically a registered health practitioner subject to personal professional obligations enforced through registration boards, medical councils, and disciplinary tribunals, creating an individual accountability layer that exists independently of — and sometimes in tension with — institutional governance.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seven legal principles mapped in this crosswalk are drawn from the framework developed by Philip Cowdery in the context of insurance AI governance and litigation risk, adapted here for the healthcare sector. The principles reflect established requirements of medical negligence law, health practitioner regulation, anti-discrimination law, and patient rights as they apply to AI-assisted healthcare decision-making.</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1: Obligations ARAF Addresses</w:t>
      </w:r>
    </w:p>
    <w:p>
      <w:pPr>
        <w:pStyle w:val="Heading2"/>
        <w:spacing w:before="360" w:after="120"/>
      </w:pPr>
      <w:r>
        <w:rPr>
          <w:rFonts w:ascii="Libre Baskerville" w:cs="Libre Baskerville" w:eastAsia="Libre Baskerville" w:hAnsi="Libre Baskerville"/>
          <w:b/>
          <w:bCs/>
          <w:color w:val="0d0d0b"/>
          <w:sz w:val="26"/>
          <w:szCs w:val="26"/>
        </w:rPr>
        <w:t xml:space="preserve">1.1 Proper Use of Decision-Making Powers</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Healthcare decision-making authority is governed by professional regulatory frameworks that prescribe who may exercise clinical judgment and under what supervision. In Australia, the Health Practitioner Regulation National Law establishes registration requirements for sixteen health professions through the Australian Health Practitioner Regulation Agency (AHPRA) and profession-specific national boards. Medical practitioners, nurses, pharmacists, and allied health professionals each operate within a defined scope of practice. Delegation of clinical judgment is permitted within defined parameters, but the delegating practitioner retains professional responsibility for the delegated task.</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distinction between clinical decision support (the system provides information, analysis, or recommendations that a registered practitioner uses in forming their clinical judgment) and clinical decision-making (the system determines the diagnosis, treatment, or care pathway) is the threshold question for healthcare AI governance. If the system operates as decision support, the registered practitioner retains clinical authority and professional responsibility. If the system operates as a decision-maker — or if the practitioner invariably follows the system’s recommendation without exercising independent clinical judgment — the system may be functioning outside the scope of practice framework, raising questions about whether the “decision” was made by a person authorised to make it.</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For AI systems classified as medical devices or software as a medical device (SaMD), additional regulatory requirements apply. In Australia, the Therapeutic Goods Administration (TGA) regulates SaMD under the Therapeutic Goods Act 1989 (Cth). In the US, the FDA’s regulatory framework for AI/ML-enabled medical devices includes pre-market pathways (510(k), De Novo, PMA) and the proposed regulatory framework for modifications to AI/ML-based SaMD. In the EU, the Medical Devices Regulation (EU) 2017/745 (MDR) applies to AI systems that meet the definition of a medical device.</w:t>
      </w:r>
    </w:p>
    <w:p>
      <w:pPr>
        <w:spacing w:before="0" w:after="120"/>
      </w:pPr>
      <w:r>
        <w:t xml:space="preserve"/>
      </w:r>
    </w:p>
    <w:p>
      <w:pPr>
        <w:spacing w:before="200" w:after="60"/>
      </w:pPr>
      <w:r>
        <w:rPr>
          <w:rFonts w:ascii="DM Mono" w:cs="DM Mono" w:eastAsia="DM Mono" w:hAnsi="DM Mono"/>
          <w:b/>
          <w:bCs/>
          <w:color w:val="888888"/>
          <w:sz w:val="15"/>
          <w:szCs w:val="15"/>
        </w:rPr>
        <w:t xml:space="preserve">ARAF COVERAGE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D1 (Autonomy Gradient) assesses commitment authority, oversight adequacy, and scope boundary enforcement. The distinction between “supervisory” and “authorial” human oversight maps directly to the clinical decision support vs. clinical decision-maker distinction in healthcare.</w:t>
      </w:r>
    </w:p>
    <w:p>
      <w:pPr>
        <w:spacing w:before="0" w:after="120"/>
      </w:pPr>
      <w:r>
        <w:t xml:space="preserve"/>
      </w:r>
    </w:p>
    <w:p>
      <w:pPr>
        <w:spacing w:before="200" w:after="60"/>
      </w:pPr>
      <w:r>
        <w:rPr>
          <w:rFonts w:ascii="DM Mono" w:cs="DM Mono" w:eastAsia="DM Mono" w:hAnsi="DM Mono"/>
          <w:b/>
          <w:bCs/>
          <w:color w:val="888888"/>
          <w:sz w:val="15"/>
          <w:szCs w:val="15"/>
        </w:rPr>
        <w:t xml:space="preserve">HEALTHCARE ORGANISATION ACTION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Map D1 authority boundaries to the professional regulatory framework governing the relevant clinical decisions. For each AI system used in clinical decision-making, document which registered health practitioner holds clinical authority for the decision the system informs, and ensure the system is deployed as decision support within that practitioner’s scope of practice.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AI systems that may be classified as SaMD, confirm the system’s regulatory status under the applicable framework (TGA, FDA, MDR) before deployment. ARAF’s governance assessment is independent of medical device regulatory compliance; both are required.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D1 scoring must account for professional regulatory constraints. A system operating at high autonomy levels for clinical decisions — where the practitioner’s override rate is near zero and the system’s recommendation is effectively determinative — may score poorly on D1 regardless of the technical quality of the system, because the governance question is whether the practitioner retained and exercised clinical judgment, not whether the system’s recommendation was clinically accurate.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Monitor override rates (the percentage of cases in which the clinician departs from the system’s recommendation) as a governance indicator. A near-zero override rate may indicate that the system is functioning as a decision-maker rather than decision support, which may conflict with the scope-of-practice framework and with D1 governance requirements.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non-clinical healthcare AI (administrative decisions, scheduling, billing, resource allocation), the scope-of-practice constraints are less acute, but the institution retains accountability for the decisions the system produces. D1 assessment applies to these systems in the same way as any other sector.</w:t>
      </w:r>
    </w:p>
    <w:p>
      <w:pPr>
        <w:spacing w:before="0" w:after="200"/>
      </w:pPr>
      <w:r>
        <w:t xml:space="preserve"/>
      </w:r>
    </w:p>
    <w:p>
      <w:pPr>
        <w:spacing w:before="200" w:after="60"/>
      </w:pPr>
      <w:r>
        <w:rPr>
          <w:rFonts w:ascii="DM Mono" w:cs="DM Mono" w:eastAsia="DM Mono" w:hAnsi="DM Mono"/>
          <w:b/>
          <w:bCs/>
          <w:color w:val="888888"/>
          <w:sz w:val="15"/>
          <w:szCs w:val="15"/>
        </w:rPr>
        <w:t xml:space="preserve">REGULATORY INDEPENDENCE STATEMENT</w:t>
      </w:r>
    </w:p>
    <w:p>
      <w:pPr>
        <w:spacing w:before="0" w:after="120"/>
      </w:pPr>
      <w:r>
        <w:t xml:space="preserve"/>
      </w:r>
    </w:p>
    <w:p>
      <w:pPr>
        <w:pBdr>
          <w:left w:val="single" w:color="A88644" w:sz="6" w:space="8"/>
        </w:pBdr>
        <w:spacing w:before="0" w:after="100"/>
        <w:ind w:left="720" w:right="360"/>
      </w:pPr>
      <w:r>
        <w:rPr>
          <w:rFonts w:ascii="Libre Baskerville" w:cs="Libre Baskerville" w:eastAsia="Libre Baskerville" w:hAnsi="Libre Baskerville"/>
          <w:color w:val="0d0d0b"/>
          <w:sz w:val="19"/>
          <w:szCs w:val="19"/>
        </w:rPr>
        <w:t xml:space="preserve">ARAF assessment is independent of, and does not satisfy, constitute, or contribute to compliance with, medical device regulatory requirements under the Therapeutic Goods Act 1989 (Cth) and TGA regulatory framework, the US Federal Food, Drug, and Cosmetic Act and FDA regulatory framework for AI/ML-enabled medical devices, or Regulation (EU) 2017/745 (Medical Devices Regulation). ARAF does not assess clinical safety, clinical efficacy, intended use validation, or any other parameter within the scope of medical device pre-market or post-market regulatory requirements.</w:t>
      </w:r>
    </w:p>
    <w:p>
      <w:pPr>
        <w:pBdr>
          <w:left w:val="single" w:color="A88644" w:sz="6" w:space="8"/>
        </w:pBdr>
        <w:spacing w:before="0" w:after="100"/>
        <w:ind w:left="720" w:right="360"/>
      </w:pPr>
      <w:r>
        <w:rPr>
          <w:rFonts w:ascii="Libre Baskerville" w:cs="Libre Baskerville" w:eastAsia="Libre Baskerville" w:hAnsi="Libre Baskerville"/>
          <w:color w:val="0d0d0b"/>
          <w:sz w:val="19"/>
          <w:szCs w:val="19"/>
        </w:rPr>
        <w:t xml:space="preserve">A decision system that holds ARAF certification and that is also classified as a medical device or software as a medical device must independently satisfy all applicable medical device regulatory requirements. ARAF certification does not modify, reduce, or inform the regulatory obligations applicable to the device.</w:t>
      </w:r>
    </w:p>
    <w:p>
      <w:pPr>
        <w:pBdr>
          <w:left w:val="single" w:color="A88644" w:sz="6" w:space="8"/>
        </w:pBdr>
        <w:spacing w:before="0" w:after="100"/>
        <w:ind w:left="720" w:right="360"/>
      </w:pPr>
      <w:r>
        <w:rPr>
          <w:rFonts w:ascii="Libre Baskerville" w:cs="Libre Baskerville" w:eastAsia="Libre Baskerville" w:hAnsi="Libre Baskerville"/>
          <w:color w:val="0d0d0b"/>
          <w:sz w:val="19"/>
          <w:szCs w:val="19"/>
        </w:rPr>
        <w:t xml:space="preserve">Healthcare organisations should not represent ARAF certification to regulators, clinicians, or patients as evidence of medical device regulatory compliance.</w:t>
      </w:r>
    </w:p>
    <w:p>
      <w:pPr>
        <w:spacing w:before="0" w:after="32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1.2 Ability to Reconstruct the Decision</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Clinical documentation standards are among the most demanding of any sector. Medical records legislation in every Australian jurisdiction requires contemporaneous, accurate, and comprehensive documentation of clinical care. Professional body guidelines (Royal Australian College of General Practitioners, specialist medical colleges, Nursing and Midwifery Board of Australia) impose additional documentation standards. Health complaints commissions, coronial inquiries, medical disciplinary proceedings, and medical negligence litigation all require the treating practitioner or the health service to produce the clinical record for the relevant episode of care. The clinical record must document the clinical reasoning, the information relied on, the decision made, and the identity of the decision-maker.</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Where AI participates in clinical decision-making, the clinical record must capture the AI system’s contribution: what the system recommended, what data it relied on, and how the clinician engaged with the recommendation. A clinical record that documents only the final decision without recording the AI system’s role in forming that decision may be inadequate for a coronial inquiry or disciplinary proceeding that needs to understand whether the clinician exercised independent judgment or merely endorsed an automated output.</w:t>
      </w:r>
    </w:p>
    <w:p>
      <w:pPr>
        <w:spacing w:before="0" w:after="120"/>
      </w:pPr>
      <w:r>
        <w:t xml:space="preserve"/>
      </w:r>
    </w:p>
    <w:p>
      <w:pPr>
        <w:spacing w:before="200" w:after="60"/>
      </w:pPr>
      <w:r>
        <w:rPr>
          <w:rFonts w:ascii="DM Mono" w:cs="DM Mono" w:eastAsia="DM Mono" w:hAnsi="DM Mono"/>
          <w:b/>
          <w:bCs/>
          <w:color w:val="888888"/>
          <w:sz w:val="15"/>
          <w:szCs w:val="15"/>
        </w:rPr>
        <w:t xml:space="preserve">ARAF COVERAGE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EIS-01’s reconstructability standard and evidence tier hierarchy align with clinical documentation requirements. The distinction between governance telemetry and engineering telemetry ensures the governance record captures who held clinical authority and whether oversight operated — the questions a coroner, health complaints commissioner, or medical board will ask.</w:t>
      </w:r>
    </w:p>
    <w:p>
      <w:pPr>
        <w:spacing w:before="0" w:after="120"/>
      </w:pPr>
      <w:r>
        <w:t xml:space="preserve"/>
      </w:r>
    </w:p>
    <w:p>
      <w:pPr>
        <w:spacing w:before="200" w:after="60"/>
      </w:pPr>
      <w:r>
        <w:rPr>
          <w:rFonts w:ascii="DM Mono" w:cs="DM Mono" w:eastAsia="DM Mono" w:hAnsi="DM Mono"/>
          <w:b/>
          <w:bCs/>
          <w:color w:val="888888"/>
          <w:sz w:val="15"/>
          <w:szCs w:val="15"/>
        </w:rPr>
        <w:t xml:space="preserve">HEALTHCARE ORGANISATION ACTION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Integrate AI system outputs and governance telemetry into the clinical record for each patient encounter in which AI participated. The AI system’s recommendation, the data it relied on, and the clinician’s engagement with the recommendation should be documented in the clinical record, not only in a separate governance telemetry system.</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Healthcare reconstructability requirements operate at the individual patient encounter level (what happened with this patient on this occasion), while ARAF’s reconstructability operates at the decision system level (how the system was governed across all decisions). Both are required. The clinical record addresses the first; ARAF governance telemetry addresses the second.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AI systems classified as SaMD, maintain the device traceability records required by the applicable medical device regulatory framework (TGA, FDA, MDR) alongside ARAF governance evidence. These are independent requirements; compliance with one does not satisfy the other.</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Ensure clinical records are producible in the formats required by health complaints commissions, coronial courts, medical boards, and courts exercising jurisdiction over medical negligence claims.</w:t>
      </w:r>
    </w:p>
    <w:p>
      <w:pPr>
        <w:spacing w:before="0" w:after="32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1.3 Reliability of Evidence</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Health data quality requirements are among the most stringent of any sector. The Privacy Act 1988 (Cth) Australian Privacy Principles, particularly APP 10 (quality of personal information), require that organisations take reasonable steps to ensure personal information is accurate, up-to-date, complete, and relevant. Health records legislation in each state and territory imposes additional accuracy requirements. For AI systems classified as SaMD, the applicable medical device regulatory framework imposes data quality requirements for training data, validation data, and operational data.</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AI systems in healthcare may rely on electronic health record data, medical imaging data, pathology results, genomic data, wearable device data, population health datasets, and clinical trial data. Each data category carries its own quality, consent, and provenance requirements. Training data that is unrepresentative of the patient population the system serves may produce unreliable outputs for patients outside the training distribution.</w:t>
      </w:r>
    </w:p>
    <w:p>
      <w:pPr>
        <w:spacing w:before="0" w:after="120"/>
      </w:pPr>
      <w:r>
        <w:t xml:space="preserve"/>
      </w:r>
    </w:p>
    <w:p>
      <w:pPr>
        <w:spacing w:before="200" w:after="60"/>
      </w:pPr>
      <w:r>
        <w:rPr>
          <w:rFonts w:ascii="DM Mono" w:cs="DM Mono" w:eastAsia="DM Mono" w:hAnsi="DM Mono"/>
          <w:b/>
          <w:bCs/>
          <w:color w:val="888888"/>
          <w:sz w:val="15"/>
          <w:szCs w:val="15"/>
        </w:rPr>
        <w:t xml:space="preserve">ARAF COVERAGE</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D2 (Data Sensitivity Exposure) assesses operational data sensitivity and training data provenance. The Decision Supply Chain Data Inputs stage requires data provenance, consent basis, and quality controls.</w:t>
      </w:r>
    </w:p>
    <w:p>
      <w:pPr>
        <w:spacing w:before="0" w:after="120"/>
      </w:pPr>
      <w:r>
        <w:t xml:space="preserve"/>
      </w:r>
    </w:p>
    <w:p>
      <w:pPr>
        <w:spacing w:before="200" w:after="60"/>
      </w:pPr>
      <w:r>
        <w:rPr>
          <w:rFonts w:ascii="DM Mono" w:cs="DM Mono" w:eastAsia="DM Mono" w:hAnsi="DM Mono"/>
          <w:b/>
          <w:bCs/>
          <w:color w:val="888888"/>
          <w:sz w:val="15"/>
          <w:szCs w:val="15"/>
        </w:rPr>
        <w:t xml:space="preserve">HEALTHCARE ORGANISATION ACTION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Map D2 assessment to the specific health data governance requirements applicable to each data category the AI system uses: APP 10 for personal health information, health records legislation for clinical data, TGA requirements for SaMD training and validation data.</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Assess training data representativeness against the patient population the system will serve. Where the training data does not adequately represent the demographics of the patient population (age, sex, ethnicity, comorbidity profiles), document the limitation and implement monitoring for differential performance across patient subgroups.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AI systems that ingest data from external sources (population health databases, commercial health analytics, wearable device data), document the provenance, consent basis, and reliability assessment of each source.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Consent architecture: ensure the consent basis for using patient data to train or operate AI systems is consistent with the APPs and any applicable health records legislation. Secondary use of health data for AI training may require specific consent or a public interest determination.</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2: Obligations ARAF Partially Supports</w:t>
      </w:r>
    </w:p>
    <w:p>
      <w:pPr>
        <w:pStyle w:val="Heading2"/>
        <w:spacing w:before="360" w:after="120"/>
      </w:pPr>
      <w:r>
        <w:rPr>
          <w:rFonts w:ascii="Libre Baskerville" w:cs="Libre Baskerville" w:eastAsia="Libre Baskerville" w:hAnsi="Libre Baskerville"/>
          <w:b/>
          <w:bCs/>
          <w:color w:val="0d0d0b"/>
          <w:sz w:val="26"/>
          <w:szCs w:val="26"/>
        </w:rPr>
        <w:t xml:space="preserve">2.1 Procedural Fairness</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Healthcare procedural fairness operates through four distinct obligation channels, each with different legal sources and different AI-specific failure modes.</w:t>
      </w:r>
    </w:p>
    <w:p>
      <w:pPr>
        <w:spacing w:before="0" w:after="160"/>
      </w:pPr>
      <w:r>
        <w:t xml:space="preserve"/>
      </w:r>
    </w:p>
    <w:p>
      <w:pPr>
        <w:spacing w:before="240" w:after="80"/>
      </w:pPr>
      <w:r>
        <w:rPr>
          <w:rFonts w:ascii="Libre Baskerville" w:cs="Libre Baskerville" w:eastAsia="Libre Baskerville" w:hAnsi="Libre Baskerville"/>
          <w:b/>
          <w:bCs/>
          <w:color w:val="0d0d0b"/>
          <w:sz w:val="21"/>
          <w:szCs w:val="21"/>
        </w:rPr>
        <w:t xml:space="preserve">Channel 1: Informed consent for clinical decisions</w:t>
      </w:r>
    </w:p>
    <w:p>
      <w:pPr>
        <w:spacing w:before="0" w:after="120"/>
      </w:pPr>
      <w:r>
        <w:rPr>
          <w:rFonts w:ascii="Libre Baskerville" w:cs="Libre Baskerville" w:eastAsia="Libre Baskerville" w:hAnsi="Libre Baskerville"/>
          <w:color w:val="0d0d0b"/>
          <w:sz w:val="20"/>
          <w:szCs w:val="20"/>
        </w:rPr>
        <w:t xml:space="preserve">The common law of informed consent (established in Australia by Rogers v Whitaker (1992) 175 CLR 479) requires that a medical practitioner disclose material risks and alternative treatments to the patient, and that the patient’s consent to treatment be based on adequate information. Where an AI system contributes to a clinical recommendation, the patient’s informed consent may require disclosure that AI was used, what role it played, and what its limitations are.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informed consent obligation does not require disclosure of every tool the clinician uses. It requires disclosure of information material to the patient’s decision. Whether AI participation in a clinical recommendation is “material” depends on the specific context: how significant the AI system’s contribution was to the recommendation, whether the system has known limitations relevant to this patient, and whether a reasonable patient in the patient’s position would want to know about the AI system’s role. The disclosure obligation scales with the materiality of the AI system’s contribution to the clinical recommendation the patient is being asked to consent to.</w:t>
      </w:r>
    </w:p>
    <w:p>
      <w:pPr>
        <w:spacing w:before="0" w:after="120"/>
      </w:pPr>
      <w:r>
        <w:t xml:space="preserve"/>
      </w:r>
    </w:p>
    <w:p>
      <w:pPr>
        <w:pBdr>
          <w:left w:val="single" w:color="A88644" w:sz="4" w:space="8"/>
        </w:pBdr>
        <w:spacing w:before="120" w:after="40"/>
        <w:ind w:left="720"/>
      </w:pPr>
      <w:r>
        <w:rPr>
          <w:rFonts w:ascii="DM Mono" w:cs="DM Mono" w:eastAsia="DM Mono" w:hAnsi="DM Mono"/>
          <w:b/>
          <w:bCs/>
          <w:color w:val="A88644"/>
          <w:sz w:val="14"/>
          <w:szCs w:val="14"/>
        </w:rPr>
        <w:t xml:space="preserve">FAILURE SCENARIO</w:t>
      </w:r>
    </w:p>
    <w:p>
      <w:pPr>
        <w:pBdr>
          <w:left w:val="single" w:color="A88644" w:sz="4" w:space="8"/>
        </w:pBdr>
        <w:spacing w:before="0" w:after="80"/>
        <w:ind w:left="720" w:right="360"/>
      </w:pPr>
      <w:r>
        <w:rPr>
          <w:rFonts w:ascii="Libre Baskerville" w:cs="Libre Baskerville" w:eastAsia="Libre Baskerville" w:hAnsi="Libre Baskerville"/>
          <w:i/>
          <w:iCs/>
          <w:color w:val="0d0d0b"/>
          <w:sz w:val="18"/>
          <w:szCs w:val="18"/>
        </w:rPr>
        <w:t xml:space="preserve">A diagnostic AI system produces a recommendation for a surgical intervention. The clinician presents the recommendation to the patient and obtains informed consent for the surgery without disclosing that the diagnostic recommendation was generated by an AI system with a known lower sensitivity for the patient’s demographic group. The surgery is performed. The original diagnosis is later found to be incorrect. In the negligence claim, the patient argues that had they known the diagnostic recommendation came from an AI system with known limitations for their demographic, they would have sought a second opinion before consenting to surgery. The court applies the Rogers v Whitaker standard: would a reasonable patient in the patient’s position have wanted to know this information? If the answer is yes, the failure to disclose was a breach of the informed consent obligation.</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 — TIERED DISCLOSURE</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Tier 1 (routine disclosure): </w:t>
      </w:r>
      <w:r>
        <w:rPr>
          <w:rFonts w:ascii="Libre Baskerville" w:cs="Libre Baskerville" w:eastAsia="Libre Baskerville" w:hAnsi="Libre Baskerville"/>
          <w:color w:val="0d0d0b"/>
          <w:sz w:val="20"/>
          <w:szCs w:val="20"/>
        </w:rPr>
        <w:t xml:space="preserve">For all clinical encounters in which AI contributes to the clinical recommendation, include a standard notification in the patient information materials that the health service uses AI-assisted decision support tools, and that all AI recommendations are reviewed by the treating clinician.</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Tier 2 (specific disclosure): </w:t>
      </w:r>
      <w:r>
        <w:rPr>
          <w:rFonts w:ascii="Libre Baskerville" w:cs="Libre Baskerville" w:eastAsia="Libre Baskerville" w:hAnsi="Libre Baskerville"/>
          <w:color w:val="0d0d0b"/>
          <w:sz w:val="20"/>
          <w:szCs w:val="20"/>
        </w:rPr>
        <w:t xml:space="preserve">Where the AI system’s contribution is material to the specific clinical recommendation being presented to the patient, the clinician should disclose the AI system’s role, its known limitations, and the clinician’s independent assessment. This disclosure should be documented in the clinical record.</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Tier 3 (enhanced disclosure): </w:t>
      </w:r>
      <w:r>
        <w:rPr>
          <w:rFonts w:ascii="Libre Baskerville" w:cs="Libre Baskerville" w:eastAsia="Libre Baskerville" w:hAnsi="Libre Baskerville"/>
          <w:color w:val="0d0d0b"/>
          <w:sz w:val="20"/>
          <w:szCs w:val="20"/>
        </w:rPr>
        <w:t xml:space="preserve">Where the AI system has known limitations relevant to the specific patient (the system has not been validated for the patient’s demographic group, the patient’s clinical presentation is atypical for the system’s training data, the system’s recommendation conflicts with the clinician’s independent assessment), the clinician should disclose these specific limitations and discuss them with the patient before the patient makes their decision.</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Channel 2: Shared decision-making</w:t>
      </w:r>
    </w:p>
    <w:p>
      <w:pPr>
        <w:spacing w:before="0" w:after="120"/>
      </w:pPr>
      <w:r>
        <w:rPr>
          <w:rFonts w:ascii="Libre Baskerville" w:cs="Libre Baskerville" w:eastAsia="Libre Baskerville" w:hAnsi="Libre Baskerville"/>
          <w:color w:val="0d0d0b"/>
          <w:sz w:val="20"/>
          <w:szCs w:val="20"/>
        </w:rPr>
        <w:t xml:space="preserve">Shared decision-making is distinct from informed consent. Informed consent is about disclosure: the patient receives information and decides whether to proceed. Shared decision-making is about participation: the patient and clinician work together to reach a decision that reflects both clinical evidence and the patient’s values, preferences, and circumstances. The Australian Charter of Healthcare Rights provides that patients have the right to be included in decisions and choices about their care.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AI systems can support or undermine shared decision-making. A system that produces a single recommendation may narrow the clinical conversation to a binary accept/reject decision, foreclosing the exploration of alternatives that shared decision-making requires. A system that presents a range of options with associated evidence, risks, and outcomes supports shared decision-making by giving the clinician and patient a richer basis for discussion.</w:t>
      </w:r>
    </w:p>
    <w:p>
      <w:pPr>
        <w:spacing w:before="0" w:after="120"/>
      </w:pPr>
      <w:r>
        <w:t xml:space="preserve"/>
      </w:r>
    </w:p>
    <w:p>
      <w:pPr>
        <w:pBdr>
          <w:left w:val="single" w:color="A88644" w:sz="4" w:space="8"/>
        </w:pBdr>
        <w:spacing w:before="120" w:after="40"/>
        <w:ind w:left="720"/>
      </w:pPr>
      <w:r>
        <w:rPr>
          <w:rFonts w:ascii="DM Mono" w:cs="DM Mono" w:eastAsia="DM Mono" w:hAnsi="DM Mono"/>
          <w:b/>
          <w:bCs/>
          <w:color w:val="A88644"/>
          <w:sz w:val="14"/>
          <w:szCs w:val="14"/>
        </w:rPr>
        <w:t xml:space="preserve">FAILURE SCENARIO</w:t>
      </w:r>
    </w:p>
    <w:p>
      <w:pPr>
        <w:pBdr>
          <w:left w:val="single" w:color="A88644" w:sz="4" w:space="8"/>
        </w:pBdr>
        <w:spacing w:before="0" w:after="80"/>
        <w:ind w:left="720" w:right="360"/>
      </w:pPr>
      <w:r>
        <w:rPr>
          <w:rFonts w:ascii="Libre Baskerville" w:cs="Libre Baskerville" w:eastAsia="Libre Baskerville" w:hAnsi="Libre Baskerville"/>
          <w:i/>
          <w:iCs/>
          <w:color w:val="0d0d0b"/>
          <w:sz w:val="18"/>
          <w:szCs w:val="18"/>
        </w:rPr>
        <w:t xml:space="preserve">An AI clinical decision support system recommends a specific treatment protocol for a patient with a chronic condition. The system presents the recommendation as a single output without identifying alternatives. The clinician presents the recommendation to the patient as “the recommended treatment.” The patient accepts. An alternative treatment with fewer side effects and comparable efficacy existed but was not discussed because the system did not surface it and the clinician relied on the system’s single-option output. The patient later learns of the alternative and complains to the health complaints commission, arguing they were not given the opportunity to participate in the choice between treatment options.</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Configure AI clinical decision support systems to present a range of clinically appropriate options (where multiple options exist), not a single recommendation. Each option should include the associated evidence, expected outcomes, risks, and contraindications.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the system produces a single recommendation, require the clinician to document in the clinical record that they considered alternatives and the reasons the recommended option was selected over alternatives.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Train clinicians to use AI system outputs as a starting point for shared decision-making conversations, not as a conclusion to be presented to the patient for acceptance.</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Channel 3: Right to human-only assessment</w:t>
      </w:r>
    </w:p>
    <w:p>
      <w:pPr>
        <w:spacing w:before="0" w:after="120"/>
      </w:pPr>
      <w:r>
        <w:rPr>
          <w:rFonts w:ascii="Libre Baskerville" w:cs="Libre Baskerville" w:eastAsia="Libre Baskerville" w:hAnsi="Libre Baskerville"/>
          <w:color w:val="0d0d0b"/>
          <w:sz w:val="20"/>
          <w:szCs w:val="20"/>
        </w:rPr>
        <w:t xml:space="preserve">The question of whether patients have a right to refuse AI participation in their clinical care is unsettled in most jurisdictions. No Australian statute or court decision has directly addressed whether a patient can require a clinician to make a clinical decision without AI assistance. The question is likely to arise, and healthcare organisations should anticipate it.</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stronger position is to offer patients the option of human-only assessment where clinically feasible, for two reasons. First, the informed consent framework implies a right to refuse: if AI participation in a clinical recommendation is material information the patient is entitled to receive, the patient’s autonomy includes the right to decline care that relies on AI if the patient has a reasonable basis for that preference. Second, offering the option pre-empts the complaint and reduces the risk that AI participation becomes a litigation issue.</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Establish a documented pathway through which patients can request that a clinical decision be made without AI assistance. The pathway should specify: how the request is made; how the request is documented in the clinical record; what happens operationally; and any limitations on the option.</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a patient requests human-only assessment and the request is clinically feasible, honour it without requiring the patient to justify their preference.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a patient requests human-only assessment and the request is not clinically feasible (for example, the AI system is embedded in the imaging equipment and there is no non-AI alternative available at the facility), explain the limitation to the patient and document the conversation.</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Channel 4: Health insurer coverage determinations</w:t>
      </w:r>
    </w:p>
    <w:p>
      <w:pPr>
        <w:spacing w:before="0" w:after="120"/>
      </w:pPr>
      <w:r>
        <w:rPr>
          <w:rFonts w:ascii="Libre Baskerville" w:cs="Libre Baskerville" w:eastAsia="Libre Baskerville" w:hAnsi="Libre Baskerville"/>
          <w:color w:val="0d0d0b"/>
          <w:sz w:val="20"/>
          <w:szCs w:val="20"/>
        </w:rPr>
        <w:t xml:space="preserve">Where the healthcare organisation is a health insurer (or operates a health insurance function within a broader health system), AI-assisted coverage and benefit determinations carry the same procedural fairness obligations as insurance decisions generally. The ARAF Insurance Underwriting Crosswalk applies in full. Two additional considerations are specific to health insurance.</w:t>
      </w:r>
    </w:p>
    <w:p>
      <w:pPr>
        <w:spacing w:before="0" w:after="120"/>
      </w:pPr>
      <w:r>
        <w:t xml:space="preserve"/>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Urgency and clinical impact. </w:t>
      </w:r>
      <w:r>
        <w:rPr>
          <w:rFonts w:ascii="Libre Baskerville" w:cs="Libre Baskerville" w:eastAsia="Libre Baskerville" w:hAnsi="Libre Baskerville"/>
          <w:color w:val="0d0d0b"/>
          <w:sz w:val="20"/>
          <w:szCs w:val="20"/>
        </w:rPr>
        <w:t xml:space="preserve">A coverage denial for a time-sensitive treatment (emergency care, cancer treatment, surgical intervention) has immediate clinical consequences that a property insurance claim denial does not. The procedural fairness framework must account for urgency: pre-decision notice and opportunity to respond must not delay clinically necessary care. Where the coverage determination is time-sensitive, the insurer should implement expedited review processes that preserve the affected person’s procedural fairness rights without compromising clinical timelines.</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Clinical evidence engagement. </w:t>
      </w:r>
      <w:r>
        <w:rPr>
          <w:rFonts w:ascii="Libre Baskerville" w:cs="Libre Baskerville" w:eastAsia="Libre Baskerville" w:hAnsi="Libre Baskerville"/>
          <w:color w:val="0d0d0b"/>
          <w:sz w:val="20"/>
          <w:szCs w:val="20"/>
        </w:rPr>
        <w:t xml:space="preserve">Where the AI system recommends denial of a coverage claim, and the treating clinician has provided clinical information supporting the claim, the human reviewer must demonstrate they engaged with the clinical evidence, not merely endorsed the system’s recommendation. A coverage denial that is inconsistent with the treating clinician’s evidence is vulnerable on reasonableness grounds and may also fail the procedural fairness test if the treating clinician’s evidence was not genuinely considered.</w:t>
      </w:r>
    </w:p>
    <w:p>
      <w:pPr>
        <w:spacing w:before="0" w:after="120"/>
      </w:pPr>
      <w:r>
        <w:t xml:space="preserve"/>
      </w:r>
    </w:p>
    <w:p>
      <w:pPr>
        <w:spacing w:before="200" w:after="60"/>
      </w:pPr>
      <w:r>
        <w:rPr>
          <w:rFonts w:ascii="DM Mono" w:cs="DM Mono" w:eastAsia="DM Mono" w:hAnsi="DM Mono"/>
          <w:b/>
          <w:bCs/>
          <w:color w:val="888888"/>
          <w:sz w:val="15"/>
          <w:szCs w:val="15"/>
        </w:rPr>
        <w:t xml:space="preserve">WHAT ARAF COVERS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D1’s oversight adequacy assessment addresses whether the clinician or institutional decision-maker retained meaningful authority. EIS-01’s reconstructability ensures the reasoning chain can be recovered.</w:t>
      </w:r>
    </w:p>
    <w:p>
      <w:pPr>
        <w:spacing w:before="0" w:after="120"/>
      </w:pPr>
      <w:r>
        <w:t xml:space="preserve"/>
      </w:r>
    </w:p>
    <w:p>
      <w:pPr>
        <w:spacing w:before="200" w:after="60"/>
      </w:pPr>
      <w:r>
        <w:rPr>
          <w:rFonts w:ascii="DM Mono" w:cs="DM Mono" w:eastAsia="DM Mono" w:hAnsi="DM Mono"/>
          <w:b/>
          <w:bCs/>
          <w:color w:val="888888"/>
          <w:sz w:val="15"/>
          <w:szCs w:val="15"/>
        </w:rPr>
        <w:t xml:space="preserve">WHAT ARAF DOES NOT COVER</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ARAF does not assess whether the patient received adequate informed consent disclosure, whether the patient was included in the decision-making process, or whether the patient was informed about the AI system’s role in the clinical recommendation. These are obligations owed to the patient under the common law of informed consent, the Australian Charter of Healthcare Rights, and professional ethical standards.</w:t>
      </w:r>
    </w:p>
    <w:p>
      <w:pPr>
        <w:spacing w:before="0" w:after="32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2.2 Transparency and Explainability</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Clinicians have a professional duty to explain diagnosis and treatment rationale to patients in terms the patient can understand. This duty exists independently of whether AI contributed to the clinical reasoning. Where AI did contribute, the clinician must be able to articulate the basis for the recommendation in clinical terms. A clinician who cannot explain why they are recommending a particular treatment — because the recommendation was produced by a system they do not fully understand — may be unable to satisfy the informed consent standard. For AI systems classified as SaMD, the applicable regulatory framework may impose specific labelling and transparency requirements.</w:t>
      </w:r>
    </w:p>
    <w:p>
      <w:pPr>
        <w:spacing w:before="0" w:after="160"/>
      </w:pPr>
      <w:r>
        <w:t xml:space="preserve"/>
      </w:r>
    </w:p>
    <w:p>
      <w:pPr>
        <w:spacing w:before="240" w:after="80"/>
      </w:pPr>
      <w:r>
        <w:rPr>
          <w:rFonts w:ascii="Libre Baskerville" w:cs="Libre Baskerville" w:eastAsia="Libre Baskerville" w:hAnsi="Libre Baskerville"/>
          <w:b/>
          <w:bCs/>
          <w:color w:val="0d0d0b"/>
          <w:sz w:val="21"/>
          <w:szCs w:val="21"/>
        </w:rPr>
        <w:t xml:space="preserve">Problem 1: Clinician interpretability</w:t>
      </w:r>
    </w:p>
    <w:p>
      <w:pPr>
        <w:spacing w:before="0" w:after="120"/>
      </w:pPr>
      <w:r>
        <w:rPr>
          <w:rFonts w:ascii="Libre Baskerville" w:cs="Libre Baskerville" w:eastAsia="Libre Baskerville" w:hAnsi="Libre Baskerville"/>
          <w:color w:val="0d0d0b"/>
          <w:sz w:val="20"/>
          <w:szCs w:val="20"/>
        </w:rPr>
        <w:t xml:space="preserve">The requirement that AI outputs be interpretable to clinicians has a specific meaning in healthcare: the clinician must be able to understand why the system produced the recommendation it did, in clinical terms, with sufficient depth to form an independent clinical view and to explain the reasoning to the patient. This requires more than a confidence score or a ranked list of differential diagnoses. It requires the system to surface the clinical features driving the recommendation.</w:t>
      </w:r>
    </w:p>
    <w:p>
      <w:pPr>
        <w:spacing w:before="0" w:after="120"/>
      </w:pPr>
      <w:r>
        <w:t xml:space="preserve"/>
      </w:r>
    </w:p>
    <w:p>
      <w:pPr>
        <w:pBdr>
          <w:left w:val="single" w:color="A88644" w:sz="4" w:space="8"/>
        </w:pBdr>
        <w:spacing w:before="120" w:after="40"/>
        <w:ind w:left="720"/>
      </w:pPr>
      <w:r>
        <w:rPr>
          <w:rFonts w:ascii="DM Mono" w:cs="DM Mono" w:eastAsia="DM Mono" w:hAnsi="DM Mono"/>
          <w:b/>
          <w:bCs/>
          <w:color w:val="A88644"/>
          <w:sz w:val="14"/>
          <w:szCs w:val="14"/>
        </w:rPr>
        <w:t xml:space="preserve">FAILURE SCENARIO</w:t>
      </w:r>
    </w:p>
    <w:p>
      <w:pPr>
        <w:pBdr>
          <w:left w:val="single" w:color="A88644" w:sz="4" w:space="8"/>
        </w:pBdr>
        <w:spacing w:before="0" w:after="80"/>
        <w:ind w:left="720" w:right="360"/>
      </w:pPr>
      <w:r>
        <w:rPr>
          <w:rFonts w:ascii="Libre Baskerville" w:cs="Libre Baskerville" w:eastAsia="Libre Baskerville" w:hAnsi="Libre Baskerville"/>
          <w:i/>
          <w:iCs/>
          <w:color w:val="0d0d0b"/>
          <w:sz w:val="18"/>
          <w:szCs w:val="18"/>
        </w:rPr>
        <w:t xml:space="preserve">A radiology AI system flags a chest X-ray as showing a pulmonary nodule with a 93% malignancy probability. The radiologist agrees with the finding and reports the result. The referring clinician discusses the finding with the patient, who asks why the probability of malignancy is so high. Neither the radiologist nor the referring clinician can explain what features of the nodule drove the 93% probability score, because the system does not surface its reasoning. The patient requests a second opinion. The second radiologist, reviewing the image without AI assistance, assesses the nodule as likely benign based on morphological features the AI system did not highlight. The patient avoids unnecessary invasive investigation.</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Require that clinical AI systems produce explanation outputs alongside recommendations: the clinical features driving the recommendation, the data inputs that were most influential, and any flags indicating uncertainty or limitation. For imaging AI, this may include attention maps or feature highlighting. For clinical decision support, this may include the key variables and their contribution to the recommendation.</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Establish a minimum interpretability standard: the clinician must be able to answer the question “why did the system recommend this?” in clinical terms. If the clinician cannot answer this question, the system’s output should not be relied upon as the basis for a clinical recommendation to the patient.</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Include interpretability assessment in the clinical validation process. A system that is clinically accurate but not interpretable to clinicians may be unsuitable for clinical decision support because it undermines the clinician’s ability to exercise independent judgment and to explain the recommendation to the patient.</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Problem 2: The explanation translation gap</w:t>
      </w:r>
    </w:p>
    <w:p>
      <w:pPr>
        <w:spacing w:before="0" w:after="120"/>
      </w:pPr>
      <w:r>
        <w:rPr>
          <w:rFonts w:ascii="Libre Baskerville" w:cs="Libre Baskerville" w:eastAsia="Libre Baskerville" w:hAnsi="Libre Baskerville"/>
          <w:color w:val="0d0d0b"/>
          <w:sz w:val="20"/>
          <w:szCs w:val="20"/>
        </w:rPr>
        <w:t xml:space="preserve">Even where the AI system’s output is interpretable to the clinician, a translation gap may exist between the clinician’s understanding and the patient’s understanding. The clinician may understand that the system identified a particular pattern in the data; the patient needs to understand what that means for their health, their treatment options, and their prognosis. This translation is the clinician’s responsibility, but the AI system’s design can support or hinder it.</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Develop patient-facing explanation materials for each category of clinical AI system the organisation uses. These materials should explain in plain language: what the AI system does; what role it plays in the clinical decision; what its limitations are; and that the treating clinician has reviewed and endorsed any recommendation the system produced.</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high-impact clinical decisions (cancer diagnosis, surgical recommendations, treatment discontinuation), develop specific explanation frameworks that clinicians can use to communicate AI-assisted findings to patients. The frameworks should address: the finding itself; the AI system’s contribution; the clinician’s independent assessment; the patient’s options; and the patient’s right to ask questions or seek a second opinion.</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Test patient-facing materials with consumer health literacy assessments. Materials that are comprehensible to clinicians or compliance teams may not be comprehensible to patients with low health literacy, patients from non-English-speaking backgrounds, or patients in acute clinical situations where cognitive capacity is reduced.</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Problem 3: SaMD labelling and the regulatory transparency layer</w:t>
      </w:r>
    </w:p>
    <w:p>
      <w:pPr>
        <w:spacing w:before="0" w:after="120"/>
      </w:pPr>
      <w:r>
        <w:rPr>
          <w:rFonts w:ascii="Libre Baskerville" w:cs="Libre Baskerville" w:eastAsia="Libre Baskerville" w:hAnsi="Libre Baskerville"/>
          <w:color w:val="0d0d0b"/>
          <w:sz w:val="20"/>
          <w:szCs w:val="20"/>
        </w:rPr>
        <w:t xml:space="preserve">For AI systems classified as SaMD, the applicable medical device regulatory framework imposes specific transparency requirements through the device’s labelling (instructions for use, intended use statement, performance data, warnings, and limitations). These requirements are independent of ARAF and independent of the clinician’s informed consent obligations, but they inform both: the SaMD labelling tells the clinician what the system is designed to do and where its limitations lie, which in turn informs the clinician’s assessment of the system’s output and the disclosure the clinician provides to the patient.</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Ensure SaMD labelling is accessible to clinicians at the point of care (not buried in a regulatory file). The intended use statement, known limitations, and conditions of validation should be available in the clinical workflow where the clinician interacts with the system’s output.</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the SaMD labelling identifies limitations relevant to the patient (the system has not been validated for the patient’s age group, the system’s performance degrades for certain imaging modalities), ensure the clinician is alerted to these limitations at the point of use.</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Maintain a register of all SaMD in clinical use, with the current labelling, regulatory status, and any post-market safety communications. This register should be accessible to the clinical governance team and should be reviewed when ARAF reassessment is triggered by a model update or scope change.</w:t>
      </w:r>
    </w:p>
    <w:p>
      <w:pPr>
        <w:spacing w:before="0" w:after="120"/>
      </w:pPr>
      <w:r>
        <w:t xml:space="preserve"/>
      </w:r>
    </w:p>
    <w:p>
      <w:pPr>
        <w:spacing w:before="200" w:after="60"/>
      </w:pPr>
      <w:r>
        <w:rPr>
          <w:rFonts w:ascii="DM Mono" w:cs="DM Mono" w:eastAsia="DM Mono" w:hAnsi="DM Mono"/>
          <w:b/>
          <w:bCs/>
          <w:color w:val="888888"/>
          <w:sz w:val="15"/>
          <w:szCs w:val="15"/>
        </w:rPr>
        <w:t xml:space="preserve">WHAT ARAF COVERS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EIS-01’s reconstructability standard provides the evidence infrastructure for institutional explanation.</w:t>
      </w:r>
    </w:p>
    <w:p>
      <w:pPr>
        <w:spacing w:before="0" w:after="120"/>
      </w:pPr>
      <w:r>
        <w:t xml:space="preserve"/>
      </w:r>
    </w:p>
    <w:p>
      <w:pPr>
        <w:spacing w:before="200" w:after="60"/>
      </w:pPr>
      <w:r>
        <w:rPr>
          <w:rFonts w:ascii="DM Mono" w:cs="DM Mono" w:eastAsia="DM Mono" w:hAnsi="DM Mono"/>
          <w:b/>
          <w:bCs/>
          <w:color w:val="888888"/>
          <w:sz w:val="15"/>
          <w:szCs w:val="15"/>
        </w:rPr>
        <w:t xml:space="preserve">WHAT ARAF DOES NOT COVER</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ARAF does not assess whether the clinician can explain the AI system’s recommendation to the patient in clinical terms, or whether the system’s outputs are interpretable to the clinician. A system that produces a recommendation the clinician cannot explain is a transparency failure regardless of the quality of the governance evidence record behind it.</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3: Obligations ARAF Does Not Assess</w:t>
      </w:r>
    </w:p>
    <w:p>
      <w:pPr>
        <w:pStyle w:val="Heading2"/>
        <w:spacing w:before="360" w:after="120"/>
      </w:pPr>
      <w:r>
        <w:rPr>
          <w:rFonts w:ascii="Libre Baskerville" w:cs="Libre Baskerville" w:eastAsia="Libre Baskerville" w:hAnsi="Libre Baskerville"/>
          <w:b/>
          <w:bCs/>
          <w:color w:val="0d0d0b"/>
          <w:sz w:val="26"/>
          <w:szCs w:val="26"/>
        </w:rPr>
        <w:t xml:space="preserve">3.1 Bias and Fair Treatment</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Health equity is an active regulatory, litigation, and clinical ethics focus. AI systems trained on historically biased clinical data carry both anti-discrimination risk and patient safety risk simultaneously. This dual exposure is unique to healthcare and elevates the consequences of the bias gap beyond what any other sector faces.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In Australia, the Racial Discrimination Act 1975, Disability Discrimination Act 1992, Sex Discrimination Act 1984, and Age Discrimination Act 2004 apply to the provision of health services. The Health Practitioner Regulation National Law includes professional obligations relating to cultural safety and non-discrimination. Internationally: in the US, Title VI of the Civil Rights Act of 1964 and ACA Section 1557 apply to federally funded health programmes. The UK Equality Act 2010 includes a public sector equality duty for NHS providers. The EU AI Act classifies AI systems used in healthcare as potentially high-risk.</w:t>
      </w:r>
    </w:p>
    <w:p>
      <w:pPr>
        <w:spacing w:before="0" w:after="120"/>
      </w:pPr>
      <w:r>
        <w:t xml:space="preserve"/>
      </w:r>
    </w:p>
    <w:p>
      <w:pPr>
        <w:spacing w:before="200" w:after="60"/>
      </w:pPr>
      <w:r>
        <w:rPr>
          <w:rFonts w:ascii="DM Mono" w:cs="DM Mono" w:eastAsia="DM Mono" w:hAnsi="DM Mono"/>
          <w:b/>
          <w:bCs/>
          <w:color w:val="888888"/>
          <w:sz w:val="15"/>
          <w:szCs w:val="15"/>
        </w:rPr>
        <w:t xml:space="preserve">WHAT ARAF COVERS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Nothing directly. D2 assesses data provenance, not disparate clinical impact.</w:t>
      </w:r>
    </w:p>
    <w:p>
      <w:pPr>
        <w:spacing w:before="0" w:after="120"/>
      </w:pPr>
      <w:r>
        <w:t xml:space="preserve"/>
      </w:r>
    </w:p>
    <w:p>
      <w:pPr>
        <w:spacing w:before="200" w:after="60"/>
      </w:pPr>
      <w:r>
        <w:rPr>
          <w:rFonts w:ascii="DM Mono" w:cs="DM Mono" w:eastAsia="DM Mono" w:hAnsi="DM Mono"/>
          <w:b/>
          <w:bCs/>
          <w:color w:val="888888"/>
          <w:sz w:val="15"/>
          <w:szCs w:val="15"/>
        </w:rPr>
        <w:t xml:space="preserve">WHAT THIS MEANS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ARAF certification cannot be relied upon as evidence that a healthcare AI system produces equitable outcomes across patient populations. An ARAF-certified system with strong governance architecture may still produce systematically biased clinical recommendations if the underlying model was trained on data reflecting historical healthcare disparities.</w:t>
      </w:r>
    </w:p>
    <w:p>
      <w:pPr>
        <w:spacing w:before="0" w:after="160"/>
      </w:pPr>
      <w:r>
        <w:t xml:space="preserve"/>
      </w:r>
    </w:p>
    <w:p>
      <w:pPr>
        <w:spacing w:before="240" w:after="80"/>
      </w:pPr>
      <w:r>
        <w:rPr>
          <w:rFonts w:ascii="Libre Baskerville" w:cs="Libre Baskerville" w:eastAsia="Libre Baskerville" w:hAnsi="Libre Baskerville"/>
          <w:b/>
          <w:bCs/>
          <w:color w:val="0d0d0b"/>
          <w:sz w:val="21"/>
          <w:szCs w:val="21"/>
        </w:rPr>
        <w:t xml:space="preserve">Dimension 1: Diagnostic bias</w:t>
      </w:r>
    </w:p>
    <w:p>
      <w:pPr>
        <w:spacing w:before="0" w:after="120"/>
      </w:pPr>
      <w:r>
        <w:rPr>
          <w:rFonts w:ascii="Libre Baskerville" w:cs="Libre Baskerville" w:eastAsia="Libre Baskerville" w:hAnsi="Libre Baskerville"/>
          <w:color w:val="0d0d0b"/>
          <w:sz w:val="20"/>
          <w:szCs w:val="20"/>
        </w:rPr>
        <w:t xml:space="preserve">AI systems used in diagnosis may exhibit differential performance across patient subgroups in ways that directly affect patient safety. A system trained predominantly on imaging data from one demographic group may have lower sensitivity for pathology in patients from underrepresented groups. A dermatology AI trained predominantly on images of lighter skin may miss melanoma in patients with darker skin. A cardiac risk calculator trained on a lower-risk population may underestimate risk in higher-risk populations.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Diagnostic bias is a patient safety event, not only a discrimination event. A missed diagnosis caused by differential system performance across demographic groups creates both clinical harm and discrimination liability. This dual exposure requires a dual response: clinical validation across subgroups (a patient safety measure) and disparate impact monitoring (a discrimination measure).</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every clinical AI system, require the vendor or developer to provide subgroup performance data: sensitivity, specificity, positive predictive value, and negative predictive value broken down by the demographic characteristics most relevant to the clinical context (at minimum: age, sex, and ethnicity).</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subgroup performance data is not available (because the system was not validated on a diverse population), document this limitation, communicate it to clinicians, and implement enhanced monitoring for the underrepresented subgroups.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Establish a clinical performance monitoring programme that tracks diagnostic accuracy by demographic subgroup at regular intervals. Where differential performance is detected, assess whether the differential is clinically explainable or represents system bias. Where system bias is identified, take corrective action (recalibration, supplementary clinical protocols, or system withdrawal for the affected subgroup).</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Dimension 2: Treatment recommendation bias</w:t>
      </w:r>
    </w:p>
    <w:p>
      <w:pPr>
        <w:spacing w:before="0" w:after="120"/>
      </w:pPr>
      <w:r>
        <w:rPr>
          <w:rFonts w:ascii="Libre Baskerville" w:cs="Libre Baskerville" w:eastAsia="Libre Baskerville" w:hAnsi="Libre Baskerville"/>
          <w:color w:val="0d0d0b"/>
          <w:sz w:val="20"/>
          <w:szCs w:val="20"/>
        </w:rPr>
        <w:t xml:space="preserve">AI systems that recommend treatments may reflect historical treatment disparities. If the training data reflects a period in which certain patient groups received less aggressive treatment (pain management for minority patients, cardiac intervention for women, mental health treatment for elderly patients), the system may learn and reproduce these patterns.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Treatment recommendation bias is harder to detect than diagnostic bias because it is entangled with legitimate clinical variation. Treatment decisions are influenced by patient preferences, comorbidities, contraindications, and resource availability, all of which vary across populations for non-discriminatory reasons. Distinguishing legitimate clinical variation from systemic bias requires clinical expertise in combination with statistical analysis.</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Monitor treatment recommendation distributions across demographic groups. Where the system recommends materially different treatment intensities for different demographic groups with similar clinical presentations, investigate whether the difference reflects legitimate clinical variation or historical treatment disparity.</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clinical domains with known historical treatment disparities (pain management, cardiac care, mental health, maternal health), implement enhanced scrutiny of the AI system’s training data and recommendation patterns.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the system’s treatment recommendations diverge from current clinical guidelines for a particular patient subgroup, flag the divergence for clinician review. Current clinical guidelines may represent the corrected standard of care; the AI system’s training data may predate the correction.</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Dimension 3: Access and triage bias</w:t>
      </w:r>
    </w:p>
    <w:p>
      <w:pPr>
        <w:spacing w:before="0" w:after="120"/>
      </w:pPr>
      <w:r>
        <w:rPr>
          <w:rFonts w:ascii="Libre Baskerville" w:cs="Libre Baskerville" w:eastAsia="Libre Baskerville" w:hAnsi="Libre Baskerville"/>
          <w:color w:val="0d0d0b"/>
          <w:sz w:val="20"/>
          <w:szCs w:val="20"/>
        </w:rPr>
        <w:t xml:space="preserve">AI systems used in triage, referral, or resource allocation may produce access disparities. A triage algorithm that assigns lower urgency scores to certain patient groups (because the training data reflects historical under-triage of those groups) delays their access to care. A referral algorithm that routes patients from certain demographics to less specialised care pathways perpetuates structural access inequality.</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Access bias is particularly consequential because it operates at the gateway to care: a patient who is under-triaged or routed to an inappropriate care pathway may never receive the clinical assessment that would have identified their condition. The harm is not a wrong treatment decision; it is the absence of a treatment decision that should have been made.</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For triage and referral AI systems, monitor urgency score distributions, referral pathway allocations, and wait times across demographic groups.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access disparities are detected, assess whether they reflect differences in clinical acuity or systemic bias in the triage or referral algorithm.</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Implement override monitoring specifically for triage and referral decisions: track the rate at which clinicians override the system’s triage or referral recommendation, broken down by patient demographic. Differential override rates across demographic groups may indicate that the system’s recommendations are less reliable for certain populations.</w:t>
      </w:r>
    </w:p>
    <w:p>
      <w:pPr>
        <w:spacing w:before="0" w:after="240"/>
      </w:pPr>
      <w:r>
        <w:t xml:space="preserve"/>
      </w:r>
    </w:p>
    <w:p>
      <w:pPr>
        <w:spacing w:before="240" w:after="80"/>
      </w:pPr>
      <w:r>
        <w:rPr>
          <w:rFonts w:ascii="Libre Baskerville" w:cs="Libre Baskerville" w:eastAsia="Libre Baskerville" w:hAnsi="Libre Baskerville"/>
          <w:b/>
          <w:bCs/>
          <w:color w:val="0d0d0b"/>
          <w:sz w:val="21"/>
          <w:szCs w:val="21"/>
        </w:rPr>
        <w:t xml:space="preserve">Dimension 4: Cultural safety and Indigenous health</w:t>
      </w:r>
    </w:p>
    <w:p>
      <w:pPr>
        <w:spacing w:before="0" w:after="120"/>
      </w:pPr>
      <w:r>
        <w:rPr>
          <w:rFonts w:ascii="Libre Baskerville" w:cs="Libre Baskerville" w:eastAsia="Libre Baskerville" w:hAnsi="Libre Baskerville"/>
          <w:color w:val="0d0d0b"/>
          <w:sz w:val="20"/>
          <w:szCs w:val="20"/>
        </w:rPr>
        <w:t xml:space="preserve">For Australian healthcare organisations, a specific dimension of bias governance relates to Aboriginal and Torres Strait Islander health. Health outcomes for Aboriginal and Torres Strait Islander peoples remain significantly worse than for the broader Australian population across virtually all health indicators. AI systems trained on population-level data may compound existing disparities if the training data underrepresents Aboriginal and Torres Strait Islander patients, if the system does not account for the social determinants of health that disproportionately affect Aboriginal and Torres Strait Islander communities, or if the system’s design does not reflect culturally safe care models.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Cultural safety is a professional obligation for all registered health practitioners in Australia under the National Law. It is also a core element of the National Agreement on Closing the Gap and the health sector’s commitments under that Agreement.</w:t>
      </w:r>
    </w:p>
    <w:p>
      <w:pPr>
        <w:spacing w:before="0" w:after="120"/>
      </w:pPr>
      <w:r>
        <w:t xml:space="preserve"/>
      </w:r>
    </w:p>
    <w:p>
      <w:pPr>
        <w:spacing w:before="200" w:after="60"/>
      </w:pPr>
      <w:r>
        <w:rPr>
          <w:rFonts w:ascii="DM Mono" w:cs="DM Mono" w:eastAsia="DM Mono" w:hAnsi="DM Mono"/>
          <w:b/>
          <w:bCs/>
          <w:color w:val="888888"/>
          <w:sz w:val="15"/>
          <w:szCs w:val="15"/>
        </w:rPr>
        <w:t xml:space="preserve">OPERATIONAL RECOMMENDATION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Assess every clinical AI system for its potential impact on Aboriginal and Torres Strait Islander patients specifically, as a distinct component of the bias assessment. This assessment should be conducted with input from Aboriginal and Torres Strait Islander health professionals and community representatives.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Where the training data does not adequately represent Aboriginal and Torres Strait Islander patients, document this limitation, communicate it to clinicians, and implement enhanced monitoring and clinical oversight for Aboriginal and Torres Strait Islander patient encounters.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Ensure that AI-assisted clinical pathways for Aboriginal and Torres Strait Islander patients are consistent with culturally safe care models and with the relevant Closing the Gap health targets.</w:t>
      </w:r>
    </w:p>
    <w:p>
      <w:pPr>
        <w:pStyle w:val="ListParagraph"/>
        <w:numPr>
          <w:ilvl w:val="0"/>
          <w:numId w:val="2"/>
        </w:numPr>
        <w:spacing w:before="0" w:after="80"/>
      </w:pPr>
      <w:r>
        <w:rPr>
          <w:rFonts w:ascii="Libre Baskerville" w:cs="Libre Baskerville" w:eastAsia="Libre Baskerville" w:hAnsi="Libre Baskerville"/>
          <w:color w:val="0d0d0b"/>
          <w:sz w:val="20"/>
          <w:szCs w:val="20"/>
        </w:rPr>
        <w:t xml:space="preserve">Include Aboriginal and Torres Strait Islander health impact as a standing item in the independent clinical equity audit.</w:t>
      </w:r>
    </w:p>
    <w:p>
      <w:pPr>
        <w:spacing w:before="0" w:after="32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3.2 Reasonableness of the Decision</w:t>
      </w:r>
    </w:p>
    <w:p>
      <w:pPr>
        <w:spacing w:before="200" w:after="60"/>
      </w:pPr>
      <w:r>
        <w:rPr>
          <w:rFonts w:ascii="DM Mono" w:cs="DM Mono" w:eastAsia="DM Mono" w:hAnsi="DM Mono"/>
          <w:b/>
          <w:bCs/>
          <w:color w:val="888888"/>
          <w:sz w:val="15"/>
          <w:szCs w:val="15"/>
        </w:rPr>
        <w:t xml:space="preserve">SECTOR OBLIGATION</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The clinical standard of care is the benchmark for reasonableness in healthcare. A clinician must exercise the degree of care and skill that a reasonable practitioner in the same field would exercise in the circumstances (see Section 1.1 above for the applicable legal framework). An AI-assisted diagnosis or treatment recommendation that deviates from accepted clinical practice may constitute a breach of the standard of care, creating medical negligence liability.</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standard of care is not static. It evolves with clinical evidence and professional consensus. An AI system trained on historical clinical data may reflect a standard of care that has since been superseded. Conversely, an AI system that recommends a novel approach not yet accepted in clinical practice may produce outputs that are clinically promising but that a court would not recognise as meeting the standard of care.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reasonableness assessment in healthcare is complicated by the attribution question: when an AI system contributes to a clinical recommendation that turns out to be wrong, was the system’s recommendation unreasonable, or was the clinician’s reliance on it unreasonable? The answer may depend on whether the clinician exercised independent clinical judgment (in which case the clinician’s judgment is assessed against the standard of care) or merely endorsed the system’s output (in which case the question becomes whether reasonable reliance on the system was consistent with the standard of care). For health insurer coverage determinations, the reasonableness standard is the same as in the insurance crosswalk: was the determination consistent with the evidence in the claim file?</w:t>
      </w:r>
    </w:p>
    <w:p>
      <w:pPr>
        <w:spacing w:before="0" w:after="120"/>
      </w:pPr>
      <w:r>
        <w:t xml:space="preserve"/>
      </w:r>
    </w:p>
    <w:p>
      <w:pPr>
        <w:spacing w:before="200" w:after="60"/>
      </w:pPr>
      <w:r>
        <w:rPr>
          <w:rFonts w:ascii="DM Mono" w:cs="DM Mono" w:eastAsia="DM Mono" w:hAnsi="DM Mono"/>
          <w:b/>
          <w:bCs/>
          <w:color w:val="888888"/>
          <w:sz w:val="15"/>
          <w:szCs w:val="15"/>
        </w:rPr>
        <w:t xml:space="preserve">WHAT ARAF COVERS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Nothing directly. ARAF does not evaluate clinical accuracy or whether automated outputs meet the standard of care.</w:t>
      </w:r>
    </w:p>
    <w:p>
      <w:pPr>
        <w:spacing w:before="0" w:after="120"/>
      </w:pPr>
      <w:r>
        <w:t xml:space="preserve"/>
      </w:r>
    </w:p>
    <w:p>
      <w:pPr>
        <w:spacing w:before="200" w:after="60"/>
      </w:pPr>
      <w:r>
        <w:rPr>
          <w:rFonts w:ascii="DM Mono" w:cs="DM Mono" w:eastAsia="DM Mono" w:hAnsi="DM Mono"/>
          <w:b/>
          <w:bCs/>
          <w:color w:val="888888"/>
          <w:sz w:val="15"/>
          <w:szCs w:val="15"/>
        </w:rPr>
        <w:t xml:space="preserve">WHAT THIS MEANS</w:t>
      </w:r>
    </w:p>
    <w:p>
      <w:pPr>
        <w:spacing w:before="0" w:after="80"/>
      </w:pPr>
      <w:r>
        <w:t xml:space="preserve"/>
      </w:r>
    </w:p>
    <w:p>
      <w:pPr>
        <w:spacing w:before="0" w:after="120"/>
      </w:pPr>
      <w:r>
        <w:rPr>
          <w:rFonts w:ascii="Libre Baskerville" w:cs="Libre Baskerville" w:eastAsia="Libre Baskerville" w:hAnsi="Libre Baskerville"/>
          <w:color w:val="0d0d0b"/>
          <w:sz w:val="20"/>
          <w:szCs w:val="20"/>
        </w:rPr>
        <w:t xml:space="preserve">ARAF certification does not protect a healthcare organisation from medical negligence claims arising from AI-assisted clinical decisions. The governance record ARAF produces may be relevant to whether the organisation’s governance of the AI system was reasonable, but it does not address whether the individual clinical decision met the standard of care.</w:t>
      </w:r>
    </w:p>
    <w:p>
      <w:pPr>
        <w:spacing w:before="0" w:after="120"/>
      </w:pPr>
      <w:r>
        <w:t xml:space="preserve"/>
      </w:r>
    </w:p>
    <w:p>
      <w:pPr>
        <w:spacing w:before="200" w:after="60"/>
      </w:pPr>
      <w:r>
        <w:rPr>
          <w:rFonts w:ascii="DM Mono" w:cs="DM Mono" w:eastAsia="DM Mono" w:hAnsi="DM Mono"/>
          <w:b/>
          <w:bCs/>
          <w:color w:val="888888"/>
          <w:sz w:val="15"/>
          <w:szCs w:val="15"/>
        </w:rPr>
        <w:t xml:space="preserve">HEALTHCARE ORGANISATION ACTION</w:t>
      </w:r>
    </w:p>
    <w:p>
      <w:pPr>
        <w:spacing w:before="0" w:after="80"/>
      </w:pPr>
      <w:r>
        <w:t xml:space="preserve"/>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Clinical validation and ongoing monitoring. </w:t>
      </w:r>
      <w:r>
        <w:rPr>
          <w:rFonts w:ascii="Libre Baskerville" w:cs="Libre Baskerville" w:eastAsia="Libre Baskerville" w:hAnsi="Libre Baskerville"/>
          <w:color w:val="0d0d0b"/>
          <w:sz w:val="20"/>
          <w:szCs w:val="20"/>
        </w:rPr>
        <w:t xml:space="preserve">Validate the AI system’s clinical outputs against accepted clinical standards before deployment. Maintain ongoing monitoring of the system’s clinical accuracy, sensitivity, specificity, and concordance with expert clinician assessments. Where the system’s outputs diverge from accepted clinical standards, investigate and take corrective action.</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Standard of care currency. </w:t>
      </w:r>
      <w:r>
        <w:rPr>
          <w:rFonts w:ascii="Libre Baskerville" w:cs="Libre Baskerville" w:eastAsia="Libre Baskerville" w:hAnsi="Libre Baskerville"/>
          <w:color w:val="0d0d0b"/>
          <w:sz w:val="20"/>
          <w:szCs w:val="20"/>
        </w:rPr>
        <w:t xml:space="preserve">Monitor whether the clinical guidelines and evidence base the AI system reflects remain current. A system trained on data that predates a material change in clinical practice (a new treatment guideline, a withdrawn drug, a revised diagnostic criterion) may produce recommendations that no longer meet the standard of care. Implement a review trigger when relevant clinical guidelines are updated.</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Clinician responsibility framework. </w:t>
      </w:r>
      <w:r>
        <w:rPr>
          <w:rFonts w:ascii="Libre Baskerville" w:cs="Libre Baskerville" w:eastAsia="Libre Baskerville" w:hAnsi="Libre Baskerville"/>
          <w:color w:val="0d0d0b"/>
          <w:sz w:val="20"/>
          <w:szCs w:val="20"/>
        </w:rPr>
        <w:t xml:space="preserve">Clearly define the clinician’s responsibility when using AI decision support: the clinician is expected to exercise independent clinical judgment, consider the system’s recommendation as one input among others, apply their knowledge of the individual patient’s circumstances, and take professional responsibility for the final clinical decision. Document this framework in the organisation’s clinical governance policies and in the training provided to clinicians using the system.</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Incident reporting and clinical review. </w:t>
      </w:r>
      <w:r>
        <w:rPr>
          <w:rFonts w:ascii="Libre Baskerville" w:cs="Libre Baskerville" w:eastAsia="Libre Baskerville" w:hAnsi="Libre Baskerville"/>
          <w:color w:val="0d0d0b"/>
          <w:sz w:val="20"/>
          <w:szCs w:val="20"/>
        </w:rPr>
        <w:t xml:space="preserve">Integrate AI-related clinical incidents into the organisation’s clinical incident reporting and review framework. These incidents should be reported through existing clinical governance channels (clinical governance committees, root cause analysis, morbidity and mortality reviews) and assessed for ARAF reassessment triggers under D6 (Adaptive Stability).</w:t>
      </w:r>
    </w:p>
    <w:p>
      <w:pPr>
        <w:pStyle w:val="ListParagraph"/>
        <w:numPr>
          <w:ilvl w:val="0"/>
          <w:numId w:val="2"/>
        </w:numPr>
        <w:spacing w:before="0" w:after="80"/>
      </w:pPr>
      <w:r>
        <w:rPr>
          <w:rFonts w:ascii="Libre Baskerville" w:cs="Libre Baskerville" w:eastAsia="Libre Baskerville" w:hAnsi="Libre Baskerville"/>
          <w:b/>
          <w:bCs/>
          <w:color w:val="0d0d0b"/>
          <w:sz w:val="20"/>
          <w:szCs w:val="20"/>
        </w:rPr>
        <w:t xml:space="preserve">Medical negligence preparedness. </w:t>
      </w:r>
      <w:r>
        <w:rPr>
          <w:rFonts w:ascii="Libre Baskerville" w:cs="Libre Baskerville" w:eastAsia="Libre Baskerville" w:hAnsi="Libre Baskerville"/>
          <w:color w:val="0d0d0b"/>
          <w:sz w:val="20"/>
          <w:szCs w:val="20"/>
        </w:rPr>
        <w:t xml:space="preserve">In a medical negligence claim involving an AI-assisted clinical decision, the organisation will need to demonstrate: that the AI system was appropriately validated for the clinical context; that the clinician exercised independent clinical judgment; that the system was deployed within its validated scope; and that the governance architecture (D1, GCI, EIS-01) was adequate. ARAF governance evidence addresses the last of these. The organisation must separately evidence the first three through clinical governance records.</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4: Mapping Table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rPr>
          <w:tblHeader/>
        </w:trPr>
        <w:tc>
          <w:tcPr>
            <w:tcW w:type="dxa" w:w="2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LEGAL PRINCIPLE</w:t>
            </w:r>
          </w:p>
        </w:tc>
        <w:tc>
          <w:tcPr>
            <w:tcW w:type="dxa" w:w="16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ARAF DIMENSION</w:t>
            </w:r>
          </w:p>
        </w:tc>
        <w:tc>
          <w:tcPr>
            <w:tcW w:type="dxa" w:w="14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COVERAGE</w:t>
            </w:r>
          </w:p>
        </w:tc>
        <w:tc>
          <w:tcPr>
            <w:tcW w:type="dxa" w:w="41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HEALTHCARE ORGANISATION’S INDEPENDENT OBLIGATION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Proper use of decision-making powers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D1, GCI Authority Adherence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Map D1 to scope-of-practice framework. Confirm registered practitioner holds clinical authority. Monitor override rates. Independently satisfy all applicable SaMD regulatory requirements (TGA, FDA, MDR). ARAF assessment does not constitute, contribute to, or satisfy medical device regulatory compliance.</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Ability to reconstruct the decision</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EIS-01, governance telemetry</w:t>
            </w:r>
          </w:p>
        </w:tc>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4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Integrate AI governance records into clinical records at patient encounter level. Ensure records are producible for coronial inquiries, health complaints commissions, and medical negligence proceedings.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Reliability of evidence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D2, Decision Supply Chain Data Inputs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Addressed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Map D2 to health data governance (APPs, health records legislation, TGA data requirements). Assess training data representativeness. Document consent basis for secondary use of health data.</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Procedural fairness</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D1 (partial), EIS-01 (partial)</w:t>
            </w:r>
          </w:p>
        </w:tc>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Partially supported</w:t>
            </w:r>
          </w:p>
        </w:tc>
        <w:tc>
          <w:tcPr>
            <w:tcW w:type="dxa" w:w="4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Implement tiered informed consent disclosure (routine, specific, enhanced). Configure systems for shared decision-making (multiple options, not single recommendations). Establish human-only assessment pathway. For health insurer determinations: implement insurance crosswalk framework with urgency-adjusted timelines and clinical evidence engagement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Transparency and explainability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EIS-01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Partially supported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Require clinician-interpretable explanation outputs. Establish minimum interpretability standard. Develop patient-facing materials tested for health literacy. Ensure SaMD labelling is accessible at point of care.</w:t>
            </w:r>
          </w:p>
        </w:tc>
      </w:tr>
      <w:tr>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Bias and fair treatment</w:t>
            </w:r>
          </w:p>
        </w:tc>
        <w:tc>
          <w:tcPr>
            <w:tcW w:type="dxa" w:w="16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None</w:t>
            </w:r>
          </w:p>
        </w:tc>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Not assessed</w:t>
            </w:r>
          </w:p>
        </w:tc>
        <w:tc>
          <w:tcPr>
            <w:tcW w:type="dxa" w:w="4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Maintain four-dimensional bias programme: diagnostic bias (subgroup performance validation), treatment recommendation bias (historical disparity analysis), access and triage bias (urgency and referral equity monitoring), cultural safety (Aboriginal and Torres Strait Islander health impact assessment). Commission independent clinical equity audits. Integrate bias findings into ARAF reassessment cycle.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Reasonableness of the decision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Not assessed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Validate clinical outputs against standard of care. Monitor clinical accuracy. Maintain standard-of-care currency. Define clinician responsibility framework. Integrate AI incidents into clinical governance.</w:t>
            </w:r>
          </w:p>
        </w:tc>
      </w:tr>
    </w:tbl>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5: Relationship Between ARAF Certification and Healthcare Compliance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AI operates under at least four independent governance regimes simultaneously: institutional governance (board and executive accountability, the layer ARAF addresses); professional regulatory governance (practitioner registration, scope of practice, professional conduct standards, enforced through AHPRA and national boards); medical device regulatory governance (TGA, FDA, MDR, applicable to systems classified as SaMD); and clinical governance (clinical standards, evidence-based practice, patient safety, quality improvement). ARAF certification addresses the first of these. It does not address the other three.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In particular, ARAF assessment is wholly independent of the medical device regulatory pathway. An AI system that is classified as SaMD and that holds ARAF Certified status has satisfied two independent assessments: a governance architecture assessment (ARAF) and a pre-market regulatory assessment (TGA, FDA, or MDR notified body). Neither assessment informs or modifies the other. The governance questions ARAF asks (who authorised the system, whether oversight operates, whether the decision chain is reconstructable) and the regulatory questions the medical device pathway asks (is the device safe and effective for its intended use) are different questions with different evidence requirements, different assessment methodologies, and different institutional audiences. Healthcare organisations operating AI systems that are or may be classified as SaMD should maintain both assessment programmes independently and should not cross-reference one as satisfying any element of the other.</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A healthcare organisation that holds ARAF Certified status for an AI-assisted clinical decision system has demonstrated institutional governance. It has not demonstrated that the system meets the clinical standard of care, that it has been appropriately validated for the clinical context, that it complies with medical device regulatory requirements, or that the clinicians using it have exercised independent professional judgment. These are independent assessments, each with its own evidence requirements.</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compliance programme a healthcare organisation should build treats ARAF governance infrastructure as the institutional accountability layer and the seven legal principles in this crosswalk as the clinical, professional, and regulatory obligations that operate at the patient care level.</w:t>
      </w:r>
    </w:p>
    <w:p>
      <w:pPr>
        <w:spacing w:before="0" w:after="16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Institutional positioning in capital markets and insurance</w:t>
      </w:r>
    </w:p>
    <w:p>
      <w:pPr>
        <w:spacing w:before="0" w:after="120"/>
      </w:pPr>
      <w:r>
        <w:rPr>
          <w:rFonts w:ascii="Libre Baskerville" w:cs="Libre Baskerville" w:eastAsia="Libre Baskerville" w:hAnsi="Libre Baskerville"/>
          <w:color w:val="0d0d0b"/>
          <w:sz w:val="20"/>
          <w:szCs w:val="20"/>
        </w:rPr>
        <w:t xml:space="preserve">Healthcare organisations seeking ARAF certification for capital markets, insurance, or investor diligence purposes should note that institutional audiences in those contexts — D&amp;O underwriters, credit providers, lenders, and investors — will require ARAF certification alongside, not instead of, evidence of clinical validation, SaMD regulatory status, and clinical governance records. The ARAF Insurance Underwriting Crosswalk describes how D&amp;O underwriters assess governance posture; the ARAF Capital Markets and Credit Analysis Crosswalk describes how lenders and credit providers assess operational risk. In both contexts, an ARAF assessment presented without clinical validation evidence and regulatory compliance documentation will leave material institutional questions unanswered. Healthcare organisations should coordinate their ARAF governance programme with their clinical governance, regulatory affairs, and insurance functions to ensure the complete evidentiary record is available across all institutional audiences.</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6: Litigation Defensibility</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AI decisions are challenged through medical negligence litigation, coronial inquiries, health complaints commission investigations, practitioner disciplinary proceedings, therapeutic goods regulatory action, and (for health insurers) insurance dispute resolution.</w:t>
      </w:r>
    </w:p>
    <w:p>
      <w:pPr>
        <w:spacing w:before="0" w:after="16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ARAF’s value in healthcare litigation</w:t>
      </w:r>
    </w:p>
    <w:p>
      <w:pPr>
        <w:spacing w:before="0" w:after="120"/>
      </w:pPr>
      <w:r>
        <w:rPr>
          <w:rFonts w:ascii="Libre Baskerville" w:cs="Libre Baskerville" w:eastAsia="Libre Baskerville" w:hAnsi="Libre Baskerville"/>
          <w:color w:val="0d0d0b"/>
          <w:sz w:val="20"/>
          <w:szCs w:val="20"/>
        </w:rPr>
        <w:t xml:space="preserve">The governance evidence record ARAF produces provides the healthcare organisation with contemporaneous documentation of the governance conditions under which the AI system operated. In a medical negligence claim, this record can demonstrate that the system was deployed within defined authority boundaries, that oversight operated, and that the decision chain is reconstructable. In a coronial inquiry, the reconstructed evidence trail provides the coroner with visibility into how the AI system contributed to the clinical decision under examination. In a practitioner disciplinary proceeding, the governance telemetry can demonstrate whether the system was deployed as decision support (consistent with D1 governance requirements) or as a de facto decision-maker (which may raise scope-of-practice concerns).</w:t>
      </w:r>
    </w:p>
    <w:p>
      <w:pPr>
        <w:spacing w:before="0" w:after="16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What ARAF does not provide for healthcare litigation</w:t>
      </w:r>
    </w:p>
    <w:p>
      <w:pPr>
        <w:spacing w:before="0" w:after="120"/>
      </w:pPr>
      <w:r>
        <w:rPr>
          <w:rFonts w:ascii="Libre Baskerville" w:cs="Libre Baskerville" w:eastAsia="Libre Baskerville" w:hAnsi="Libre Baskerville"/>
          <w:color w:val="0d0d0b"/>
          <w:sz w:val="20"/>
          <w:szCs w:val="20"/>
        </w:rPr>
        <w:t xml:space="preserve">ARAF does not provide evidence that the AI system’s clinical recommendations met the standard of care, that the system was clinically validated for the context in which it was used, or that the clinician exercised independent clinical judgment. A healthcare organisation that enters medical negligence litigation with ARAF certification but without evidence of clinical validation, standard-of-care compliance, and independent clinical judgment has governance infrastructure without clinical defensibility.</w:t>
      </w:r>
    </w:p>
    <w:p>
      <w:pPr>
        <w:spacing w:before="0" w:after="16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The expert evidence question</w:t>
      </w:r>
    </w:p>
    <w:p>
      <w:pPr>
        <w:spacing w:before="0" w:after="120"/>
      </w:pPr>
      <w:r>
        <w:rPr>
          <w:rFonts w:ascii="Libre Baskerville" w:cs="Libre Baskerville" w:eastAsia="Libre Baskerville" w:hAnsi="Libre Baskerville"/>
          <w:color w:val="0d0d0b"/>
          <w:sz w:val="20"/>
          <w:szCs w:val="20"/>
        </w:rPr>
        <w:t xml:space="preserve">The LG Darmstadt ruling of 10 November 2025 — holding an AI-generated expert report inadmissible and setting the expert’s fee at zero — is directly relevant to healthcare contexts where AI contributes to medical expert evidence. The ruling established that a court-appointed expert who relies extensively on AI without disclosure violates the requirement of personal preparation under § 407a(3) of the German Code of Civil Procedure. Healthcare organisations should anticipate that courts in other jurisdictions will apply the same principle to medical expert reports: an expert report that was substantially AI-generated without disclosure may be challenged on admissibility grounds.</w:t>
      </w:r>
    </w:p>
    <w:p>
      <w:pPr>
        <w:spacing w:before="0" w:after="160"/>
      </w:pPr>
      <w:r>
        <w:t xml:space="preserve"/>
      </w:r>
    </w:p>
    <w:p>
      <w:pPr>
        <w:pStyle w:val="Heading2"/>
        <w:spacing w:before="360" w:after="120"/>
      </w:pPr>
      <w:r>
        <w:rPr>
          <w:rFonts w:ascii="Libre Baskerville" w:cs="Libre Baskerville" w:eastAsia="Libre Baskerville" w:hAnsi="Libre Baskerville"/>
          <w:b/>
          <w:bCs/>
          <w:color w:val="0d0d0b"/>
          <w:sz w:val="26"/>
          <w:szCs w:val="26"/>
        </w:rPr>
        <w:t xml:space="preserve">Global judicial context</w:t>
      </w:r>
    </w:p>
    <w:p>
      <w:pPr>
        <w:spacing w:before="0" w:after="120"/>
      </w:pPr>
      <w:r>
        <w:rPr>
          <w:rFonts w:ascii="Libre Baskerville" w:cs="Libre Baskerville" w:eastAsia="Libre Baskerville" w:hAnsi="Libre Baskerville"/>
          <w:color w:val="0d0d0b"/>
          <w:sz w:val="20"/>
          <w:szCs w:val="20"/>
        </w:rPr>
        <w:t xml:space="preserve">The judicial AI governance frameworks established across common law and civil law jurisdictions establish accountability expectations that will apply when AI-assisted healthcare decisions are challenged in court. UNESCO’s Guidelines for AI in Courts and Tribunals (2025) advocate AI as “an assistive, not substitutive, tool” — a principle that maps directly to the clinical decision support positioning required for healthcare AI. The French Court of Cassation’s principle that “the final decision always belongs to the judge, not the algorithm” applies with equal force in the clinical context: the final clinical decision always belongs to the treating clinician, not the algorithm.</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7: Healthcare AI Classification Framework</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AI systems span a wide range of clinical impact, from administrative scheduling tools to diagnostic systems that directly inform treatment decisions. Not all require the same governance intensity. The following classification framework helps healthcare organisations triage their AI systems for governance purposes, mapping clinical impact level to ARAF assessment priority and sector-specific obligation intensity.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400"/>
        <w:gridCol w:w="2360"/>
      </w:tblGrid>
      <w:tr>
        <w:trPr>
          <w:tblHeader/>
        </w:trPr>
        <w:tc>
          <w:tcPr>
            <w:tcW w:type="dxa" w:w="14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CLASSIFICATION</w:t>
            </w:r>
          </w:p>
        </w:tc>
        <w:tc>
          <w:tcPr>
            <w:tcW w:type="dxa" w:w="20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DESCRIPTION</w:t>
            </w:r>
          </w:p>
        </w:tc>
        <w:tc>
          <w:tcPr>
            <w:tcW w:type="dxa" w:w="2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EXAMPLES</w:t>
            </w:r>
          </w:p>
        </w:tc>
        <w:tc>
          <w:tcPr>
            <w:tcW w:type="dxa" w:w="14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ARAF PRIORITY</w:t>
            </w:r>
          </w:p>
        </w:tc>
        <w:tc>
          <w:tcPr>
            <w:tcW w:type="dxa" w:w="23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SECTOR-SPECIFIC OBLIGATION INTENSITY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Level 1: Administrative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AI systems that support operational functions without direct impact on clinical decisions or patient outcomes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Appointment scheduling, billing code suggestion, staff rostering optimisation, supply chain forecasting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Standard. Assess when resources permit. D1, D3, D5 are primary dimensions.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Low. Standard procurement and data governance. No clinical validation or informed consent required.</w:t>
            </w:r>
          </w:p>
        </w:tc>
      </w:tr>
      <w:tr>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Level 2: Clinical workflow support</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AI systems that support clinical operations but do not produce clinical recommendations for individual patients</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Clinical documentation assistance, medical record coding, population health analytics, clinical trial matching</w:t>
            </w:r>
          </w:p>
        </w:tc>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Moderate. Assess after Level 3 and 4 systems.</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Moderate. Data governance and privacy obligations apply. Clinical validation not required for individual patient decisions but data quality monitoring 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Level 3: Clinical decision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AI systems that produce clinical recommendations, risk assessments, or diagnostic suggestions for individual patients, reviewed by a registered health practitioner before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Radiology triage and flagging, clinical risk scoring, drug interaction alerts, differential diagnosis suggestion, treatment option ranking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High. Assess as a priority. All six dimensions apply.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High. Full procedural fairness, transparency, bias, and reasonableness obligations apply. Informed consent disclosure required (Tier 2 or 3). Subgroup clinical validation required. May be classified as SaMD.</w:t>
            </w:r>
          </w:p>
        </w:tc>
      </w:tr>
      <w:tr>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Level 4: Autonomous clinical action</w:t>
            </w:r>
          </w:p>
        </w:tc>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AI systems that execute clinical actions without per-decision human review (closed-loop systems)</w:t>
            </w:r>
          </w:p>
        </w:tc>
        <w:tc>
          <w:tcPr>
            <w:tcW w:type="dxa" w:w="2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Insulin pump dosing algorithms, adaptive radiotherapy systems, real-time physiological monitoring with automated interventions</w:t>
            </w:r>
          </w:p>
        </w:tc>
        <w:tc>
          <w:tcPr>
            <w:tcW w:type="dxa" w:w="14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Critical. Assess immediately. D1 and D4 are threshold dimensions. Systemic Escalation multiplier likely triggered.</w:t>
            </w:r>
          </w:p>
        </w:tc>
        <w:tc>
          <w:tcPr>
            <w:tcW w:type="dxa" w:w="2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Critical. All sector-specific obligations at maximum intensity. Almost certainly classified as SaMD. Regulatory independence statement applies. Clinician override capability mandatory. Real-time monitoring and incident reporting essential.</w:t>
            </w:r>
          </w:p>
        </w:tc>
      </w:tr>
    </w:tbl>
    <w:p>
      <w:pPr>
        <w:spacing w:before="0" w:after="160"/>
      </w:pPr>
      <w:r>
        <w:t xml:space="preserve"/>
      </w:r>
    </w:p>
    <w:p>
      <w:pPr>
        <w:spacing w:before="0" w:after="120"/>
      </w:pPr>
      <w:r>
        <w:rPr>
          <w:rFonts w:ascii="Libre Baskerville" w:cs="Libre Baskerville" w:eastAsia="Libre Baskerville" w:hAnsi="Libre Baskerville"/>
          <w:color w:val="0d0d0b"/>
          <w:sz w:val="20"/>
          <w:szCs w:val="20"/>
        </w:rPr>
        <w:t xml:space="preserve">Healthcare organisations should classify every AI system in clinical or operational use against this framework and prioritise ARAF assessment starting with Level 4 systems, then Level 3, then Level 2. Level 1 systems should be assessed when the governance programme matures. This classification aligns with ARAF’s own prioritisation logic: systems operating at higher autonomy levels (D1) with greater liability exposure (D4) or commercial dependency (D5) represent the highest governance risk and should be assessed first.</w:t>
      </w:r>
    </w:p>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8: Regulatory Timeline</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Healthcare organisations face date-driven regulatory obligations across multiple jurisdictions. The following timeline maps key deadlines to their governance implications.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DEADLINE</w:t>
            </w:r>
          </w:p>
        </w:tc>
        <w:tc>
          <w:tcPr>
            <w:tcW w:type="dxa" w:w="30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REQUIREMENT</w:t>
            </w:r>
          </w:p>
        </w:tc>
        <w:tc>
          <w:tcPr>
            <w:tcW w:type="dxa" w:w="43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August 2025 (effective)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EU AI Act prohibited practices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Healthcare organisations using AI in EU markets should confirm no prohibited practices in their deployment.</w:t>
            </w:r>
          </w:p>
        </w:tc>
      </w:tr>
      <w:tr>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2 August 2026</w:t>
            </w:r>
          </w:p>
        </w:tc>
        <w:tc>
          <w:tcPr>
            <w:tcW w:type="dxa" w:w="3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EU AI Act high-risk requirements</w:t>
            </w:r>
          </w:p>
        </w:tc>
        <w:tc>
          <w:tcPr>
            <w:tcW w:type="dxa" w:w="4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AI systems used in healthcare contexts that fall within Annex III high-risk categories must comply with transparency, human oversight, data governance, and fundamental rights impact assessment obligations.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1 July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APRA CPS 230 contract compliance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Health insurers that are APRA-regulated entities must have service provider contracts (including AI vendor agreements) compliant with CPS 230.</w:t>
            </w:r>
          </w:p>
        </w:tc>
      </w:tr>
      <w:tr>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26 May 2026</w:t>
            </w:r>
          </w:p>
        </w:tc>
        <w:tc>
          <w:tcPr>
            <w:tcW w:type="dxa" w:w="3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EU MDR transitional provisions expiry</w:t>
            </w:r>
          </w:p>
        </w:tc>
        <w:tc>
          <w:tcPr>
            <w:tcW w:type="dxa" w:w="4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Certain transitional provisions under the Medical Devices Regulation expire, affecting AI systems classified as medical devices operating under transitional arrangements.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TGA regulatory framework for AI/ML-enabled SaMD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TGA is developing its regulatory approach to AI-enabled medical devices, including adaptive algorithms and post-market change protocols. Healthcare organisations should monitor for updates to the regulatory pathway.</w:t>
            </w:r>
          </w:p>
        </w:tc>
      </w:tr>
      <w:tr>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Ongoing</w:t>
            </w:r>
          </w:p>
        </w:tc>
        <w:tc>
          <w:tcPr>
            <w:tcW w:type="dxa" w:w="3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FDA AI/ML SaMD framework (PCCP)</w:t>
            </w:r>
          </w:p>
        </w:tc>
        <w:tc>
          <w:tcPr>
            <w:tcW w:type="dxa" w:w="43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The FDA’s proposed regulatory framework for modifications to AI/ML-based SaMD (Predetermined Change Control Plan) continues to evolve. Organisations with US market exposure should track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Ongoing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NIST AI Agent Standards Initiative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Moving toward procurement-mandatory standards in US federal contexts. Healthcare organisations with federal exposure (VA, DoD health systems, federally funded health programmes) should monitor.</w:t>
            </w:r>
          </w:p>
        </w:tc>
      </w:tr>
    </w:tbl>
    <w:p>
      <w:pPr>
        <w:spacing w:before="0" w:after="320"/>
      </w:pPr>
      <w:r>
        <w:t xml:space="preserve"/>
      </w:r>
    </w:p>
    <w:p>
      <w:pPr>
        <w:pStyle w:val="Heading1"/>
        <w:spacing w:before="480" w:after="160"/>
      </w:pPr>
      <w:r>
        <w:rPr>
          <w:rFonts w:ascii="Libre Baskerville" w:cs="Libre Baskerville" w:eastAsia="Libre Baskerville" w:hAnsi="Libre Baskerville"/>
          <w:b/>
          <w:bCs/>
          <w:color w:val="0d0d0b"/>
          <w:sz w:val="36"/>
          <w:szCs w:val="36"/>
        </w:rPr>
        <w:t xml:space="preserve">Section 9: Gap Severity Summary</w:t>
      </w:r>
    </w:p>
    <w:p>
      <w:pPr>
        <w:spacing w:before="0" w:after="120"/>
      </w:pPr>
      <w:r>
        <w:t xml:space="preserve"/>
      </w:r>
    </w:p>
    <w:p>
      <w:pPr>
        <w:spacing w:before="0" w:after="120"/>
      </w:pPr>
      <w:r>
        <w:rPr>
          <w:rFonts w:ascii="Libre Baskerville" w:cs="Libre Baskerville" w:eastAsia="Libre Baskerville" w:hAnsi="Libre Baskerville"/>
          <w:color w:val="0d0d0b"/>
          <w:sz w:val="20"/>
          <w:szCs w:val="20"/>
        </w:rPr>
        <w:t xml:space="preserve">The following table summarises the severity of the obligations ARAF partially supports or does not assess, to help healthcare organisations prioritise their independent governance investment.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GAP</w:t>
            </w:r>
          </w:p>
        </w:tc>
        <w:tc>
          <w:tcPr>
            <w:tcW w:type="dxa" w:w="120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SEVERITY</w:t>
            </w:r>
          </w:p>
        </w:tc>
        <w:tc>
          <w:tcPr>
            <w:tcW w:type="dxa" w:w="6160"/>
            <w:tcBorders>
              <w:top w:val="none" w:color="FFFFFF" w:sz="0"/>
              <w:left w:val="single" w:color="CCCCCC" w:sz="1"/>
              <w:bottom w:val="single" w:color="CCCCCC" w:sz="1"/>
              <w:right w:val="single" w:color="CCCCCC" w:sz="1"/>
            </w:tcBorders>
            <w:shd w:fill="0d0d0b" w:val="clear"/>
            <w:tcMar>
              <w:top w:type="dxa" w:w="100"/>
              <w:left w:type="dxa" w:w="120"/>
              <w:bottom w:type="dxa" w:w="100"/>
              <w:right w:type="dxa" w:w="120"/>
            </w:tcMar>
          </w:tcPr>
          <w:p>
            <w:pPr>
              <w:spacing w:before="0" w:after="0"/>
            </w:pPr>
            <w:r>
              <w:rPr>
                <w:rFonts w:ascii="DM Mono" w:cs="DM Mono" w:eastAsia="DM Mono" w:hAnsi="DM Mono"/>
                <w:b/>
                <w:bCs/>
                <w:color w:val="FFFFFF"/>
                <w:sz w:val="16"/>
                <w:szCs w:val="16"/>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Procedural fairness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Four distinct obligation channels (informed consent, shared decision-making, right to human-only assessment, health insurer determinations). Informed consent is a common law and professional obligation enforced through medical negligence claims, health complaints, and disciplinary proceedings. ARAF addresses institutional oversight but not the patient’s rights.</w:t>
            </w:r>
          </w:p>
        </w:tc>
      </w:tr>
      <w:tr>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Reasonableness</w:t>
            </w:r>
          </w:p>
        </w:tc>
        <w:tc>
          <w:tcPr>
            <w:tcW w:type="dxa" w:w="1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Critical</w:t>
            </w:r>
          </w:p>
        </w:tc>
        <w:tc>
          <w:tcPr>
            <w:tcW w:type="dxa" w:w="6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Clinical standard of care is the benchmark. Medical negligence litigation directly examines whether the clinical decision was reasonable. AI-assisted decisions that deviate from accepted clinical practice create malpractice exposure regardless of governance architecture quality. ARAF does not assess clinical accuracy or standard-of-care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Bias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Critical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Dual exposure unique to healthcare: discrimination liability and patient safety liability simultaneously. Four distinct bias dimensions (diagnostic, treatment recommendation, access/triage, cultural safety). Population-scale impact. Historical healthcare disparities embedded in training data. ARAF does not assess any of these.</w:t>
            </w:r>
          </w:p>
        </w:tc>
      </w:tr>
      <w:tr>
        <w:tc>
          <w:tcPr>
            <w:tcW w:type="dxa" w:w="20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Transparency</w:t>
            </w:r>
          </w:p>
        </w:tc>
        <w:tc>
          <w:tcPr>
            <w:tcW w:type="dxa" w:w="120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DM Mono" w:cs="DM Mono" w:eastAsia="DM Mono" w:hAnsi="DM Mono"/>
                <w:color w:val="0d0d0b"/>
                <w:sz w:val="16"/>
                <w:szCs w:val="16"/>
              </w:rPr>
              <w:t xml:space="preserve">High</w:t>
            </w:r>
          </w:p>
        </w:tc>
        <w:tc>
          <w:tcPr>
            <w:tcW w:type="dxa" w:w="6160"/>
            <w:tcBorders>
              <w:top w:val="single" w:color="CCCCCC" w:sz="1"/>
              <w:left w:val="single" w:color="CCCCCC" w:sz="1"/>
              <w:bottom w:val="single" w:color="CCCCCC" w:sz="1"/>
              <w:right w:val="single" w:color="CCCCCC" w:sz="1"/>
            </w:tcBorders>
            <w:shd w:fill="ede9e0" w:val="clear"/>
            <w:tcMar>
              <w:top w:type="dxa" w:w="80"/>
              <w:left w:type="dxa" w:w="120"/>
              <w:bottom w:type="dxa" w:w="80"/>
              <w:right w:type="dxa" w:w="120"/>
            </w:tcMar>
            <w:vAlign w:val="top"/>
          </w:tcPr>
          <w:p>
            <w:pPr>
              <w:spacing w:before="0" w:after="0"/>
            </w:pPr>
            <w:r>
              <w:rPr>
                <w:rFonts w:ascii="Libre Baskerville" w:cs="Libre Baskerville" w:eastAsia="Libre Baskerville" w:hAnsi="Libre Baskerville"/>
                <w:color w:val="0d0d0b"/>
                <w:sz w:val="17"/>
                <w:szCs w:val="17"/>
              </w:rPr>
              <w:t xml:space="preserve">Multi-layered obligation (clinician interpretability, patient explanation, SaMD labelling). Failure to explain AI contribution to clinical recommendation may breach informed consent standard. A clinician who cannot explain the system’s reasoning cannot exercise independent clinical judgment. ARAF provides reconstructability infrastructure but not explanation.</w:t>
            </w:r>
          </w:p>
        </w:tc>
      </w:tr>
    </w:tbl>
    <w:p>
      <w:pPr>
        <w:spacing w:before="0" w:after="480"/>
      </w:pPr>
      <w:r>
        <w:t xml:space="preserve"/>
      </w:r>
    </w:p>
    <w:p>
      <w:pPr>
        <w:pBdr>
          <w:bottom w:val="single" w:color="A88644" w:sz="6" w:space="1"/>
        </w:pBdr>
        <w:spacing w:before="0" w:after="160"/>
      </w:pPr>
      <w:r>
        <w:t xml:space="preserve"/>
      </w:r>
    </w:p>
    <w:p>
      <w:pPr>
        <w:spacing w:before="80" w:after="0"/>
        <w:jc w:val="center"/>
      </w:pPr>
      <w:r>
        <w:rPr>
          <w:rFonts w:ascii="DM Mono" w:cs="DM Mono" w:eastAsia="DM Mono" w:hAnsi="DM Mono"/>
          <w:color w:val="888888"/>
          <w:sz w:val="15"/>
          <w:szCs w:val="15"/>
        </w:rPr>
        <w:t xml:space="preserve">Martin, Carly. Agentic Risk Architecture Framework (ARAF), Version 3.0. Institute for Autonomous Governance Pty Ltd, 2026.  |  araf-standard.org  |  carlymartin@araf-standard.org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8644" w:sz="2" w:space="1"/>
      </w:pBdr>
      <w:spacing w:before="100" w:after="0"/>
    </w:pPr>
    <w:r>
      <w:rPr>
        <w:rFonts w:ascii="DM Mono" w:cs="DM Mono" w:eastAsia="DM Mono" w:hAnsi="DM Mono"/>
        <w:color w:val="999999"/>
        <w:sz w:val="14"/>
        <w:szCs w:val="14"/>
      </w:rPr>
      <w:t xml:space="preserve">Martin, Carly. Agentic Risk Architecture Framework (ARAF), Version 3.0. Institute for Autonomous Governance Pty Ltd, 2026.</w:t>
    </w:r>
    <w:r>
      <w:rPr>
        <w:rFonts w:ascii="DM Mono" w:cs="DM Mono" w:eastAsia="DM Mono" w:hAnsi="DM Mono"/>
        <w:color w:val="A88644"/>
        <w:sz w:val="14"/>
        <w:szCs w:val="14"/>
      </w:rPr>
      <w:t xml:space="preserve">    araf-standard.org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8644" w:sz="2" w:space="1"/>
      </w:pBdr>
      <w:tabs>
        <w:tab w:val="right" w:pos="9026"/>
      </w:tabs>
      <w:spacing w:before="0" w:after="160"/>
    </w:pPr>
    <w:r>
      <w:rPr>
        <w:rFonts w:ascii="DM Mono" w:cs="DM Mono" w:eastAsia="DM Mono" w:hAnsi="DM Mono"/>
        <w:color w:val="A88644"/>
        <w:sz w:val="14"/>
        <w:szCs w:val="14"/>
      </w:rPr>
      <w:t xml:space="preserve">INSTITUTE FOR AUTONOMOUS GOVERNANCE</w:t>
    </w:r>
    <w:r>
      <w:rPr>
        <w:rFonts w:ascii="DM Mono" w:cs="DM Mono" w:eastAsia="DM Mono" w:hAnsi="DM Mono"/>
        <w:color w:val="999999"/>
        <w:sz w:val="14"/>
        <w:szCs w:val="14"/>
      </w:rPr>
      <w:t xml:space="preserve">    Healthcare Sector Crosswalk</w:t>
    </w:r>
    <w:r>
      <w:rPr>
        <w:rFonts w:ascii="DM Mono" w:cs="DM Mono" w:eastAsia="DM Mono" w:hAnsi="DM Mono"/>
        <w:sz w:val="14"/>
        <w:szCs w:val="14"/>
      </w:rPr>
      <w:t xml:space="preserve">	</w:t>
    </w:r>
    <w:r>
      <w:rPr>
        <w:rFonts w:ascii="DM Mono" w:cs="DM Mono" w:eastAsia="DM Mono" w:hAnsi="DM Mono"/>
        <w:color w:val="999999"/>
        <w:sz w:val="14"/>
        <w:szCs w:val="1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color w:val="0d0d0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Libre Baskerville" w:cs="Libre Baskerville" w:eastAsia="Libre Baskerville" w:hAnsi="Libre Baskerville"/>
      <w:b/>
      <w:bCs/>
      <w:color w:val="0d0d0b"/>
      <w:sz w:val="36"/>
      <w:szCs w:val="36"/>
    </w:rPr>
  </w:style>
  <w:style w:type="paragraph" w:styleId="Heading2">
    <w:name w:val="Heading 2"/>
    <w:basedOn w:val="Normal"/>
    <w:next w:val="Normal"/>
    <w:qFormat/>
    <w:pPr>
      <w:spacing w:before="360" w:after="120"/>
      <w:outlineLvl w:val="1"/>
    </w:pPr>
    <w:rPr>
      <w:rFonts w:ascii="Libre Baskerville" w:cs="Libre Baskerville" w:eastAsia="Libre Baskerville" w:hAnsi="Libre Baskerville"/>
      <w:b/>
      <w:bCs/>
      <w:color w:val="0d0d0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2026-03-15T09:15:10.563Z</dcterms:created>
  <dcterms:modified xsi:type="dcterms:W3CDTF">2026-03-15T09:15:10.565Z</dcterms:modified>
</cp:coreProperties>
</file>

<file path=docProps/custom.xml><?xml version="1.0" encoding="utf-8"?>
<Properties xmlns="http://schemas.openxmlformats.org/officeDocument/2006/custom-properties" xmlns:vt="http://schemas.openxmlformats.org/officeDocument/2006/docPropsVTypes"/>
</file>