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left"/>
      </w:pPr>
    </w:p>
    <w:p>
      <w:pPr>
        <w:spacing w:before="0" w:after="80"/>
        <w:jc w:val="left"/>
      </w:pPr>
      <w:r>
        <w:rPr>
          <w:rFonts w:ascii="Arial" w:cs="Arial" w:eastAsia="Arial" w:hAnsi="Arial"/>
          <w:b/>
          <w:bCs/>
          <w:i w:val="false"/>
          <w:iCs w:val="false"/>
          <w:color w:val="0D0D0B"/>
          <w:sz w:val="44"/>
          <w:szCs w:val="44"/>
        </w:rPr>
        <w:t xml:space="preserve">ARAF Insurance Underwriting Crosswalk</w:t>
      </w:r>
    </w:p>
    <w:p>
      <w:pPr>
        <w:spacing w:before="0" w:after="80"/>
        <w:jc w:val="left"/>
      </w:pPr>
      <w:r>
        <w:rPr>
          <w:rFonts w:ascii="Arial" w:cs="Arial" w:eastAsia="Arial" w:hAnsi="Arial"/>
          <w:b w:val="false"/>
          <w:bCs w:val="false"/>
          <w:i/>
          <w:iCs/>
          <w:color w:val="A88644"/>
          <w:sz w:val="22"/>
          <w:szCs w:val="22"/>
        </w:rPr>
        <w:t xml:space="preserve">Mapping ARAF Dimensional Assessment to D&amp;O, Tech E&amp;O, Cyber, and Professional Indemnity Underwriting</w:t>
      </w:r>
    </w:p>
    <w:p>
      <w:pPr>
        <w:pBdr>
          <w:bottom w:val="single" w:color="A88644" w:sz="4" w:space="8"/>
        </w:pBdr>
        <w:spacing w:before="0" w:after="320"/>
        <w:jc w:val="left"/>
      </w:pPr>
      <w:r>
        <w:rPr>
          <w:rFonts w:ascii="DM Mono" w:cs="DM Mono" w:eastAsia="DM Mono" w:hAnsi="DM Mono"/>
          <w:b w:val="false"/>
          <w:bCs w:val="false"/>
          <w:i w:val="false"/>
          <w:iCs w:val="false"/>
          <w:color w:val="888888"/>
          <w:sz w:val="17"/>
          <w:szCs w:val="17"/>
        </w:rPr>
        <w:t xml:space="preserve">Agentic Risk Architecture Framework, Version 3.0  —  Institute for Autonomous Governance Pty Ltd</w:t>
      </w:r>
    </w:p>
    <w:p>
      <w:pPr>
        <w:spacing w:before="160" w:after="80"/>
        <w:jc w:val="left"/>
      </w:pPr>
    </w:p>
    <w:p>
      <w:pPr>
        <w:spacing w:before="320" w:after="120"/>
        <w:jc w:val="left"/>
      </w:pPr>
      <w:r>
        <w:rPr>
          <w:rFonts w:ascii="Arial" w:cs="Arial" w:eastAsia="Arial" w:hAnsi="Arial"/>
          <w:b/>
          <w:bCs/>
          <w:i w:val="false"/>
          <w:iCs w:val="false"/>
          <w:color w:val="0D0D0B"/>
          <w:sz w:val="22"/>
          <w:szCs w:val="22"/>
        </w:rPr>
        <w:t xml:space="preserve">At a Glance</w:t>
      </w:r>
    </w:p>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Element</w:t>
            </w:r>
          </w:p>
        </w:tc>
        <w:tc>
          <w:tcPr>
            <w:tcW w:type="dxa" w:w="65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Summary</w:t>
            </w:r>
          </w:p>
        </w:tc>
      </w:tr>
      <w:tr>
        <w:tc>
          <w:tcPr>
            <w:tcW w:type="dxa" w:w="2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GBI ≤ 1.75 (Certified)</w:t>
            </w:r>
          </w:p>
        </w:tc>
        <w:tc>
          <w:tcPr>
            <w:tcW w:type="dxa" w:w="65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Strong governance. Preferred pricing class. Strongest claims defensibility.</w:t>
            </w:r>
          </w:p>
        </w:tc>
      </w:tr>
      <w:tr>
        <w:tc>
          <w:tcPr>
            <w:tcW w:type="dxa" w:w="2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GBI 1.75–2.50 (Compliant)</w:t>
            </w:r>
          </w:p>
        </w:tc>
        <w:tc>
          <w:tcPr>
            <w:tcW w:type="dxa" w:w="65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Adequate governance with conditions. Standard pricing. Monitor GCI at renewal.</w:t>
            </w:r>
          </w:p>
        </w:tc>
      </w:tr>
      <w:tr>
        <w:tc>
          <w:tcPr>
            <w:tcW w:type="dxa" w:w="2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GBI &gt; 2.50 (Not Compliant)</w:t>
            </w:r>
          </w:p>
        </w:tc>
        <w:tc>
          <w:tcPr>
            <w:tcW w:type="dxa" w:w="65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Inadequate governance. Decline, exclude, surcharge, or condition on remediation.</w:t>
            </w:r>
          </w:p>
        </w:tc>
      </w:tr>
      <w:tr>
        <w:tc>
          <w:tcPr>
            <w:tcW w:type="dxa" w:w="2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Active multiplier</w:t>
            </w:r>
          </w:p>
        </w:tc>
        <w:tc>
          <w:tcPr>
            <w:tcW w:type="dxa" w:w="65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Compound governance failure. Enhanced review regardless of composite GBI.</w:t>
            </w:r>
          </w:p>
        </w:tc>
      </w:tr>
      <w:tr>
        <w:tc>
          <w:tcPr>
            <w:tcW w:type="dxa" w:w="2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Tier 1 evidence</w:t>
            </w:r>
          </w:p>
        </w:tc>
        <w:tc>
          <w:tcPr>
            <w:tcW w:type="dxa" w:w="65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Infrastructure-generated, contemporaneous. Strongest claims defence.</w:t>
            </w:r>
          </w:p>
        </w:tc>
      </w:tr>
      <w:tr>
        <w:tc>
          <w:tcPr>
            <w:tcW w:type="dxa" w:w="2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Tier 3 / absent evidence</w:t>
            </w:r>
          </w:p>
        </w:tc>
        <w:tc>
          <w:tcPr>
            <w:tcW w:type="dxa" w:w="65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Governance record cannot be reconstructed. Weakest defence position.</w:t>
            </w:r>
          </w:p>
        </w:tc>
      </w:tr>
      <w:tr>
        <w:tc>
          <w:tcPr>
            <w:tcW w:type="dxa" w:w="2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Key D&amp;O dimensions</w:t>
            </w:r>
          </w:p>
        </w:tc>
        <w:tc>
          <w:tcPr>
            <w:tcW w:type="dxa" w:w="65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(autonomy level), D4 (liability architecture), D5 (exit capacity), D6 (governance drift), GCI, Evidence Tier</w:t>
            </w:r>
          </w:p>
        </w:tc>
      </w:tr>
      <w:tr>
        <w:tc>
          <w:tcPr>
            <w:tcW w:type="dxa" w:w="2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Key E&amp;O dimensions</w:t>
            </w:r>
          </w:p>
        </w:tc>
        <w:tc>
          <w:tcPr>
            <w:tcW w:type="dxa" w:w="65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(committal vs. advisory), D2 (data sensitivity), D3 (contract coverage), GCI</w:t>
            </w:r>
          </w:p>
        </w:tc>
      </w:tr>
      <w:tr>
        <w:tc>
          <w:tcPr>
            <w:tcW w:type="dxa" w:w="2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Key Cyber dimensions</w:t>
            </w:r>
          </w:p>
        </w:tc>
        <w:tc>
          <w:tcPr>
            <w:tcW w:type="dxa" w:w="65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(data exposure), D3 (DPA adequacy), D5 (vendor dependency), D6 (drift)</w:t>
            </w:r>
          </w:p>
        </w:tc>
      </w:tr>
      <w:tr>
        <w:tc>
          <w:tcPr>
            <w:tcW w:type="dxa" w:w="2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Key PI dimensions</w:t>
            </w:r>
          </w:p>
        </w:tc>
        <w:tc>
          <w:tcPr>
            <w:tcW w:type="dxa" w:w="65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(review depth), D4 (liability allocation), Evidence Tier</w:t>
            </w:r>
          </w:p>
        </w:tc>
      </w:tr>
    </w:tbl>
    <w:p>
      <w:pPr>
        <w:spacing w:before="120" w:after="80"/>
        <w:jc w:val="left"/>
      </w:pP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Purpose</w:t>
      </w:r>
    </w:p>
    <w:p>
      <w:pPr>
        <w:spacing w:before="0" w:after="120" w:line="280" w:lineRule="auto"/>
        <w:jc w:val="left"/>
      </w:pPr>
      <w:r>
        <w:rPr>
          <w:rFonts w:ascii="Arial" w:cs="Arial" w:eastAsia="Arial" w:hAnsi="Arial"/>
          <w:b w:val="false"/>
          <w:bCs w:val="false"/>
          <w:i w:val="false"/>
          <w:iCs w:val="false"/>
          <w:color w:val="0D0D0B"/>
          <w:sz w:val="20"/>
          <w:szCs w:val="20"/>
        </w:rPr>
        <w:t xml:space="preserve">Insurance underwriters pricing coverage for organisations deploying autonomous systems currently lack a standardised governance signal. The Lloyd's Market Association's January 2026 survey confirmed this condition: the survey was conducted because the actuarial data that standard loss modelling requires does not yet exist for AI exposures. Underwriters are pricing autonomous system risk against class averages, general industry assessments, and management representations rather than against the governance posture of specific deployments.</w:t>
      </w:r>
    </w:p>
    <w:p>
      <w:pPr>
        <w:spacing w:before="0" w:after="120" w:line="280" w:lineRule="auto"/>
        <w:jc w:val="left"/>
      </w:pPr>
      <w:r>
        <w:rPr>
          <w:rFonts w:ascii="Arial" w:cs="Arial" w:eastAsia="Arial" w:hAnsi="Arial"/>
          <w:b w:val="false"/>
          <w:bCs w:val="false"/>
          <w:i w:val="false"/>
          <w:iCs w:val="false"/>
          <w:color w:val="0D0D0B"/>
          <w:sz w:val="20"/>
          <w:szCs w:val="20"/>
        </w:rPr>
        <w:t xml:space="preserve">This crosswalk maps ARAF dimensional assessment output to the underwriting workflow for the four insurance lines most exposed to autonomous system deployment: directors and officers liability (D&amp;O), technology errors and omissions (tech E&amp;O), cyber insurance, and professional indemnity. It also maps ARAF's six governance dimensions to the legal, regulatory, and professional obligations that apply when autonomous systems participate in insurance decision-making — identifying, for each obligation, whether ARAF certification addresses it, partially supports it, or does not assess it.</w:t>
      </w:r>
    </w:p>
    <w:p>
      <w:pPr>
        <w:spacing w:before="0" w:after="120" w:line="280" w:lineRule="auto"/>
        <w:jc w:val="left"/>
      </w:pPr>
      <w:r>
        <w:rPr>
          <w:rFonts w:ascii="Arial" w:cs="Arial" w:eastAsia="Arial" w:hAnsi="Arial"/>
          <w:b w:val="false"/>
          <w:bCs w:val="false"/>
          <w:i w:val="false"/>
          <w:iCs w:val="false"/>
          <w:color w:val="0D0D0B"/>
          <w:sz w:val="20"/>
          <w:szCs w:val="20"/>
        </w:rPr>
        <w:t xml:space="preserve">For underwriters: Part 1 (GBI score as underwriting input) and the underwriting signal column in each Part 2 table provide the decision inputs for submission evaluation and pricing. Part 3 maps ARAF outputs to submission, renewal, and claims workflows.</w:t>
      </w:r>
    </w:p>
    <w:p>
      <w:pPr>
        <w:spacing w:before="0" w:after="120" w:line="280" w:lineRule="auto"/>
        <w:jc w:val="left"/>
      </w:pPr>
      <w:r>
        <w:rPr>
          <w:rFonts w:ascii="Arial" w:cs="Arial" w:eastAsia="Arial" w:hAnsi="Arial"/>
          <w:b w:val="false"/>
          <w:bCs w:val="false"/>
          <w:i w:val="false"/>
          <w:iCs w:val="false"/>
          <w:color w:val="0D0D0B"/>
          <w:sz w:val="20"/>
          <w:szCs w:val="20"/>
        </w:rPr>
        <w:t xml:space="preserve">For brokers: Part 4 (conditioning coverage on ARAF certification) provides sample coverage language, the governance-conditional endorsement structure, and the exclusion carve-back mechanism for placement.</w:t>
      </w:r>
    </w:p>
    <w:p>
      <w:pPr>
        <w:spacing w:before="0" w:after="120" w:line="280" w:lineRule="auto"/>
        <w:jc w:val="left"/>
      </w:pPr>
      <w:r>
        <w:rPr>
          <w:rFonts w:ascii="Arial" w:cs="Arial" w:eastAsia="Arial" w:hAnsi="Arial"/>
          <w:b w:val="false"/>
          <w:bCs w:val="false"/>
          <w:i w:val="false"/>
          <w:iCs w:val="false"/>
          <w:color w:val="0D0D0B"/>
          <w:sz w:val="20"/>
          <w:szCs w:val="20"/>
        </w:rPr>
        <w:t xml:space="preserve">For general counsel and risk officers: Part 3 and the obligation mapping in Part 5 support insurance programme design and pre-loss governance positioning.</w:t>
      </w:r>
    </w:p>
    <w:p>
      <w:pPr>
        <w:spacing w:before="0" w:after="120" w:line="280" w:lineRule="auto"/>
        <w:jc w:val="left"/>
      </w:pPr>
      <w:r>
        <w:rPr>
          <w:rFonts w:ascii="Arial" w:cs="Arial" w:eastAsia="Arial" w:hAnsi="Arial"/>
          <w:b w:val="false"/>
          <w:bCs w:val="false"/>
          <w:i w:val="false"/>
          <w:iCs w:val="false"/>
          <w:color w:val="0D0D0B"/>
          <w:sz w:val="20"/>
          <w:szCs w:val="20"/>
        </w:rPr>
        <w:t xml:space="preserve">The seven legal principles mapped in Parts 2, 3, and 5 reflect established principles of administrative law, insurance law, and procedural fairness as they apply to AI-assisted decision-making. Part 3 identifies the governance obligations — decision quality, algorithmic fairness, individual procedural fairness, and decision transparency — that sit outside ARAF's scope and must be addressed through separate programmes.</w:t>
      </w: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What ARAF Certification Covers — and What It Does Not</w:t>
      </w:r>
    </w:p>
    <w:p>
      <w:pPr>
        <w:spacing w:before="0" w:after="120" w:line="280" w:lineRule="auto"/>
        <w:jc w:val="left"/>
      </w:pPr>
      <w:r>
        <w:rPr>
          <w:rFonts w:ascii="Arial" w:cs="Arial" w:eastAsia="Arial" w:hAnsi="Arial"/>
          <w:b w:val="false"/>
          <w:bCs w:val="false"/>
          <w:i w:val="false"/>
          <w:iCs w:val="false"/>
          <w:color w:val="0D0D0B"/>
          <w:sz w:val="20"/>
          <w:szCs w:val="20"/>
        </w:rPr>
        <w:t xml:space="preserve">ARAF certification is a governance infrastructure assessment. A Certified or Compliant assessment establishes that the deploying organisation has governance architecture in place for the systems assessed, that those structures were operating as designed during the assessment window, and that the evidence supporting that finding meets the applicable tier standard.</w:t>
      </w:r>
    </w:p>
    <w:p>
      <w:pPr>
        <w:spacing w:before="0" w:after="120" w:line="280" w:lineRule="auto"/>
        <w:jc w:val="left"/>
      </w:pPr>
      <w:r>
        <w:rPr>
          <w:rFonts w:ascii="Arial" w:cs="Arial" w:eastAsia="Arial" w:hAnsi="Arial"/>
          <w:b w:val="false"/>
          <w:bCs w:val="false"/>
          <w:i w:val="false"/>
          <w:iCs w:val="false"/>
          <w:color w:val="0D0D0B"/>
          <w:sz w:val="20"/>
          <w:szCs w:val="20"/>
        </w:rPr>
        <w:t xml:space="preserve">ARAF certification does not constitute a finding that individual decisions produced by assessed systems were substantively correct, reasonable in light of the available evidence, free from discriminatory impact, or consistent with applicable anti-discrimination obligations. It does not assess whether affected individuals received fair process or adequate explanation of decisions affecting them.</w:t>
      </w:r>
    </w:p>
    <w:p>
      <w:pPr>
        <w:spacing w:before="0" w:after="120" w:line="280" w:lineRule="auto"/>
        <w:jc w:val="left"/>
      </w:pPr>
      <w:r>
        <w:rPr>
          <w:rFonts w:ascii="Arial" w:cs="Arial" w:eastAsia="Arial" w:hAnsi="Arial"/>
          <w:b w:val="false"/>
          <w:bCs w:val="false"/>
          <w:i w:val="false"/>
          <w:iCs w:val="false"/>
          <w:color w:val="0D0D0B"/>
          <w:sz w:val="20"/>
          <w:szCs w:val="20"/>
        </w:rPr>
        <w:t xml:space="preserve">Insurers should not represent ARAF certification as a comprehensive AI governance credential that discharges all obligations arising from autonomous system deployment. Four categories of obligation sit outside ARAF's scope and must be addressed through separate programmes:</w:t>
      </w:r>
    </w:p>
    <w:p>
      <w:pPr>
        <w:spacing w:before="0" w:after="120" w:line="280" w:lineRule="auto"/>
        <w:jc w:val="left"/>
      </w:pPr>
      <w:r>
        <w:rPr>
          <w:rFonts w:ascii="Arial" w:cs="Arial" w:eastAsia="Arial" w:hAnsi="Arial"/>
          <w:b w:val="false"/>
          <w:bCs w:val="false"/>
          <w:i w:val="false"/>
          <w:iCs w:val="false"/>
          <w:color w:val="0D0D0B"/>
          <w:sz w:val="20"/>
          <w:szCs w:val="20"/>
        </w:rPr>
        <w:t xml:space="preserve">Decision quality and substantive reasonableness. ARAF governs the infrastructure through which decisions are produced; it does not evaluate whether individual outputs were correct or reasonable given the evidence.</w:t>
      </w:r>
    </w:p>
    <w:p>
      <w:pPr>
        <w:spacing w:before="0" w:after="120" w:line="280" w:lineRule="auto"/>
        <w:jc w:val="left"/>
      </w:pPr>
      <w:r>
        <w:rPr>
          <w:rFonts w:ascii="Arial" w:cs="Arial" w:eastAsia="Arial" w:hAnsi="Arial"/>
          <w:b w:val="false"/>
          <w:bCs w:val="false"/>
          <w:i w:val="false"/>
          <w:iCs w:val="false"/>
          <w:color w:val="0D0D0B"/>
          <w:sz w:val="20"/>
          <w:szCs w:val="20"/>
        </w:rPr>
        <w:t xml:space="preserve">Algorithmic fairness and non-discrimination. D2 (Data Sensitivity Exposure) assesses training data provenance and operational data sensitivity. It does not assess whether the system produces disparate outcomes across protected groups or whether outputs satisfy applicable anti-discrimination obligations.</w:t>
      </w:r>
    </w:p>
    <w:p>
      <w:pPr>
        <w:spacing w:before="0" w:after="120" w:line="280" w:lineRule="auto"/>
        <w:jc w:val="left"/>
      </w:pPr>
      <w:r>
        <w:rPr>
          <w:rFonts w:ascii="Arial" w:cs="Arial" w:eastAsia="Arial" w:hAnsi="Arial"/>
          <w:b w:val="false"/>
          <w:bCs w:val="false"/>
          <w:i w:val="false"/>
          <w:iCs w:val="false"/>
          <w:color w:val="0D0D0B"/>
          <w:sz w:val="20"/>
          <w:szCs w:val="20"/>
        </w:rPr>
        <w:t xml:space="preserve">Procedural fairness to affected individuals. ARAF governance infrastructure supports the organisation's ability to reconstruct and defend its decisions. It does not address the right of affected individuals to be heard, to respond to adverse information before a decision is finalised, or to have their individual circumstances meaningfully considered.</w:t>
      </w:r>
    </w:p>
    <w:p>
      <w:pPr>
        <w:spacing w:before="0" w:after="120" w:line="280" w:lineRule="auto"/>
        <w:jc w:val="left"/>
      </w:pPr>
      <w:r>
        <w:rPr>
          <w:rFonts w:ascii="Arial" w:cs="Arial" w:eastAsia="Arial" w:hAnsi="Arial"/>
          <w:b w:val="false"/>
          <w:bCs w:val="false"/>
          <w:i w:val="false"/>
          <w:iCs w:val="false"/>
          <w:color w:val="0D0D0B"/>
          <w:sz w:val="20"/>
          <w:szCs w:val="20"/>
        </w:rPr>
        <w:t xml:space="preserve">Transparency to decision subjects. ARAF's reconstructability framework is designed for institutional post-hoc review. It answers the question an insurer, regulator, or court asks after an adverse outcome: can you reconstruct what happened and why? It does not address the contemporaneous obligation to explain a decision to the affected individual.</w:t>
      </w: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The Underwriting Problem ARAF Addresses</w:t>
      </w:r>
    </w:p>
    <w:p>
      <w:pPr>
        <w:spacing w:before="0" w:after="120" w:line="280" w:lineRule="auto"/>
        <w:jc w:val="left"/>
      </w:pPr>
      <w:r>
        <w:rPr>
          <w:rFonts w:ascii="Arial" w:cs="Arial" w:eastAsia="Arial" w:hAnsi="Arial"/>
          <w:b w:val="false"/>
          <w:bCs w:val="false"/>
          <w:i w:val="false"/>
          <w:iCs w:val="false"/>
          <w:color w:val="0D0D0B"/>
          <w:sz w:val="20"/>
          <w:szCs w:val="20"/>
        </w:rPr>
        <w:t xml:space="preserve">The insurance market's current response to autonomous system risk is exclusion rather than pricing. Standardised policy endorsements issued by the Insurance Services Office (ISO CG 40 47 and CG 40 48) remove AI-generated output from coverage under commercial general liability policies. Individual Lloyd's market carriers have introduced AI-specific exclusions across affected lines, including absolute AI exclusions across D&amp;O, E&amp;O, and fiduciary liability lines.</w:t>
      </w:r>
    </w:p>
    <w:p>
      <w:pPr>
        <w:spacing w:before="0" w:after="120" w:line="280" w:lineRule="auto"/>
        <w:jc w:val="left"/>
      </w:pPr>
      <w:r>
        <w:rPr>
          <w:rFonts w:ascii="Arial" w:cs="Arial" w:eastAsia="Arial" w:hAnsi="Arial"/>
          <w:b w:val="false"/>
          <w:bCs w:val="false"/>
          <w:i w:val="false"/>
          <w:iCs w:val="false"/>
          <w:color w:val="0D0D0B"/>
          <w:sz w:val="20"/>
          <w:szCs w:val="20"/>
        </w:rPr>
        <w:t xml:space="preserve">Exclusion is the rational market response when risks cannot be segmented. An underwriter who cannot distinguish between a well-governed deployment and a poorly-governed deployment must price both at the worst-case rate or exclude the exposure entirely. Governance classification changes this equation. An underwriter who can assess governance posture through a standardised, independently verified signal can segment risk, price to governance quality, and offer coverage where exclusion was previously the only option.</w:t>
      </w:r>
    </w:p>
    <w:p>
      <w:pPr>
        <w:spacing w:before="0" w:after="120" w:line="280" w:lineRule="auto"/>
        <w:jc w:val="left"/>
      </w:pPr>
      <w:r>
        <w:rPr>
          <w:rFonts w:ascii="Arial" w:cs="Arial" w:eastAsia="Arial" w:hAnsi="Arial"/>
          <w:b w:val="false"/>
          <w:bCs w:val="false"/>
          <w:i w:val="false"/>
          <w:iCs w:val="false"/>
          <w:color w:val="0D0D0B"/>
          <w:sz w:val="20"/>
          <w:szCs w:val="20"/>
        </w:rPr>
        <w:t xml:space="preserve">The GBI provides that signal. The dimensional profile provides the risk segmentation detail. The evidence tier classification provides claims defensibility assessment before the claim arises.</w:t>
      </w:r>
    </w:p>
    <w:p>
      <w:pPr>
        <w:spacing w:before="0" w:after="120" w:line="280" w:lineRule="auto"/>
        <w:jc w:val="left"/>
      </w:pPr>
      <w:r>
        <w:rPr>
          <w:rFonts w:ascii="Arial" w:cs="Arial" w:eastAsia="Arial" w:hAnsi="Arial"/>
          <w:b w:val="false"/>
          <w:bCs w:val="false"/>
          <w:i w:val="false"/>
          <w:iCs w:val="false"/>
          <w:color w:val="0D0D0B"/>
          <w:sz w:val="20"/>
          <w:szCs w:val="20"/>
        </w:rPr>
        <w:t xml:space="preserve">Where an insurer has applied an AI exclusion, an ARAF assessment provides the governance signal that enables the insurer to replace the blanket exclusion with a governance-conditional endorsement. The sequence: (1) AI exclusion applied as the default coverage position; (2) insured presents a current ARAF assessment at Certified or Compliant tier; (3) insurer replaces or narrows the exclusion through a governance-conditional endorsement covering AI exposure for assessed systems meeting the specified governance threshold.</w:t>
      </w: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Part 1: The GBI Score as an Underwriting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GBI Score Range</w:t>
            </w:r>
          </w:p>
        </w:tc>
        <w:tc>
          <w:tcPr>
            <w:tcW w:type="dxa" w:w="1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Certification Tier</w:t>
            </w:r>
          </w:p>
        </w:tc>
        <w:tc>
          <w:tcPr>
            <w:tcW w:type="dxa" w:w="57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Underwriting Implication Across All Lines</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1.0 to 1.75</w:t>
            </w:r>
          </w:p>
        </w:tc>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ARAF Certified</w:t>
            </w:r>
          </w:p>
        </w:tc>
        <w:tc>
          <w:tcPr>
            <w:tcW w:type="dxa" w:w="5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Strong governance posture. Independently assessed governance architecture supports institutional reliance. Preferred pricing class. Claims defensibility is highest: Tier 1 evidence, operational GCI, documented authority boundaries.</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1.75 to 2.50</w:t>
            </w:r>
          </w:p>
        </w:tc>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ARAF Compliant</w:t>
            </w:r>
          </w:p>
        </w:tc>
        <w:tc>
          <w:tcPr>
            <w:tcW w:type="dxa" w:w="5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Adequate governance posture with conditions. Architecture in place with identified areas for enhanced monitoring. Standard pricing with governance conditions noted. Claims defensibility conditional on GCI maintenance. Monitor GCI at renewal.</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Above 2.50</w:t>
            </w:r>
          </w:p>
        </w:tc>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Not ARAF Compliant</w:t>
            </w:r>
          </w:p>
        </w:tc>
        <w:tc>
          <w:tcPr>
            <w:tcW w:type="dxa" w:w="5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Governance architecture inadequate for institutional reliance. Remediation required. Underwriting options: decline AI-specific exposure, apply AI-specific exclusions, apply materially higher premium reflecting governance gap, or condition coverage on achieving Compliant certification within a defined period.</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Active multiplier</w:t>
            </w:r>
          </w:p>
        </w:tc>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N/A (compound risk)</w:t>
            </w:r>
          </w:p>
        </w:tc>
        <w:tc>
          <w:tcPr>
            <w:tcW w:type="dxa" w:w="5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Compound governance failure requiring specific underwriting attention. Systemic Escalation (D1 ≥ 4 AND D4 ≥ 4): highest D&amp;O exposure. Infrastructure Collapse (D3 ≥ 4 AND D1 ≥ 3): highest E&amp;O exposure from contractual gaps. Leverage Collapse (D5 ≥ 4 AND D4 ≥ 4): highest concentration risk. Enhanced underwriting review required regardless of composite GBI.</w:t>
            </w:r>
          </w:p>
        </w:tc>
      </w:tr>
    </w:tbl>
    <w:p>
      <w:pPr>
        <w:spacing w:before="120" w:after="80"/>
        <w:jc w:val="left"/>
      </w:pP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Part 2: Dimensional Mapping to Insurance Lines</w:t>
      </w:r>
    </w:p>
    <w:p>
      <w:pPr>
        <w:spacing w:before="320" w:after="120"/>
        <w:jc w:val="left"/>
      </w:pPr>
      <w:r>
        <w:rPr>
          <w:rFonts w:ascii="Arial" w:cs="Arial" w:eastAsia="Arial" w:hAnsi="Arial"/>
          <w:b/>
          <w:bCs/>
          <w:i w:val="false"/>
          <w:iCs w:val="false"/>
          <w:color w:val="0D0D0B"/>
          <w:sz w:val="22"/>
          <w:szCs w:val="22"/>
        </w:rPr>
        <w:t xml:space="preserve">D&amp;O (Directors and Officers Liability)</w:t>
      </w:r>
    </w:p>
    <w:p>
      <w:pPr>
        <w:spacing w:before="0" w:after="120" w:line="280" w:lineRule="auto"/>
        <w:jc w:val="left"/>
      </w:pPr>
      <w:r>
        <w:rPr>
          <w:rFonts w:ascii="Arial" w:cs="Arial" w:eastAsia="Arial" w:hAnsi="Arial"/>
          <w:b w:val="false"/>
          <w:bCs w:val="false"/>
          <w:i/>
          <w:iCs/>
          <w:color w:val="0D0D0B"/>
          <w:sz w:val="20"/>
          <w:szCs w:val="20"/>
        </w:rPr>
        <w:t xml:space="preserve">Underwriting question: Can the board demonstrate it governed the autonomous systems producing consequential decisions?</w:t>
      </w:r>
    </w:p>
    <w:p>
      <w:pPr>
        <w:spacing w:before="0" w:after="120" w:line="280" w:lineRule="auto"/>
        <w:jc w:val="left"/>
      </w:pPr>
      <w:r>
        <w:rPr>
          <w:rFonts w:ascii="Arial" w:cs="Arial" w:eastAsia="Arial" w:hAnsi="Arial"/>
          <w:b w:val="false"/>
          <w:bCs w:val="false"/>
          <w:i w:val="false"/>
          <w:iCs w:val="false"/>
          <w:color w:val="0D0D0B"/>
          <w:sz w:val="20"/>
          <w:szCs w:val="20"/>
        </w:rPr>
        <w:t xml:space="preserve">The accountability standard for director governance of autonomous systems is established across major jurisdictions. In Australia, ASIC v Bekier [2026] FCA 196 holds that for officers with direct operational responsibility, governance documentation existing on paper but not accompanied by demonstrable understanding and action does not satisfy the statutory duty of care (Corporations Act 2001 (Cth) s 180(1)). ASIC v Healey [2011] FCA 717 requires directors to engage substantively with governance information, not merely approve its receipt. ASIC v Cassimatis [2016] FCA 1023 holds that delegation to management does not discharge the duty without an independent basis for verifying management's representations. In the United States, the Caremark/Marchand line imposes equivalent monitoring obligations.</w:t>
      </w:r>
    </w:p>
    <w:p>
      <w:pPr>
        <w:spacing w:before="12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520"/>
        <w:gridCol w:w="2760"/>
      </w:tblGrid>
      <w:tr>
        <w:tc>
          <w:tcPr>
            <w:tcW w:type="dxa" w:w="1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ARAF Dimension</w:t>
            </w:r>
          </w:p>
        </w:tc>
        <w:tc>
          <w:tcPr>
            <w:tcW w:type="dxa" w:w="228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Relevance to Underwriting</w:t>
            </w:r>
          </w:p>
        </w:tc>
        <w:tc>
          <w:tcPr>
            <w:tcW w:type="dxa" w:w="252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What the Underwriter Should Examine</w:t>
            </w:r>
          </w:p>
        </w:tc>
        <w:tc>
          <w:tcPr>
            <w:tcW w:type="dxa" w:w="27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Underwriting Signal</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D1: Autonomy Gradient</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higher the autonomy level, the greater the board's exposure if it cannot demonstrate adequate oversight. D1 ≥ 4 with supervisory-only human oversight creates the Bekier condition: governance structures that exist but are not substantively exercised.</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score and oversight adequacy sub-assessment. 1.0–2.0 = meaningful human oversight with documented authority boundaries. Above 3.0 = oversight gaps. 4.0+ = system operates with authority exceeding governance oversight capacity.</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above 3.0: elevated D&amp;O exposure. The board may be unable to demonstrate it understood and governed the authority delegation. D1 at or below 2.0: architecture supports adequate oversight.</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D4: Liability Architecture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D4 determines whether the organisation has defined what happens when autonomous action produces adverse consequences. A board that deployed a system without a liability architecture cannot answer "what did they do" under the institutional accountability test.</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D4 score and AE3 classification. 1.0–2.0 = defined liability boundaries and insurance coverage aligned to deployment scope. Above 3.0 = material gaps. 4.0+ = no formal liability architecture.</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D4 above 3.0: material D&amp;O exposure. The board authorised a deployment without a liability architecture to absorb its consequences. D4 at or below 2.0: liability architecture defined and documented.</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D1 + D4 (Systemic Escalation)</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 4 AND D4 ≥ 4 identifies the highest-risk D&amp;O profile: high-speed autonomous decisions producing consequences no liability framework is designed to absorb. The board cannot demonstrate adequate oversight (D1) or adequate liability preparation (D4).</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Whether the Systemic Escalation multiplier is active.</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Systemic Escalation active: the highest D&amp;O risk classification. The board's governance position is weakest precisely where the consequences are greatest.</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D5: Commercial Leverage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D5 identifies whether the organisation can exit or substitute the system if governance remediation is required. A board that authorised a deployment it cannot exit has delegated authority without retained governance capacity.</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D5 score and remediation resistance sub-assessment. D5 above 3.0 = structural dependency the organisation cannot practically exit.</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D5 above 3.0: the board's ability to remediate is commercially constrained. The defence that "the board took corrective action" may be unavailable if corrective action requires exiting a system the organisation cannot leave.</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D6: Adaptive Stability</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D6 determines whether the governance posture at policy inception persists over the policy period. A system well-governed at binding may drift through model updates, scope expansion, or authority threshold changes.</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D6 score and Drift Detection component. Does the architecture detect and report changes that alter the D&amp;O risk profile during the policy period?</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D6 above 3.0: governance may not maintain currency over the policy period. Consider more frequent reporting obligations or a mid-term review condition. D6 at or below 2.0: monitoring and reassessment mechanisms maintain currency.</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GCI (Governance Coherence)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GCI determines whether governance was exercised during the policy period, not only whether governance structures existed. A D&amp;O claim turns on evidence of governance action, not merely governance documentation.</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GCI composite and the Control Exercise component. Strong GBI with weak GCI = governance on paper not exercised in practice — the Bekier failure condition.</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GCI below conformance threshold: the board has governance documentation but cannot demonstrate governance action. Weakens insured's defence position and increases underwriter's expected loss severity.</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Evidence Tier (EIS-01)</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evidence tier determines claims defensibility. A board that can produce Tier 1 evidence (infrastructure-generated, contemporaneous governance records) has the strongest defence.</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Evidence tier classification across D1 and D4 primarily. Tier 1 evidence supports the position that governance was exercised. Tier 3 or absent evidence means governance conditions cannot be reconstructed.</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Evidence at Tier 1: D&amp;O claims defensibility supported by contemporaneous records. Evidence at Tier 3 or absent: board cannot demonstrate governance action at the time of the event.</w:t>
            </w:r>
          </w:p>
        </w:tc>
      </w:tr>
    </w:tbl>
    <w:p>
      <w:pPr>
        <w:spacing w:before="120" w:after="80"/>
        <w:jc w:val="left"/>
      </w:pPr>
    </w:p>
    <w:p>
      <w:pPr>
        <w:spacing w:before="320" w:after="120"/>
        <w:jc w:val="left"/>
      </w:pPr>
      <w:r>
        <w:rPr>
          <w:rFonts w:ascii="Arial" w:cs="Arial" w:eastAsia="Arial" w:hAnsi="Arial"/>
          <w:b/>
          <w:bCs/>
          <w:i w:val="false"/>
          <w:iCs w:val="false"/>
          <w:color w:val="0D0D0B"/>
          <w:sz w:val="22"/>
          <w:szCs w:val="22"/>
        </w:rPr>
        <w:t xml:space="preserve">Procedural Fairness: D1 and Individual-Impact Decisions</w:t>
      </w:r>
    </w:p>
    <w:p>
      <w:pPr>
        <w:spacing w:before="0" w:after="120" w:line="280" w:lineRule="auto"/>
        <w:jc w:val="left"/>
      </w:pPr>
      <w:r>
        <w:rPr>
          <w:rFonts w:ascii="Arial" w:cs="Arial" w:eastAsia="Arial" w:hAnsi="Arial"/>
          <w:b w:val="false"/>
          <w:bCs w:val="false"/>
          <w:i w:val="false"/>
          <w:iCs w:val="false"/>
          <w:color w:val="0D0D0B"/>
          <w:sz w:val="20"/>
          <w:szCs w:val="20"/>
        </w:rPr>
        <w:t xml:space="preserve">D1 (Autonomy Gradient) is central to the D&amp;O analysis above. D1 scores at or above 3.0 for systems making individual-impact decisions (claim denial, fraud referral, policy cancellation) will typically not support Compliant or Certified outcomes without documented human authority at the decision point. A system operating at high autonomy for these categories requires documented authority chain evidence showing a human with delegated authority reviewed and confirmed the output before it was acted upon.</w:t>
      </w:r>
    </w:p>
    <w:p>
      <w:pPr>
        <w:spacing w:before="0" w:after="120" w:line="280" w:lineRule="auto"/>
        <w:jc w:val="left"/>
      </w:pPr>
      <w:r>
        <w:rPr>
          <w:rFonts w:ascii="Arial" w:cs="Arial" w:eastAsia="Arial" w:hAnsi="Arial"/>
          <w:b w:val="false"/>
          <w:bCs w:val="false"/>
          <w:i w:val="false"/>
          <w:iCs w:val="false"/>
          <w:color w:val="0D0D0B"/>
          <w:sz w:val="20"/>
          <w:szCs w:val="20"/>
        </w:rPr>
        <w:t xml:space="preserve">The procedural obligation owed to the affected individual is not discharged by strong D1 governance. An insurer that has documented authority boundaries and achieved Compliant tier on D1 has demonstrated that its governance structure is sound. It has not demonstrated that the affected individual received fair process. Notice, opportunity to be heard, and consideration of individual circumstances are obligations the insurer must satisfy through its claims and underwriting processes, not through its governance architecture.</w:t>
      </w:r>
    </w:p>
    <w:p>
      <w:pPr>
        <w:spacing w:before="320" w:after="120"/>
        <w:jc w:val="left"/>
      </w:pPr>
      <w:r>
        <w:rPr>
          <w:rFonts w:ascii="Arial" w:cs="Arial" w:eastAsia="Arial" w:hAnsi="Arial"/>
          <w:b/>
          <w:bCs/>
          <w:i w:val="false"/>
          <w:iCs w:val="false"/>
          <w:color w:val="0D0D0B"/>
          <w:sz w:val="22"/>
          <w:szCs w:val="22"/>
        </w:rPr>
        <w:t xml:space="preserve">Tech E&amp;O (Technology Errors and Omissions)</w:t>
      </w:r>
    </w:p>
    <w:p>
      <w:pPr>
        <w:spacing w:before="0" w:after="120" w:line="280" w:lineRule="auto"/>
        <w:jc w:val="left"/>
      </w:pPr>
      <w:r>
        <w:rPr>
          <w:rFonts w:ascii="Arial" w:cs="Arial" w:eastAsia="Arial" w:hAnsi="Arial"/>
          <w:b w:val="false"/>
          <w:bCs w:val="false"/>
          <w:i/>
          <w:iCs/>
          <w:color w:val="0D0D0B"/>
          <w:sz w:val="20"/>
          <w:szCs w:val="20"/>
        </w:rPr>
        <w:t xml:space="preserve">Underwriting question: Will the AI system's outputs produce professional liability exposure?</w:t>
      </w:r>
    </w:p>
    <w:p>
      <w:pPr>
        <w:spacing w:before="12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520"/>
        <w:gridCol w:w="2760"/>
      </w:tblGrid>
      <w:tr>
        <w:tc>
          <w:tcPr>
            <w:tcW w:type="dxa" w:w="1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ARAF Dimension</w:t>
            </w:r>
          </w:p>
        </w:tc>
        <w:tc>
          <w:tcPr>
            <w:tcW w:type="dxa" w:w="228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Relevance to Underwriting</w:t>
            </w:r>
          </w:p>
        </w:tc>
        <w:tc>
          <w:tcPr>
            <w:tcW w:type="dxa" w:w="252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What the Underwriter Should Examine</w:t>
            </w:r>
          </w:p>
        </w:tc>
        <w:tc>
          <w:tcPr>
            <w:tcW w:type="dxa" w:w="27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Underwriting Signal</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D1: Autonomy Gradient</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autonomy level determines whether the system produces advisory outputs (lower E&amp;O exposure, human acts on recommendation) or committal outputs (higher E&amp;O exposure, system executes directly). A system that commits transactions, deploys code, or sends communications autonomously creates E&amp;O exposure at the execution layer.</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score and commitment authority sub-assessment. Committal authority creates a different E&amp;O exposure profile from advisory authority.</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indicating committal authority: E&amp;O exposure attaches at the execution layer. D1 indicating advisory authority: E&amp;O exposure attaches at the recommendation layer. Premium and coverage structure should reflect this distinction.</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D2: Data Sensitivity Exposure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data categories the system processes determine the magnitude of E&amp;O exposure if the system produces erroneous outputs. Note: D2 assesses data provenance and sensitivity; it does not assess whether outputs are fair or unbiased across groups.</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score, distinguishing between operational data sensitivity and training data provenance. An E&amp;O claim may arise from either: erroneous outputs caused by operational data quality issues, or systematic errors caused by training data deficiencies.</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above 3.0: high-sensitivity data categories where errors produce high-consequence E&amp;O exposure. D2 at or below 2.0: data sensitivity lower and E&amp;O exposure from data-driven errors bounded.</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D3: Contract Infrastructure</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D3 determines whether contracts allocate E&amp;O liability for AI-generated outputs or default to standard limitation clauses not designed for autonomous system errors.</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D3 score and liability provisions sub-assessment. Does the vendor's contract address liability for errors in AI-generated outputs, or limit liability to standard service availability metrics? A gap between what the system can do (D1) and what the contract covers (D3) is a direct E&amp;O finding.</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Infrastructure Collapse (D3 ≥ 4 AND D1 ≥ 3): contractual liability allocation does not cover the autonomous action scope. E&amp;O exposure may fall entirely on the deploying organisation.</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GCI (Governance Coherence)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GCI determines whether governance controls that supported the E&amp;O risk assessment at binding were still operating at the time of the alleged error.</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GCI composite and Control Exercise component. Strong GBI with weak GCI: the deployer had governance architecture but was not exercising it when the error occurred.</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GCI below conformance threshold: governance controls were not operating at the required cadence. E&amp;O claims defensibility weakened because the deployer cannot demonstrate the error occurred despite active governance.</w:t>
            </w:r>
          </w:p>
        </w:tc>
      </w:tr>
    </w:tbl>
    <w:p>
      <w:pPr>
        <w:spacing w:before="120" w:after="80"/>
        <w:jc w:val="left"/>
      </w:pPr>
    </w:p>
    <w:p>
      <w:pPr>
        <w:spacing w:before="320" w:after="120"/>
        <w:jc w:val="left"/>
      </w:pPr>
      <w:r>
        <w:rPr>
          <w:rFonts w:ascii="Arial" w:cs="Arial" w:eastAsia="Arial" w:hAnsi="Arial"/>
          <w:b/>
          <w:bCs/>
          <w:i w:val="false"/>
          <w:iCs w:val="false"/>
          <w:color w:val="0D0D0B"/>
          <w:sz w:val="22"/>
          <w:szCs w:val="22"/>
        </w:rPr>
        <w:t xml:space="preserve">Algorithmic Fairness and Non-Discrimination: Parallel Obligations</w:t>
      </w:r>
    </w:p>
    <w:p>
      <w:pPr>
        <w:spacing w:before="0" w:after="120" w:line="280" w:lineRule="auto"/>
        <w:jc w:val="left"/>
      </w:pPr>
      <w:r>
        <w:rPr>
          <w:rFonts w:ascii="Arial" w:cs="Arial" w:eastAsia="Arial" w:hAnsi="Arial"/>
          <w:b w:val="false"/>
          <w:bCs w:val="false"/>
          <w:i w:val="false"/>
          <w:iCs w:val="false"/>
          <w:color w:val="0D0D0B"/>
          <w:sz w:val="20"/>
          <w:szCs w:val="20"/>
        </w:rPr>
        <w:t xml:space="preserve">D2 (Data Sensitivity Exposure) assesses data provenance and sensitivity. It does not assess whether the system produces disparate outcomes across demographic groups, whether model variables act as proxies for protected characteristics, or whether outputs satisfy anti-discrimination obligations. A strong D2 score and algorithmic fairness are separate questions requiring separate programmes.</w:t>
      </w:r>
    </w:p>
    <w:p>
      <w:pPr>
        <w:spacing w:before="0" w:after="120" w:line="280" w:lineRule="auto"/>
        <w:jc w:val="left"/>
      </w:pPr>
      <w:r>
        <w:rPr>
          <w:rFonts w:ascii="Arial" w:cs="Arial" w:eastAsia="Arial" w:hAnsi="Arial"/>
          <w:b w:val="false"/>
          <w:bCs w:val="false"/>
          <w:i w:val="false"/>
          <w:iCs w:val="false"/>
          <w:color w:val="0D0D0B"/>
          <w:sz w:val="20"/>
          <w:szCs w:val="20"/>
        </w:rPr>
        <w:t xml:space="preserve">Insurers should maintain, independently of ARAF certification: bias testing at model development and update; fairness audits at defined intervals; proxy variable analysis; and regulatory engagement consistent with ASIC REP 798 and APRA model risk guidance. Protected characteristics under Australian law include age, disability, race, and sex.</w:t>
      </w:r>
    </w:p>
    <w:p>
      <w:pPr>
        <w:spacing w:before="320" w:after="120"/>
        <w:jc w:val="left"/>
      </w:pPr>
      <w:r>
        <w:rPr>
          <w:rFonts w:ascii="Arial" w:cs="Arial" w:eastAsia="Arial" w:hAnsi="Arial"/>
          <w:b/>
          <w:bCs/>
          <w:i w:val="false"/>
          <w:iCs w:val="false"/>
          <w:color w:val="0D0D0B"/>
          <w:sz w:val="22"/>
          <w:szCs w:val="22"/>
        </w:rPr>
        <w:t xml:space="preserve">Cyber Insurance</w:t>
      </w:r>
    </w:p>
    <w:p>
      <w:pPr>
        <w:spacing w:before="0" w:after="120" w:line="280" w:lineRule="auto"/>
        <w:jc w:val="left"/>
      </w:pPr>
      <w:r>
        <w:rPr>
          <w:rFonts w:ascii="Arial" w:cs="Arial" w:eastAsia="Arial" w:hAnsi="Arial"/>
          <w:b w:val="false"/>
          <w:bCs w:val="false"/>
          <w:i/>
          <w:iCs/>
          <w:color w:val="0D0D0B"/>
          <w:sz w:val="20"/>
          <w:szCs w:val="20"/>
        </w:rPr>
        <w:t xml:space="preserve">Underwriting question: What is the data exposure profile of this AI deployment?</w:t>
      </w:r>
    </w:p>
    <w:p>
      <w:pPr>
        <w:spacing w:before="12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520"/>
        <w:gridCol w:w="2760"/>
      </w:tblGrid>
      <w:tr>
        <w:tc>
          <w:tcPr>
            <w:tcW w:type="dxa" w:w="1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ARAF Dimension</w:t>
            </w:r>
          </w:p>
        </w:tc>
        <w:tc>
          <w:tcPr>
            <w:tcW w:type="dxa" w:w="228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Relevance to Underwriting</w:t>
            </w:r>
          </w:p>
        </w:tc>
        <w:tc>
          <w:tcPr>
            <w:tcW w:type="dxa" w:w="252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What the Underwriter Should Examine</w:t>
            </w:r>
          </w:p>
        </w:tc>
        <w:tc>
          <w:tcPr>
            <w:tcW w:type="dxa" w:w="27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Underwriting Signal</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D2: Data Sensitivity Exposure</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maps directly to the data exposure assessment cyber underwriters perform for any technology deployment. The additional complexity for AI: the exposure surface includes both operational data (what the system processes in production) and training data (what the system has ingested and potentially memorised).</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score and the dual classification (operational vs. training data). An AI system that processes personal data operationally AND was trained on proprietary data creates a compound exposure standard cyber policies may not be priced for.</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above 3.0: elevated data exposure requiring AI-specific pricing consideration. D2 at or below 2.0: data exposure within standard cyber risk parameters.</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D3: Contract Infrastructure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D3 identifies whether data processing agreements address the data categories the system actually processes. A gap between D2 (data exposure) and D3 (contractual coverage) is a cyber underwriting finding.</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D3 score with attention to data processing agreement adequacy. Does the DPA cover AI-specific processing (inference, embeddings, retrieval-augmented generation) or only standard data storage and transmission?</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Gap between D2 and D3: the organisation is processing data through AI systems under contracts not designed for that processing — the cyber equivalent of silent AI risk, paralleling the "silent cyber" condition addressed through LMA clauses in 2019–2020.</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D5: Commercial Leverage</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D5 identifies whether incident response capability is constrained by vendor dependency. An organisation locked into a vendor it cannot exit may be unable to isolate, contain, or remediate an AI-specific data exposure incident.</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D5 score combined with D3 (contractual incident response obligations). Does the vendor's contract include AI-specific incident response cooperation, or does the organisation depend on vendor goodwill?</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D5 above 3.0 combined with D3 above 3.0: cyber incident response for AI-related events depends on a vendor with limited contractual leverage. Incident containment timelines may extend.</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D6: Adaptive Stability</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D6 is relevant to cyber underwriting because model updates, data pipeline changes, and scope expansion can alter the data exposure profile between assessment periods.</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D6 score and the Drift Detection component. Does the architecture maintain current visibility into the system's data exposure as the system evolves?</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D6 above 3.0: the architecture may not detect changes to the data exposure profile. Cyber pricing should account for the possibility that the risk profile at binding is not the risk profile at claim.</w:t>
            </w:r>
          </w:p>
        </w:tc>
      </w:tr>
    </w:tbl>
    <w:p>
      <w:pPr>
        <w:spacing w:before="120" w:after="80"/>
        <w:jc w:val="left"/>
      </w:pPr>
    </w:p>
    <w:p>
      <w:pPr>
        <w:spacing w:before="320" w:after="120"/>
        <w:jc w:val="left"/>
      </w:pPr>
      <w:r>
        <w:rPr>
          <w:rFonts w:ascii="Arial" w:cs="Arial" w:eastAsia="Arial" w:hAnsi="Arial"/>
          <w:b/>
          <w:bCs/>
          <w:i w:val="false"/>
          <w:iCs w:val="false"/>
          <w:color w:val="0D0D0B"/>
          <w:sz w:val="22"/>
          <w:szCs w:val="22"/>
        </w:rPr>
        <w:t xml:space="preserve">Professional Indemnity</w:t>
      </w:r>
    </w:p>
    <w:p>
      <w:pPr>
        <w:spacing w:before="0" w:after="120" w:line="280" w:lineRule="auto"/>
        <w:jc w:val="left"/>
      </w:pPr>
      <w:r>
        <w:rPr>
          <w:rFonts w:ascii="Arial" w:cs="Arial" w:eastAsia="Arial" w:hAnsi="Arial"/>
          <w:b w:val="false"/>
          <w:bCs w:val="false"/>
          <w:i/>
          <w:iCs/>
          <w:color w:val="0D0D0B"/>
          <w:sz w:val="20"/>
          <w:szCs w:val="20"/>
        </w:rPr>
        <w:t xml:space="preserve">Underwriting question: Is the professional relying on AI-generated analysis for client-facing advice?</w:t>
      </w:r>
    </w:p>
    <w:p>
      <w:pPr>
        <w:spacing w:before="12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520"/>
        <w:gridCol w:w="2760"/>
      </w:tblGrid>
      <w:tr>
        <w:tc>
          <w:tcPr>
            <w:tcW w:type="dxa" w:w="18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ARAF Dimension</w:t>
            </w:r>
          </w:p>
        </w:tc>
        <w:tc>
          <w:tcPr>
            <w:tcW w:type="dxa" w:w="228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Relevance to Underwriting</w:t>
            </w:r>
          </w:p>
        </w:tc>
        <w:tc>
          <w:tcPr>
            <w:tcW w:type="dxa" w:w="252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What the Underwriter Should Examine</w:t>
            </w:r>
          </w:p>
        </w:tc>
        <w:tc>
          <w:tcPr>
            <w:tcW w:type="dxa" w:w="27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Underwriting Signal</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D1: Autonomy Gradient</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Determines whether the AI system is producing analysis the professional relies upon (advisory) or producing client-facing outputs directly (committal). A professional who delivers AI-generated analysis without substantive review is in the "supervisory not authorial" condition. ASIC v Healey [2011] FCA 717 applies: engagement must be substantive, not merely approval of receipt.</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score. Even advisory-level autonomy creates exposure if the professional cannot demonstrate they substantively reviewed the AI-generated analysis rather than merely approving its output.</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above 2.0 in a professional services context: the professional may be delivering AI-generated work product under conditions where review is supervisory rather than authorial. PI exposure increases because the defence depends on demonstrating independent judgment was exercised.</w:t>
            </w:r>
          </w:p>
        </w:tc>
      </w:tr>
      <w:tr>
        <w:tc>
          <w:tcPr>
            <w:tcW w:type="dxa" w:w="18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D4: Liability Architecture</w:t>
            </w:r>
          </w:p>
        </w:tc>
        <w:tc>
          <w:tcPr>
            <w:tcW w:type="dxa" w:w="228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D4 determines whether liability for errors in AI-generated professional advice is allocated between the AI vendor, the professional firm, and the client, or whether it defaults entirely to the professional.</w:t>
            </w:r>
          </w:p>
        </w:tc>
        <w:tc>
          <w:tcPr>
            <w:tcW w:type="dxa" w:w="252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D4 score and the liability allocation across the advisory chain. Has the professional firm allocated AI-specific liability to the vendor, or absorbed it within its own PI coverage?</w:t>
            </w:r>
          </w:p>
        </w:tc>
        <w:tc>
          <w:tcPr>
            <w:tcW w:type="dxa" w:w="27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D4 above 3.0 in a professional services context: the firm is delivering AI-assisted advice without a liability architecture designed for AI-generated errors. PI claims will be absorbed entirely by the firm's PI programme.</w:t>
            </w:r>
          </w:p>
        </w:tc>
      </w:tr>
      <w:tr>
        <w:tc>
          <w:tcPr>
            <w:tcW w:type="dxa" w:w="18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Evidence Tier (EIS-01)</w:t>
            </w:r>
          </w:p>
        </w:tc>
        <w:tc>
          <w:tcPr>
            <w:tcW w:type="dxa" w:w="228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The evidence tier determines PI claims defensibility. A professional who can produce Tier 1 evidence of the AI system's analysis, the data it relied upon, and the active governance controls has a defensible position.</w:t>
            </w:r>
          </w:p>
        </w:tc>
        <w:tc>
          <w:tcPr>
            <w:tcW w:type="dxa" w:w="252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Evidence tier classification for D1 and D2 primarily. Tier 1 evidence supports the defence that AI-assisted work was produced under governed conditions. Tier 3 or absent: the professional cannot reconstruct the analytical basis of the advice delivered.</w:t>
            </w:r>
          </w:p>
        </w:tc>
        <w:tc>
          <w:tcPr>
            <w:tcW w:type="dxa" w:w="27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Evidence at Tier 1: PI defence supported by contemporaneous records. Evidence at Tier 3 or absent: PI claims defensibility materially weakened.</w:t>
            </w:r>
          </w:p>
        </w:tc>
      </w:tr>
    </w:tbl>
    <w:p>
      <w:pPr>
        <w:spacing w:before="120" w:after="80"/>
        <w:jc w:val="left"/>
      </w:pP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Part 3: Using the Crosswalk in the Underwriting Workflow</w:t>
      </w:r>
    </w:p>
    <w:p>
      <w:pPr>
        <w:spacing w:before="200" w:after="60"/>
        <w:jc w:val="left"/>
      </w:pPr>
      <w:r>
        <w:rPr>
          <w:rFonts w:ascii="Arial" w:cs="Arial" w:eastAsia="Arial" w:hAnsi="Arial"/>
          <w:b/>
          <w:bCs/>
          <w:i w:val="false"/>
          <w:iCs w:val="false"/>
          <w:color w:val="A88644"/>
          <w:sz w:val="20"/>
          <w:szCs w:val="20"/>
        </w:rPr>
        <w:t xml:space="preserve">At submission / new business</w:t>
      </w:r>
    </w:p>
    <w:p>
      <w:pPr>
        <w:spacing w:before="0" w:after="120" w:line="280" w:lineRule="auto"/>
        <w:jc w:val="left"/>
      </w:pPr>
      <w:r>
        <w:rPr>
          <w:rFonts w:ascii="Arial" w:cs="Arial" w:eastAsia="Arial" w:hAnsi="Arial"/>
          <w:b w:val="false"/>
          <w:bCs w:val="false"/>
          <w:i w:val="false"/>
          <w:iCs w:val="false"/>
          <w:color w:val="0D0D0B"/>
          <w:sz w:val="20"/>
          <w:szCs w:val="20"/>
        </w:rPr>
        <w:t xml:space="preserve">The broker presents the ARAF assessment report alongside SOC 2 attestation and other governance documentation. The underwriter reviews the GBI score, dimensional profile, multiplier status, and evidence tier classification. The dimensional profile allows risk assessment by governance dimension rather than by class average. Two submissions with identical revenue, headcount, and AI deployment descriptions but different GBI scores represent materially different risks.</w:t>
      </w:r>
    </w:p>
    <w:p>
      <w:pPr>
        <w:spacing w:before="200" w:after="60"/>
        <w:jc w:val="left"/>
      </w:pPr>
      <w:r>
        <w:rPr>
          <w:rFonts w:ascii="Arial" w:cs="Arial" w:eastAsia="Arial" w:hAnsi="Arial"/>
          <w:b/>
          <w:bCs/>
          <w:i w:val="false"/>
          <w:iCs w:val="false"/>
          <w:color w:val="A88644"/>
          <w:sz w:val="20"/>
          <w:szCs w:val="20"/>
        </w:rPr>
        <w:t xml:space="preserve">At renewal</w:t>
      </w:r>
    </w:p>
    <w:p>
      <w:pPr>
        <w:spacing w:before="0" w:after="120" w:line="280" w:lineRule="auto"/>
        <w:jc w:val="left"/>
      </w:pPr>
      <w:r>
        <w:rPr>
          <w:rFonts w:ascii="Arial" w:cs="Arial" w:eastAsia="Arial" w:hAnsi="Arial"/>
          <w:b w:val="false"/>
          <w:bCs w:val="false"/>
          <w:i w:val="false"/>
          <w:iCs w:val="false"/>
          <w:color w:val="0D0D0B"/>
          <w:sz w:val="20"/>
          <w:szCs w:val="20"/>
        </w:rPr>
        <w:t xml:space="preserve">The underwriter compares the current GBI score against the prior period. Has governance posture improved, declined, or remained stable? Has the GCI been maintained or degraded? Have any reassessment triggers fired? Has the dimensional profile shifted in ways that alter risk for specific lines (e.g., D1 increased due to scope expansion, altering D&amp;O exposure)? The GBI trend over time is as informative as the point-in-time score.</w:t>
      </w:r>
    </w:p>
    <w:p>
      <w:pPr>
        <w:spacing w:before="200" w:after="60"/>
        <w:jc w:val="left"/>
      </w:pPr>
      <w:r>
        <w:rPr>
          <w:rFonts w:ascii="Arial" w:cs="Arial" w:eastAsia="Arial" w:hAnsi="Arial"/>
          <w:b/>
          <w:bCs/>
          <w:i w:val="false"/>
          <w:iCs w:val="false"/>
          <w:color w:val="A88644"/>
          <w:sz w:val="20"/>
          <w:szCs w:val="20"/>
        </w:rPr>
        <w:t xml:space="preserve">At claim</w:t>
      </w:r>
    </w:p>
    <w:p>
      <w:pPr>
        <w:spacing w:before="0" w:after="120" w:line="280" w:lineRule="auto"/>
        <w:jc w:val="left"/>
      </w:pPr>
      <w:r>
        <w:rPr>
          <w:rFonts w:ascii="Arial" w:cs="Arial" w:eastAsia="Arial" w:hAnsi="Arial"/>
          <w:b w:val="false"/>
          <w:bCs w:val="false"/>
          <w:i w:val="false"/>
          <w:iCs w:val="false"/>
          <w:color w:val="0D0D0B"/>
          <w:sz w:val="20"/>
          <w:szCs w:val="20"/>
        </w:rPr>
        <w:t xml:space="preserve">The evidence tier classification determines claims defensibility. The claims handler examines: what governance records existed at the time of the incident? At what evidence tier were they classified? Does the governance record support or undermine the insured's position that the deployment was governed when the adverse outcome occurred?</w:t>
      </w:r>
    </w:p>
    <w:p>
      <w:pPr>
        <w:spacing w:before="0" w:after="120" w:line="280" w:lineRule="auto"/>
        <w:jc w:val="left"/>
      </w:pPr>
      <w:r>
        <w:rPr>
          <w:rFonts w:ascii="Arial" w:cs="Arial" w:eastAsia="Arial" w:hAnsi="Arial"/>
          <w:b w:val="false"/>
          <w:bCs w:val="false"/>
          <w:i w:val="false"/>
          <w:iCs w:val="false"/>
          <w:color w:val="0D0D0B"/>
          <w:sz w:val="20"/>
          <w:szCs w:val="20"/>
        </w:rPr>
        <w:t xml:space="preserve">A Tier 1 governance record (infrastructure-generated, contemporaneous, not retrospectively assembled) supports the insured's defence. A Tier 3 or absent record means governance conditions cannot be reconstructed, weakening the insured's position under the institutional accountability test and potentially constituting a failure to mitigate that affects coverage.</w:t>
      </w:r>
    </w:p>
    <w:p>
      <w:pPr>
        <w:spacing w:before="0" w:after="120" w:line="280" w:lineRule="auto"/>
        <w:jc w:val="left"/>
      </w:pPr>
      <w:r>
        <w:rPr>
          <w:rFonts w:ascii="Arial" w:cs="Arial" w:eastAsia="Arial" w:hAnsi="Arial"/>
          <w:b w:val="false"/>
          <w:bCs w:val="false"/>
          <w:i w:val="false"/>
          <w:iCs w:val="false"/>
          <w:color w:val="0D0D0B"/>
          <w:sz w:val="20"/>
          <w:szCs w:val="20"/>
        </w:rPr>
        <w:t xml:space="preserve">The interaction with the insured's duty of disclosure (Insurance Contracts Act 1984 (Cth) s 21; Insurance Act 2015 (UK) s 3, and equivalent obligations in other jurisdictions) should also be considered: where ARAF status is material to the risk and the insured's governance posture has deteriorated since inception, failure to disclose that deterioration may independently affect the insurer's position.</w:t>
      </w:r>
    </w:p>
    <w:p>
      <w:pPr>
        <w:spacing w:before="0" w:after="120" w:line="280" w:lineRule="auto"/>
        <w:jc w:val="left"/>
      </w:pPr>
      <w:r>
        <w:rPr>
          <w:rFonts w:ascii="Arial" w:cs="Arial" w:eastAsia="Arial" w:hAnsi="Arial"/>
          <w:b w:val="false"/>
          <w:bCs w:val="false"/>
          <w:i w:val="false"/>
          <w:iCs w:val="false"/>
          <w:color w:val="0D0D0B"/>
          <w:sz w:val="20"/>
          <w:szCs w:val="20"/>
        </w:rPr>
        <w:t xml:space="preserve">The evidence tier report, produced at the time of ARAF assessment, is the artefact that determines this outcome. It exists before the claim. That is its value.</w:t>
      </w:r>
    </w:p>
    <w:p>
      <w:pPr>
        <w:spacing w:before="320" w:after="120"/>
        <w:jc w:val="left"/>
      </w:pPr>
      <w:r>
        <w:rPr>
          <w:rFonts w:ascii="Arial" w:cs="Arial" w:eastAsia="Arial" w:hAnsi="Arial"/>
          <w:b/>
          <w:bCs/>
          <w:i w:val="false"/>
          <w:iCs w:val="false"/>
          <w:color w:val="0D0D0B"/>
          <w:sz w:val="22"/>
          <w:szCs w:val="22"/>
        </w:rPr>
        <w:t xml:space="preserve">Parallel obligations: what insurers must govern independently</w:t>
      </w:r>
    </w:p>
    <w:p>
      <w:pPr>
        <w:spacing w:before="0" w:after="120" w:line="280" w:lineRule="auto"/>
        <w:jc w:val="left"/>
      </w:pPr>
      <w:r>
        <w:rPr>
          <w:rFonts w:ascii="Arial" w:cs="Arial" w:eastAsia="Arial" w:hAnsi="Arial"/>
          <w:b w:val="false"/>
          <w:bCs w:val="false"/>
          <w:i w:val="false"/>
          <w:iCs w:val="false"/>
          <w:color w:val="0D0D0B"/>
          <w:sz w:val="20"/>
          <w:szCs w:val="20"/>
        </w:rPr>
        <w:t xml:space="preserve">ARAF certification establishes that the governance infrastructure for autonomous decision systems meets the standard for institutional reliance. Four governance obligations sit outside that scope. For underwriters, these represent residual exposure ARAF certification does not eliminate.</w:t>
      </w:r>
    </w:p>
    <w:p>
      <w:pPr>
        <w:spacing w:before="0" w:after="120" w:line="280" w:lineRule="auto"/>
        <w:jc w:val="left"/>
      </w:pPr>
      <w:r>
        <w:rPr>
          <w:rFonts w:ascii="Arial" w:cs="Arial" w:eastAsia="Arial" w:hAnsi="Arial"/>
          <w:b w:val="false"/>
          <w:bCs w:val="false"/>
          <w:i w:val="false"/>
          <w:iCs w:val="false"/>
          <w:color w:val="0D0D0B"/>
          <w:sz w:val="20"/>
          <w:szCs w:val="20"/>
        </w:rPr>
        <w:t xml:space="preserve">Substantive reasonableness of individual decisions. ARAF's reconstructability framework gives an insurer the ability to demonstrate how a decision was produced. It does not assess whether the decision was reasonable in light of the evidence in the file. For high-impact individual decisions — claim denial, fraud referral, policy cancellation, underwriting declination — insurers should pair ARAF governance with a substantive review process that requires human verification that the automated output is consistent with the evidence in the file before the decision is finalised.</w:t>
      </w:r>
    </w:p>
    <w:p>
      <w:pPr>
        <w:spacing w:before="0" w:after="120" w:line="280" w:lineRule="auto"/>
        <w:jc w:val="left"/>
      </w:pPr>
      <w:r>
        <w:rPr>
          <w:rFonts w:ascii="Arial" w:cs="Arial" w:eastAsia="Arial" w:hAnsi="Arial"/>
          <w:b w:val="false"/>
          <w:bCs w:val="false"/>
          <w:i w:val="false"/>
          <w:iCs w:val="false"/>
          <w:color w:val="0D0D0B"/>
          <w:sz w:val="20"/>
          <w:szCs w:val="20"/>
        </w:rPr>
        <w:t xml:space="preserve">Algorithmic fairness and non-discrimination. D2 governance and algorithmic fairness are separate questions. Insurers must maintain independent bias testing, disparate impact monitoring, proxy variable analysis, and periodic fairness audits.</w:t>
      </w:r>
    </w:p>
    <w:p>
      <w:pPr>
        <w:spacing w:before="0" w:after="120" w:line="280" w:lineRule="auto"/>
        <w:jc w:val="left"/>
      </w:pPr>
      <w:r>
        <w:rPr>
          <w:rFonts w:ascii="Arial" w:cs="Arial" w:eastAsia="Arial" w:hAnsi="Arial"/>
          <w:b w:val="false"/>
          <w:bCs w:val="false"/>
          <w:i w:val="false"/>
          <w:iCs w:val="false"/>
          <w:color w:val="0D0D0B"/>
          <w:sz w:val="20"/>
          <w:szCs w:val="20"/>
        </w:rPr>
        <w:t xml:space="preserve">Procedural fairness to affected individuals. D1 governance architecture and individual procedural fairness are separate obligations. Insurers must maintain pre-decision notice, opportunity to respond, individual circumstance review, and post-decision notification through their claims and underwriting processes.</w:t>
      </w:r>
    </w:p>
    <w:p>
      <w:pPr>
        <w:spacing w:before="0" w:after="120" w:line="280" w:lineRule="auto"/>
        <w:jc w:val="left"/>
      </w:pPr>
      <w:r>
        <w:rPr>
          <w:rFonts w:ascii="Arial" w:cs="Arial" w:eastAsia="Arial" w:hAnsi="Arial"/>
          <w:b w:val="false"/>
          <w:bCs w:val="false"/>
          <w:i w:val="false"/>
          <w:iCs w:val="false"/>
          <w:color w:val="0D0D0B"/>
          <w:sz w:val="20"/>
          <w:szCs w:val="20"/>
        </w:rPr>
        <w:t xml:space="preserve">Transparency to decision subjects. ARAF's reconstructability framework answers: can the organisation reconstruct what happened and why? This is distinct from the contemporaneous obligation to explain a decision to the affected individual. Systems operating at high autonomy (D1 ≥ 3) create the greatest explanation risk.</w:t>
      </w:r>
    </w:p>
    <w:p>
      <w:pPr>
        <w:spacing w:before="320" w:after="120"/>
        <w:jc w:val="left"/>
      </w:pPr>
      <w:r>
        <w:rPr>
          <w:rFonts w:ascii="Arial" w:cs="Arial" w:eastAsia="Arial" w:hAnsi="Arial"/>
          <w:b/>
          <w:bCs/>
          <w:i w:val="false"/>
          <w:iCs w:val="false"/>
          <w:color w:val="0D0D0B"/>
          <w:sz w:val="22"/>
          <w:szCs w:val="22"/>
        </w:rPr>
        <w:t xml:space="preserve">Litigation readiness: the global judicial AI governance standard</w:t>
      </w:r>
    </w:p>
    <w:p>
      <w:pPr>
        <w:spacing w:before="0" w:after="120" w:line="280" w:lineRule="auto"/>
        <w:jc w:val="left"/>
      </w:pPr>
      <w:r>
        <w:rPr>
          <w:rFonts w:ascii="Arial" w:cs="Arial" w:eastAsia="Arial" w:hAnsi="Arial"/>
          <w:b w:val="false"/>
          <w:bCs w:val="false"/>
          <w:i w:val="false"/>
          <w:iCs w:val="false"/>
          <w:color w:val="0D0D0B"/>
          <w:sz w:val="20"/>
          <w:szCs w:val="20"/>
        </w:rPr>
        <w:t xml:space="preserve">When AI-assisted insurance decisions are challenged in court proceedings, courts across common law and civil law jurisdictions are independently converging on the same requirements: disclosure of AI use and the specific tool and version, human verification that cannot be performed solely by AI, contemporaneous record-keeping of prompts and variables, and confidentiality controls on data submitted to AI systems.</w:t>
      </w:r>
    </w:p>
    <w:p>
      <w:pPr>
        <w:spacing w:before="0" w:after="120" w:line="280" w:lineRule="auto"/>
        <w:jc w:val="left"/>
      </w:pPr>
      <w:r>
        <w:rPr>
          <w:rFonts w:ascii="Arial" w:cs="Arial" w:eastAsia="Arial" w:hAnsi="Arial"/>
          <w:b w:val="false"/>
          <w:bCs w:val="false"/>
          <w:i w:val="false"/>
          <w:iCs w:val="false"/>
          <w:color w:val="0D0D0B"/>
          <w:sz w:val="20"/>
          <w:szCs w:val="20"/>
        </w:rPr>
        <w:t xml:space="preserve">An insurer maintaining Tier 1 or Tier 2 evidence under EIS-01 will be positioned to satisfy litigation disclosure requirements in NSW, UK, Canadian, US, Singaporean, and EU proceedings. An insurer that has not will face reconstruction under litigation pressure — precisely when the evidentiary standard is highest.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Jurisdiction</w:t>
            </w:r>
          </w:p>
        </w:tc>
        <w:tc>
          <w:tcPr>
            <w:tcW w:type="dxa" w:w="70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Key Requirement</w:t>
            </w:r>
          </w:p>
        </w:tc>
      </w:tr>
      <w:tr>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Australia (SC Gen 23)</w:t>
            </w:r>
          </w:p>
        </w:tc>
        <w:tc>
          <w:tcPr>
            <w:tcW w:type="dxa" w:w="7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Verification must not be solely carried out by AI. Disclose AI program, version, prompts. Bias and data quality identified as judicial risks. Effective 3 February 2025.</w:t>
            </w:r>
          </w:p>
        </w:tc>
      </w:tr>
      <w:tr>
        <w:tc>
          <w:tcPr>
            <w:tcW w:type="dxa" w:w="2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England and Wales</w:t>
            </w:r>
          </w:p>
        </w:tc>
        <w:tc>
          <w:tcPr>
            <w:tcW w:type="dxa" w:w="7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AI use must take place with appropriate oversight (Ayinde v Haringey [2025] EWHC 1383). Judiciary AI Guidance 3rd ed. (October 2025). Personal responsibility for all AI outputs.</w:t>
            </w:r>
          </w:p>
        </w:tc>
      </w:tr>
      <w:tr>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Canada</w:t>
            </w:r>
          </w:p>
        </w:tc>
        <w:tc>
          <w:tcPr>
            <w:tcW w:type="dxa" w:w="7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AI cannot supplant judges' exclusive responsibility (Judicial Council Guidelines, September 2024). Contempt sanctions for AI-generated fabricated citations (Ko v Li, 2025 ONSC 2766).</w:t>
            </w:r>
          </w:p>
        </w:tc>
      </w:tr>
      <w:tr>
        <w:tc>
          <w:tcPr>
            <w:tcW w:type="dxa" w:w="2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United States</w:t>
            </w:r>
          </w:p>
        </w:tc>
        <w:tc>
          <w:tcPr>
            <w:tcW w:type="dxa" w:w="7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ABA Formal Opinion 512. California Rule of Court 10.430. 100+ federal judges with AI disclosure requirements. Proposed Federal Rule of Evidence 707 (public comment closed February 2026).</w:t>
            </w:r>
          </w:p>
        </w:tc>
      </w:tr>
      <w:tr>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Singapore</w:t>
            </w:r>
          </w:p>
        </w:tc>
        <w:tc>
          <w:tcPr>
            <w:tcW w:type="dxa" w:w="7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Full responsibility for AI outputs. Independent verification using authoritative sources, not AI. Ministry of Law Guide for Legal Sector (6 March 2026).</w:t>
            </w:r>
          </w:p>
        </w:tc>
      </w:tr>
      <w:tr>
        <w:tc>
          <w:tcPr>
            <w:tcW w:type="dxa" w:w="2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EU / International</w:t>
            </w:r>
          </w:p>
        </w:tc>
        <w:tc>
          <w:tcPr>
            <w:tcW w:type="dxa" w:w="7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CEPEJ Guidelines (December 2025). EU AI Act Art. 13 transparency obligations applicable from 2 August 2026 for high-risk systems. LG Darmstadt: AI-generated expert report held inadmissible, fee set at zero.</w:t>
            </w:r>
          </w:p>
        </w:tc>
      </w:tr>
    </w:tbl>
    <w:p>
      <w:pPr>
        <w:spacing w:before="120" w:after="80"/>
        <w:jc w:val="left"/>
      </w:pP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Part 4: Conditioning Coverage on ARAF Certification</w:t>
      </w:r>
    </w:p>
    <w:p>
      <w:pPr>
        <w:spacing w:before="0" w:after="120" w:line="280" w:lineRule="auto"/>
        <w:jc w:val="left"/>
      </w:pPr>
      <w:r>
        <w:rPr>
          <w:rFonts w:ascii="Arial" w:cs="Arial" w:eastAsia="Arial" w:hAnsi="Arial"/>
          <w:b w:val="false"/>
          <w:bCs w:val="false"/>
          <w:i w:val="false"/>
          <w:iCs w:val="false"/>
          <w:color w:val="0D0D0B"/>
          <w:sz w:val="20"/>
          <w:szCs w:val="20"/>
        </w:rPr>
        <w:t xml:space="preserve">The crosswalk supports the propagation mechanism described in Trust Architecture: Making Autonomous Systems Bankable: insurers condition coverage on governance certification, making ARAF compliance commercially mandatory. A coverage condition structured for this purpose:</w:t>
      </w:r>
    </w:p>
    <w:p>
      <w:pPr>
        <w:spacing w:before="12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8644" w:sz="16"/>
              <w:bottom w:val="none" w:color="FFFFFF" w:sz="0"/>
              <w:right w:val="none" w:color="FFFFFF" w:sz="0"/>
            </w:tcBorders>
            <w:shd w:fill="F0EBE0" w:val="clear"/>
            <w:tcMar>
              <w:top w:type="dxa" w:w="160"/>
              <w:left w:type="dxa" w:w="280"/>
              <w:bottom w:type="dxa" w:w="160"/>
              <w:right w:type="dxa" w:w="200"/>
            </w:tcMar>
          </w:tcPr>
          <w:p>
            <w:pPr>
              <w:spacing w:line="280" w:lineRule="auto"/>
            </w:pPr>
            <w:r>
              <w:rPr>
                <w:rFonts w:ascii="Arial" w:cs="Arial" w:eastAsia="Arial" w:hAnsi="Arial"/>
                <w:b w:val="false"/>
                <w:bCs w:val="false"/>
                <w:i/>
                <w:iCs/>
                <w:color w:val="0D0D0B"/>
                <w:sz w:val="18"/>
                <w:szCs w:val="18"/>
              </w:rPr>
              <w:t xml:space="preserve">"The Insured shall maintain, for each autonomous decision system producing or materially contributing to consequential organisational decisions, an ARAF assessment with a GBI score at or below 2.50 (ARAF Compliant) conducted by an assessor accredited by the Institute for Autonomous Governance. The assessment report, including dimensional profile, GCI status, and evidence tier classification, shall be provided to the Insurer at inception and at each renewal. Material changes to the GBI score or certification status shall be notified to the Insurer within the 60-day notification period defined in the ARAF Reassessment Protocol. Where a multiplier condition (Systemic Escalation, Infrastructure Collapse, or Leverage Collapse) activates during the policy period, the Insured shall notify the Insurer within 15 business days. The Insurer may, upon receipt of such notification, require supplementary assessment and may adjust terms by endorsement. Failure to maintain ARAF Compliant status for a system previously assessed shall entitle the Insurer to amend coverage terms, adjust premium, or impose additional conditions at the next renewal."</w:t>
            </w:r>
          </w:p>
        </w:tc>
      </w:tr>
    </w:tbl>
    <w:p>
      <w:pPr>
        <w:spacing w:before="120" w:after="80"/>
        <w:jc w:val="left"/>
      </w:pPr>
    </w:p>
    <w:p>
      <w:pPr>
        <w:spacing w:before="0" w:after="120" w:line="280" w:lineRule="auto"/>
        <w:jc w:val="left"/>
      </w:pPr>
      <w:r>
        <w:rPr>
          <w:rFonts w:ascii="Arial" w:cs="Arial" w:eastAsia="Arial" w:hAnsi="Arial"/>
          <w:b w:val="false"/>
          <w:bCs w:val="false"/>
          <w:i w:val="false"/>
          <w:iCs w:val="false"/>
          <w:color w:val="0D0D0B"/>
          <w:sz w:val="20"/>
          <w:szCs w:val="20"/>
        </w:rPr>
        <w:t xml:space="preserve">This language: specifies the governance standard (ARAF Compliant); defines the scope (consequential decision systems, not all AI); requires independent assessment (accredited assessor); establishes ongoing obligations (renewal, notification); creates defined mid-term notification triggers for compound governance failures; and creates a consequence for governance degradation without creating an automatic coverage exclusion that would defeat the purpose of governance-linked underwriting.</w:t>
      </w:r>
    </w:p>
    <w:p>
      <w:pPr>
        <w:spacing w:before="320" w:after="120"/>
        <w:jc w:val="left"/>
      </w:pPr>
      <w:r>
        <w:rPr>
          <w:rFonts w:ascii="Arial" w:cs="Arial" w:eastAsia="Arial" w:hAnsi="Arial"/>
          <w:b/>
          <w:bCs/>
          <w:i w:val="false"/>
          <w:iCs w:val="false"/>
          <w:color w:val="0D0D0B"/>
          <w:sz w:val="22"/>
          <w:szCs w:val="22"/>
        </w:rPr>
        <w:t xml:space="preserve">Governance-Conditional Endorsement (AI Exclusion Carve-Back)</w:t>
      </w:r>
    </w:p>
    <w:p>
      <w:pPr>
        <w:spacing w:before="0" w:after="120" w:line="280" w:lineRule="auto"/>
        <w:jc w:val="left"/>
      </w:pPr>
      <w:r>
        <w:rPr>
          <w:rFonts w:ascii="Arial" w:cs="Arial" w:eastAsia="Arial" w:hAnsi="Arial"/>
          <w:b w:val="false"/>
          <w:bCs w:val="false"/>
          <w:i w:val="false"/>
          <w:iCs w:val="false"/>
          <w:color w:val="0D0D0B"/>
          <w:sz w:val="20"/>
          <w:szCs w:val="20"/>
        </w:rPr>
        <w:t xml:space="preserve">Where the policy includes an AI exclusion clause (whether ISO CG 40 47/48, a carrier-specific AI exclusion, or equivalent):</w:t>
      </w:r>
    </w:p>
    <w:p>
      <w:pPr>
        <w:spacing w:before="12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88644" w:sz="16"/>
              <w:bottom w:val="none" w:color="FFFFFF" w:sz="0"/>
              <w:right w:val="none" w:color="FFFFFF" w:sz="0"/>
            </w:tcBorders>
            <w:shd w:fill="F0EBE0" w:val="clear"/>
            <w:tcMar>
              <w:top w:type="dxa" w:w="160"/>
              <w:left w:type="dxa" w:w="280"/>
              <w:bottom w:type="dxa" w:w="160"/>
              <w:right w:type="dxa" w:w="200"/>
            </w:tcMar>
          </w:tcPr>
          <w:p>
            <w:pPr>
              <w:spacing w:line="280" w:lineRule="auto"/>
            </w:pPr>
            <w:r>
              <w:rPr>
                <w:rFonts w:ascii="Arial" w:cs="Arial" w:eastAsia="Arial" w:hAnsi="Arial"/>
                <w:b w:val="false"/>
                <w:bCs w:val="false"/>
                <w:i/>
                <w:iCs/>
                <w:color w:val="0D0D0B"/>
                <w:sz w:val="18"/>
                <w:szCs w:val="18"/>
              </w:rPr>
              <w:t xml:space="preserve">"Notwithstanding [AI Exclusion Clause Reference], coverage shall extend to loss arising from or in connection with the operation of an autonomous decision system where, at the time of the event giving rise to the loss: (a) the system was the subject of a current ARAF assessment with a GBI score at or below [1.75 for Certified / 2.50 for Compliant] conducted by an assessor accredited by the Institute for Autonomous Governance; (b) the system's Governance Coherence Index was at or above the operational conformance threshold at the most recent assessment; (c) no multiplier condition (Systemic Escalation, Infrastructure Collapse, or Leverage Collapse) was active for the system at the time of the event; and (d) the Insured had complied with the ARAF certification maintenance and notification obligations specified in [coverage condition clause reference]. For the avoidance of doubt, coverage under this endorsement applies only to autonomous decision systems meeting conditions (a) through (d) above. The AI exclusion remains in force for all other AI systems and deployments."</w:t>
            </w:r>
          </w:p>
        </w:tc>
      </w:tr>
    </w:tbl>
    <w:p>
      <w:pPr>
        <w:spacing w:before="120" w:after="80"/>
        <w:jc w:val="left"/>
      </w:pPr>
    </w:p>
    <w:p>
      <w:pPr>
        <w:spacing w:before="0" w:after="120" w:line="280" w:lineRule="auto"/>
        <w:jc w:val="left"/>
      </w:pPr>
      <w:r>
        <w:rPr>
          <w:rFonts w:ascii="Arial" w:cs="Arial" w:eastAsia="Arial" w:hAnsi="Arial"/>
          <w:b w:val="false"/>
          <w:bCs w:val="false"/>
          <w:i w:val="false"/>
          <w:iCs w:val="false"/>
          <w:color w:val="0D0D0B"/>
          <w:sz w:val="20"/>
          <w:szCs w:val="20"/>
        </w:rPr>
        <w:t xml:space="preserve">This endorsement converts ARAF certification from a policy condition into a coverage trigger. The insurer retains the AI exclusion as the default position protecting against ungoverned exposure, while enabling coverage for deployments meeting a defined governance standard.</w:t>
      </w:r>
    </w:p>
    <w:p>
      <w:pPr>
        <w:spacing w:before="320" w:after="120"/>
        <w:jc w:val="left"/>
      </w:pPr>
      <w:r>
        <w:rPr>
          <w:rFonts w:ascii="Arial" w:cs="Arial" w:eastAsia="Arial" w:hAnsi="Arial"/>
          <w:b/>
          <w:bCs/>
          <w:i w:val="false"/>
          <w:iCs w:val="false"/>
          <w:color w:val="0D0D0B"/>
          <w:sz w:val="22"/>
          <w:szCs w:val="22"/>
        </w:rPr>
        <w:t xml:space="preserve">Reinsurance Considerations</w:t>
      </w:r>
    </w:p>
    <w:p>
      <w:pPr>
        <w:spacing w:before="0" w:after="120" w:line="280" w:lineRule="auto"/>
        <w:jc w:val="left"/>
      </w:pPr>
      <w:r>
        <w:rPr>
          <w:rFonts w:ascii="Arial" w:cs="Arial" w:eastAsia="Arial" w:hAnsi="Arial"/>
          <w:b w:val="false"/>
          <w:bCs w:val="false"/>
          <w:i w:val="false"/>
          <w:iCs w:val="false"/>
          <w:color w:val="0D0D0B"/>
          <w:sz w:val="20"/>
          <w:szCs w:val="20"/>
        </w:rPr>
        <w:t xml:space="preserve">For placements involving reinsurance, the ARAF assessment report provides the cedant with a standardised governance signal to communicate to reinsurers. A cedant demonstrating governance-based risk segmentation across its AI-exposed portfolio provides reinsurers with the underwriting information needed to price AI exposure based on governance quality rather than portfolio-wide exclusion. As loss data linking GBI scores to claims experience accumulates, insurers may be able to reflect governance-based segmentation in internal capital models, reducing the capital charge allocated to governed AI portfolios.</w:t>
      </w:r>
    </w:p>
    <w:p>
      <w:pPr>
        <w:pBdr>
          <w:bottom w:val="single" w:color="A88644" w:sz="6" w:space="6"/>
        </w:pBdr>
        <w:spacing w:before="400" w:after="160"/>
        <w:jc w:val="left"/>
      </w:pPr>
      <w:r>
        <w:rPr>
          <w:rFonts w:ascii="Arial" w:cs="Arial" w:eastAsia="Arial" w:hAnsi="Arial"/>
          <w:b/>
          <w:bCs/>
          <w:i w:val="false"/>
          <w:iCs w:val="false"/>
          <w:color w:val="0D0D0B"/>
          <w:sz w:val="26"/>
          <w:szCs w:val="26"/>
        </w:rPr>
        <w:t xml:space="preserve">Part 5: Obligation Mapping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Legal Principle</w:t>
            </w:r>
          </w:p>
        </w:tc>
        <w:tc>
          <w:tcPr>
            <w:tcW w:type="dxa" w:w="20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ARAF Dimension</w:t>
            </w:r>
          </w:p>
        </w:tc>
        <w:tc>
          <w:tcPr>
            <w:tcW w:type="dxa" w:w="160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Coverage</w:t>
            </w:r>
          </w:p>
        </w:tc>
        <w:tc>
          <w:tcPr>
            <w:tcW w:type="dxa" w:w="3360"/>
            <w:tcBorders>
              <w:top w:val="single" w:color="A88644" w:sz="4"/>
              <w:left w:val="single" w:color="A88644" w:sz="4"/>
              <w:bottom w:val="single" w:color="A88644" w:sz="4"/>
              <w:right w:val="single" w:color="A88644" w:sz="4"/>
            </w:tcBorders>
            <w:shd w:fill="A88644" w:val="clear"/>
            <w:tcMar>
              <w:top w:type="dxa" w:w="100"/>
              <w:left w:type="dxa" w:w="140"/>
              <w:bottom w:type="dxa" w:w="100"/>
              <w:right w:type="dxa" w:w="140"/>
            </w:tcMar>
          </w:tcPr>
          <w:p>
            <w:r>
              <w:rPr>
                <w:rFonts w:ascii="Arial" w:cs="Arial" w:eastAsia="Arial" w:hAnsi="Arial"/>
                <w:b/>
                <w:bCs/>
                <w:i w:val="false"/>
                <w:iCs w:val="false"/>
                <w:color w:val="FFFFFF"/>
                <w:sz w:val="18"/>
                <w:szCs w:val="18"/>
              </w:rPr>
              <w:t xml:space="preserve">Insurer's Independent Obligation</w:t>
            </w:r>
          </w:p>
        </w:tc>
      </w:tr>
      <w:tr>
        <w:tc>
          <w:tcPr>
            <w:tcW w:type="dxa" w:w="24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Proper use of decision-making powers</w:t>
            </w:r>
          </w:p>
        </w:tc>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GCI Authority Adherence</w:t>
            </w:r>
          </w:p>
        </w:tc>
        <w:tc>
          <w:tcPr>
            <w:tcW w:type="dxa" w:w="16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Addressed</w:t>
            </w:r>
          </w:p>
        </w:tc>
        <w:tc>
          <w:tcPr>
            <w:tcW w:type="dxa" w:w="33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Map D1 authority boundaries to claims handling framework. Ensure human review is substantive for high-impact decisions, not merely supervisory.</w:t>
            </w:r>
          </w:p>
        </w:tc>
      </w:tr>
      <w:tr>
        <w:tc>
          <w:tcPr>
            <w:tcW w:type="dxa" w:w="24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Ability to reconstruct the decision</w:t>
            </w:r>
          </w:p>
        </w:tc>
        <w:tc>
          <w:tcPr>
            <w:tcW w:type="dxa" w:w="2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EIS-01, governance telemetry</w:t>
            </w:r>
          </w:p>
        </w:tc>
        <w:tc>
          <w:tcPr>
            <w:tcW w:type="dxa" w:w="16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Addressed</w:t>
            </w:r>
          </w:p>
        </w:tc>
        <w:tc>
          <w:tcPr>
            <w:tcW w:type="dxa" w:w="33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Align evidence tiers with claims file documentation standards and regulatory record-keeping. Integrate governance telemetry into claims management systems.</w:t>
            </w:r>
          </w:p>
        </w:tc>
      </w:tr>
      <w:tr>
        <w:tc>
          <w:tcPr>
            <w:tcW w:type="dxa" w:w="24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Reliability of evidence</w:t>
            </w:r>
          </w:p>
        </w:tc>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D2, Decision Supply Chain Data Inputs</w:t>
            </w:r>
          </w:p>
        </w:tc>
        <w:tc>
          <w:tcPr>
            <w:tcW w:type="dxa" w:w="16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Addressed</w:t>
            </w:r>
          </w:p>
        </w:tc>
        <w:tc>
          <w:tcPr>
            <w:tcW w:type="dxa" w:w="33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Map D2 to data governance framework. Document provenance of external data sources. Maintain operational data validation processes separately.</w:t>
            </w:r>
          </w:p>
        </w:tc>
      </w:tr>
      <w:tr>
        <w:tc>
          <w:tcPr>
            <w:tcW w:type="dxa" w:w="24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Procedural fairness to individuals</w:t>
            </w:r>
          </w:p>
        </w:tc>
        <w:tc>
          <w:tcPr>
            <w:tcW w:type="dxa" w:w="2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D1 (partial), EIS-01 (partial)</w:t>
            </w:r>
          </w:p>
        </w:tc>
        <w:tc>
          <w:tcPr>
            <w:tcW w:type="dxa" w:w="16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Partial</w:t>
            </w:r>
          </w:p>
        </w:tc>
        <w:tc>
          <w:tcPr>
            <w:tcW w:type="dxa" w:w="33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Maintain pre-decision notice, opportunity to respond, individual circumstance review, and post-decision notification with reasons.</w:t>
            </w:r>
          </w:p>
        </w:tc>
      </w:tr>
      <w:tr>
        <w:tc>
          <w:tcPr>
            <w:tcW w:type="dxa" w:w="24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Transparency and explainability</w:t>
            </w:r>
          </w:p>
        </w:tc>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EIS-01 (partial)</w:t>
            </w:r>
          </w:p>
        </w:tc>
        <w:tc>
          <w:tcPr>
            <w:tcW w:type="dxa" w:w="16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Partial</w:t>
            </w:r>
          </w:p>
        </w:tc>
        <w:tc>
          <w:tcPr>
            <w:tcW w:type="dxa" w:w="33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Build plain-language explanation processes on ARAF evidence infrastructure. Translate reconstructed reasoning into comprehensible explanations for claimants. Map to EU AI Act Art. 13 where applicable.</w:t>
            </w:r>
          </w:p>
        </w:tc>
      </w:tr>
      <w:tr>
        <w:tc>
          <w:tcPr>
            <w:tcW w:type="dxa" w:w="24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Bias and fair treatment</w:t>
            </w:r>
          </w:p>
        </w:tc>
        <w:tc>
          <w:tcPr>
            <w:tcW w:type="dxa" w:w="20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None</w:t>
            </w:r>
          </w:p>
        </w:tc>
        <w:tc>
          <w:tcPr>
            <w:tcW w:type="dxa" w:w="160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Not assessed</w:t>
            </w:r>
          </w:p>
        </w:tc>
        <w:tc>
          <w:tcPr>
            <w:tcW w:type="dxa" w:w="3360"/>
            <w:tcBorders>
              <w:top w:val="single" w:color="D4C9B0" w:sz="4"/>
              <w:left w:val="single" w:color="D4C9B0" w:sz="4"/>
              <w:bottom w:val="single" w:color="D4C9B0" w:sz="4"/>
              <w:right w:val="single" w:color="D4C9B0" w:sz="4"/>
            </w:tcBorders>
            <w:shd w:fill="FFFFFF"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Maintain independent bias testing, disparate impact monitoring, proxy variable analysis, and periodic fairness audits.</w:t>
            </w:r>
          </w:p>
        </w:tc>
      </w:tr>
      <w:tr>
        <w:tc>
          <w:tcPr>
            <w:tcW w:type="dxa" w:w="24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DM Mono" w:cs="DM Mono" w:eastAsia="DM Mono" w:hAnsi="DM Mono"/>
                <w:b/>
                <w:bCs/>
                <w:i w:val="false"/>
                <w:iCs w:val="false"/>
                <w:color w:val="0D0D0B"/>
                <w:sz w:val="17"/>
                <w:szCs w:val="17"/>
              </w:rPr>
              <w:t xml:space="preserve">Reasonableness of individual decisions</w:t>
            </w:r>
          </w:p>
        </w:tc>
        <w:tc>
          <w:tcPr>
            <w:tcW w:type="dxa" w:w="20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None</w:t>
            </w:r>
          </w:p>
        </w:tc>
        <w:tc>
          <w:tcPr>
            <w:tcW w:type="dxa" w:w="160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 Not assessed</w:t>
            </w:r>
          </w:p>
        </w:tc>
        <w:tc>
          <w:tcPr>
            <w:tcW w:type="dxa" w:w="3360"/>
            <w:tcBorders>
              <w:top w:val="single" w:color="D4C9B0" w:sz="4"/>
              <w:left w:val="single" w:color="D4C9B0" w:sz="4"/>
              <w:bottom w:val="single" w:color="D4C9B0" w:sz="4"/>
              <w:right w:val="single" w:color="D4C9B0" w:sz="4"/>
            </w:tcBorders>
            <w:shd w:fill="F0EBE0" w:val="clear"/>
            <w:tcMar>
              <w:top w:type="dxa" w:w="100"/>
              <w:left w:type="dxa" w:w="140"/>
              <w:bottom w:type="dxa" w:w="100"/>
              <w:right w:type="dxa" w:w="140"/>
            </w:tcMar>
            <w:vAlign w:val="top"/>
          </w:tcPr>
          <w:p>
            <w:pPr>
              <w:spacing w:line="280" w:lineRule="auto"/>
            </w:pPr>
            <w:r>
              <w:rPr>
                <w:rFonts w:ascii="Arial" w:cs="Arial" w:eastAsia="Arial" w:hAnsi="Arial"/>
                <w:b w:val="false"/>
                <w:bCs w:val="false"/>
                <w:i w:val="false"/>
                <w:iCs w:val="false"/>
                <w:color w:val="0D0D0B"/>
                <w:sz w:val="18"/>
                <w:szCs w:val="18"/>
              </w:rPr>
              <w:t xml:space="preserve">Maintain substantive human review for high-impact decisions. Conduct portfolio-level outcome monitoring. Implement periodic retrospective decision sampling.</w:t>
            </w:r>
          </w:p>
        </w:tc>
      </w:tr>
    </w:tbl>
    <w:p>
      <w:pPr>
        <w:spacing w:before="120" w:after="80"/>
        <w:jc w:val="left"/>
      </w:pPr>
    </w:p>
    <w:p>
      <w:pPr>
        <w:spacing w:before="0" w:after="120" w:line="280" w:lineRule="auto"/>
        <w:jc w:val="left"/>
      </w:pPr>
      <w:r>
        <w:rPr>
          <w:rFonts w:ascii="Arial" w:cs="Arial" w:eastAsia="Arial" w:hAnsi="Arial"/>
          <w:b w:val="false"/>
          <w:bCs w:val="false"/>
          <w:i w:val="false"/>
          <w:iCs w:val="false"/>
          <w:color w:val="0D0D0B"/>
          <w:sz w:val="20"/>
          <w:szCs w:val="20"/>
        </w:rPr>
        <w:t xml:space="preserve">ARAF certification and insurance regulatory compliance are complementary but independent. An insurer with ARAF Certified status has demonstrated that the governance architecture of its assessed systems satisfies institutional reliance standards. That insurer has not demonstrated that individual decisions are reasonable, outcomes are free from unlawful discrimination, or affected claimants receive procedural fairness. Neither is sufficient alone.</w:t>
      </w:r>
    </w:p>
    <w:p>
      <w:pPr>
        <w:pBdr>
          <w:top w:val="single" w:color="A88644" w:sz="4" w:space="8"/>
        </w:pBdr>
        <w:spacing w:before="240" w:after="60"/>
        <w:jc w:val="left"/>
      </w:pPr>
    </w:p>
    <w:p>
      <w:pPr>
        <w:spacing w:before="0" w:after="0"/>
        <w:jc w:val="center"/>
      </w:pPr>
      <w:r>
        <w:rPr>
          <w:rFonts w:ascii="Arial" w:cs="Arial" w:eastAsia="Arial" w:hAnsi="Arial"/>
          <w:i/>
          <w:iCs/>
          <w:color w:val="888888"/>
          <w:sz w:val="17"/>
          <w:szCs w:val="17"/>
        </w:rPr>
        <w:t xml:space="preserve">Martin, Carly. </w:t>
      </w:r>
      <w:r>
        <w:rPr>
          <w:rFonts w:ascii="Arial" w:cs="Arial" w:eastAsia="Arial" w:hAnsi="Arial"/>
          <w:i/>
          <w:iCs/>
          <w:color w:val="888888"/>
          <w:sz w:val="17"/>
          <w:szCs w:val="17"/>
        </w:rPr>
        <w:t xml:space="preserve">Agentic Risk Architecture Framework (ARAF), Version 3.0.</w:t>
      </w:r>
      <w:r>
        <w:rPr>
          <w:rFonts w:ascii="Arial" w:cs="Arial" w:eastAsia="Arial" w:hAnsi="Arial"/>
          <w:color w:val="888888"/>
          <w:sz w:val="17"/>
          <w:szCs w:val="17"/>
        </w:rPr>
        <w:t xml:space="preserve">  Institute for Autonomous Governance Pty Ltd, 2026.  |  © 2026 Institute for Autonomous Governance Pty Ltd (ACN 696 112 277).  All rights reserved.</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8644" w:sz="4" w:space="8"/>
      </w:pBdr>
      <w:spacing w:before="80"/>
      <w:jc w:val="center"/>
    </w:pPr>
    <w:r>
      <w:rPr>
        <w:rFonts w:ascii="Arial" w:cs="Arial" w:eastAsia="Arial" w:hAnsi="Arial"/>
        <w:i/>
        <w:iCs/>
        <w:color w:val="888888"/>
        <w:sz w:val="16"/>
        <w:szCs w:val="16"/>
      </w:rPr>
      <w:t xml:space="preserve">Martin, Carly. </w:t>
    </w:r>
    <w:r>
      <w:rPr>
        <w:rFonts w:ascii="Arial" w:cs="Arial" w:eastAsia="Arial" w:hAnsi="Arial"/>
        <w:i/>
        <w:iCs/>
        <w:color w:val="888888"/>
        <w:sz w:val="16"/>
        <w:szCs w:val="16"/>
      </w:rPr>
      <w:t xml:space="preserve">Agentic Risk Architecture Framework (ARAF), Version 3.0.</w:t>
    </w:r>
    <w:r>
      <w:rPr>
        <w:rFonts w:ascii="Arial" w:cs="Arial" w:eastAsia="Arial" w:hAnsi="Arial"/>
        <w:color w:val="888888"/>
        <w:sz w:val="16"/>
        <w:szCs w:val="16"/>
      </w:rPr>
      <w:t xml:space="preserve">  Institute for Autonomous Governance Pty Ltd, 2026.  |  araf-standard.org  |  carlymartin@araf-standard.org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A88644" w:sz="4"/>
            <w:right w:val="none" w:color="FFFFFF" w:sz="0"/>
          </w:tcBorders>
          <w:tcMar>
            <w:top w:type="dxa" w:w="0"/>
            <w:left w:type="dxa" w:w="0"/>
            <w:bottom w:type="dxa" w:w="80"/>
            <w:right w:type="dxa" w:w="0"/>
          </w:tcMar>
        </w:tcPr>
        <w:p>
          <w:r>
            <w:rPr>
              <w:rFonts w:ascii="DM Mono" w:cs="DM Mono" w:eastAsia="DM Mono" w:hAnsi="DM Mono"/>
              <w:b/>
              <w:bCs/>
              <w:color w:val="A88644"/>
              <w:sz w:val="16"/>
              <w:szCs w:val="16"/>
            </w:rPr>
            <w:t xml:space="preserve">INSTITUTE FOR AUTONOMOUS GOVERNANCE</w:t>
          </w:r>
        </w:p>
      </w:tc>
      <w:tc>
        <w:tcPr>
          <w:tcW w:type="dxa" w:w="3360"/>
          <w:tcBorders>
            <w:top w:val="none" w:color="FFFFFF" w:sz="0"/>
            <w:left w:val="none" w:color="FFFFFF" w:sz="0"/>
            <w:bottom w:val="single" w:color="A88644" w:sz="4"/>
            <w:right w:val="none" w:color="FFFFFF" w:sz="0"/>
          </w:tcBorders>
          <w:tcMar>
            <w:top w:type="dxa" w:w="0"/>
            <w:left w:type="dxa" w:w="0"/>
            <w:bottom w:type="dxa" w:w="80"/>
            <w:right w:type="dxa" w:w="0"/>
          </w:tcMar>
        </w:tcPr>
        <w:p>
          <w:pPr>
            <w:jc w:val="right"/>
          </w:pPr>
          <w:r>
            <w:rPr>
              <w:rFonts w:ascii="Arial" w:cs="Arial" w:eastAsia="Arial" w:hAnsi="Arial"/>
              <w:i/>
              <w:iCs/>
              <w:color w:val="888888"/>
              <w:sz w:val="16"/>
              <w:szCs w:val="16"/>
            </w:rPr>
            <w:t xml:space="preserve">ARAF Insurance Underwriting Crosswalk</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2026-03-15T08:15:03.239Z</dcterms:created>
  <dcterms:modified xsi:type="dcterms:W3CDTF">2026-03-15T08:15:03.240Z</dcterms:modified>
</cp:coreProperties>
</file>

<file path=docProps/custom.xml><?xml version="1.0" encoding="utf-8"?>
<Properties xmlns="http://schemas.openxmlformats.org/officeDocument/2006/custom-properties" xmlns:vt="http://schemas.openxmlformats.org/officeDocument/2006/docPropsVTypes"/>
</file>