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45AF6" w14:textId="77777777" w:rsidR="0051248B" w:rsidRPr="00FC2CC9" w:rsidRDefault="00000000">
      <w:pPr>
        <w:spacing w:after="80"/>
        <w:rPr>
          <w:rFonts w:ascii="Arial" w:hAnsi="Arial" w:cs="Arial"/>
        </w:rPr>
      </w:pPr>
      <w:r w:rsidRPr="00FC2CC9">
        <w:rPr>
          <w:rFonts w:ascii="Arial" w:eastAsia="Libre Baskerville" w:hAnsi="Arial" w:cs="Arial"/>
          <w:b/>
          <w:bCs/>
          <w:caps/>
          <w:color w:val="A88644"/>
          <w:sz w:val="20"/>
          <w:szCs w:val="20"/>
        </w:rPr>
        <w:t>INSTITUTE FOR AUTONOMOUS GOVERNANCE</w:t>
      </w:r>
    </w:p>
    <w:p w14:paraId="7DF2684E" w14:textId="77777777" w:rsidR="0051248B" w:rsidRPr="00FC2CC9" w:rsidRDefault="00000000">
      <w:pPr>
        <w:spacing w:after="80"/>
        <w:rPr>
          <w:rFonts w:ascii="Arial" w:hAnsi="Arial" w:cs="Arial"/>
        </w:rPr>
      </w:pPr>
      <w:r w:rsidRPr="00FC2CC9">
        <w:rPr>
          <w:rFonts w:ascii="Arial" w:eastAsia="Libre Baskerville" w:hAnsi="Arial" w:cs="Arial"/>
          <w:b/>
          <w:bCs/>
          <w:sz w:val="36"/>
          <w:szCs w:val="36"/>
        </w:rPr>
        <w:t>ARAF Investor Diligence Crosswalk</w:t>
      </w:r>
    </w:p>
    <w:p w14:paraId="5798697A" w14:textId="77777777" w:rsidR="0051248B" w:rsidRPr="00FC2CC9" w:rsidRDefault="00000000">
      <w:pPr>
        <w:spacing w:after="80"/>
        <w:rPr>
          <w:rFonts w:ascii="Arial" w:hAnsi="Arial" w:cs="Arial"/>
        </w:rPr>
      </w:pPr>
      <w:r w:rsidRPr="00FC2CC9">
        <w:rPr>
          <w:rFonts w:ascii="Arial" w:eastAsia="Libre Baskerville" w:hAnsi="Arial" w:cs="Arial"/>
          <w:i/>
          <w:iCs/>
          <w:sz w:val="22"/>
          <w:szCs w:val="22"/>
        </w:rPr>
        <w:t>Mapping ARAF Dimensional Assessment to Technology Diligence Frameworks</w:t>
      </w:r>
    </w:p>
    <w:p w14:paraId="0D1351F4" w14:textId="77777777" w:rsidR="0051248B" w:rsidRPr="00FC2CC9" w:rsidRDefault="00000000">
      <w:pPr>
        <w:spacing w:after="240"/>
        <w:rPr>
          <w:rFonts w:ascii="Arial" w:hAnsi="Arial" w:cs="Arial"/>
        </w:rPr>
      </w:pPr>
      <w:r w:rsidRPr="00FC2CC9">
        <w:rPr>
          <w:rFonts w:ascii="Arial" w:hAnsi="Arial" w:cs="Arial"/>
          <w:color w:val="888888"/>
          <w:sz w:val="17"/>
          <w:szCs w:val="17"/>
        </w:rPr>
        <w:t>Agentic Risk Architecture Framework, Version 3.0  |  Institute for Autonomous Governance Pty Ltd</w:t>
      </w:r>
    </w:p>
    <w:p w14:paraId="393BAEF2" w14:textId="77777777" w:rsidR="0051248B" w:rsidRPr="00FC2CC9" w:rsidRDefault="0051248B">
      <w:pPr>
        <w:pBdr>
          <w:bottom w:val="single" w:sz="4" w:space="1" w:color="A88644"/>
        </w:pBdr>
        <w:spacing w:before="160" w:after="160"/>
        <w:rPr>
          <w:rFonts w:ascii="Arial" w:hAnsi="Arial" w:cs="Arial"/>
        </w:rPr>
      </w:pPr>
    </w:p>
    <w:p w14:paraId="41B34152" w14:textId="77777777" w:rsidR="0051248B" w:rsidRPr="00FC2CC9" w:rsidRDefault="00000000">
      <w:pPr>
        <w:pStyle w:val="Heading1"/>
        <w:rPr>
          <w:rFonts w:ascii="Arial" w:hAnsi="Arial" w:cs="Arial"/>
        </w:rPr>
      </w:pPr>
      <w:r w:rsidRPr="00FC2CC9">
        <w:rPr>
          <w:rFonts w:ascii="Arial" w:hAnsi="Arial" w:cs="Arial"/>
        </w:rPr>
        <w:t>Purpose</w:t>
      </w:r>
    </w:p>
    <w:p w14:paraId="14DDC49A" w14:textId="77777777" w:rsidR="0051248B" w:rsidRPr="00FC2CC9" w:rsidRDefault="00000000">
      <w:pPr>
        <w:spacing w:after="120"/>
        <w:rPr>
          <w:rFonts w:ascii="Arial" w:hAnsi="Arial" w:cs="Arial"/>
        </w:rPr>
      </w:pPr>
      <w:r w:rsidRPr="00FC2CC9">
        <w:rPr>
          <w:rFonts w:ascii="Arial" w:hAnsi="Arial" w:cs="Arial"/>
        </w:rPr>
        <w:t>Investors conducting diligence on companies deploying autonomous systems currently assess technical capability, market position, financial performance, and team quality. They do not assess governance architecture for the autonomous systems producing the company’s operational outcomes. That gap means investors are pricing autonomous system exposure without visibility into whether the governance infrastructure required for institutional reliance exists.</w:t>
      </w:r>
    </w:p>
    <w:p w14:paraId="1ACC0B4F" w14:textId="77777777" w:rsidR="0051248B" w:rsidRPr="00FC2CC9" w:rsidRDefault="00000000">
      <w:pPr>
        <w:spacing w:after="120"/>
        <w:rPr>
          <w:rFonts w:ascii="Arial" w:hAnsi="Arial" w:cs="Arial"/>
        </w:rPr>
      </w:pPr>
      <w:r w:rsidRPr="00FC2CC9">
        <w:rPr>
          <w:rFonts w:ascii="Arial" w:hAnsi="Arial" w:cs="Arial"/>
        </w:rPr>
        <w:t>This crosswalk maps ARAF dimensional assessment output to the technology diligence frameworks private equity firms, venture capital investors, and institutional asset managers already use. It is designed for the diligence team evaluating a target, the portfolio governance function monitoring investee companies, and the GC advising on investment risk related to autonomous system deployment.</w:t>
      </w:r>
    </w:p>
    <w:p w14:paraId="20DA947E" w14:textId="77777777" w:rsidR="0051248B" w:rsidRPr="00FC2CC9" w:rsidRDefault="00000000">
      <w:pPr>
        <w:spacing w:after="120"/>
        <w:rPr>
          <w:rFonts w:ascii="Arial" w:hAnsi="Arial" w:cs="Arial"/>
        </w:rPr>
      </w:pPr>
      <w:r w:rsidRPr="00FC2CC9">
        <w:rPr>
          <w:rFonts w:ascii="Arial" w:hAnsi="Arial" w:cs="Arial"/>
        </w:rPr>
        <w:t>The crosswalk demonstrates how the GBI score and dimensional profile function as diligence inputs: enabling governance posture comparison across portfolio companies, informing valuation adjustment for governance risk, and identifying governance liabilities that may not appear in standard financial or operational diligence.</w:t>
      </w:r>
    </w:p>
    <w:p w14:paraId="7C7F617D" w14:textId="77777777" w:rsidR="0051248B" w:rsidRPr="00FC2CC9" w:rsidRDefault="00000000">
      <w:pPr>
        <w:spacing w:after="120"/>
        <w:rPr>
          <w:rFonts w:ascii="Arial" w:hAnsi="Arial" w:cs="Arial"/>
        </w:rPr>
      </w:pPr>
      <w:r w:rsidRPr="00FC2CC9">
        <w:rPr>
          <w:rFonts w:ascii="Arial" w:hAnsi="Arial" w:cs="Arial"/>
        </w:rPr>
        <w:t>The framework uses the term “consequential organisational decisions” to describe decisions that commit the organisation to actions with material operational, financial, or legal consequences. An autonomous system producing such decisions is the unit of analysis for the assessment.</w:t>
      </w:r>
    </w:p>
    <w:p w14:paraId="3DCBEFB2" w14:textId="77777777" w:rsidR="0051248B" w:rsidRPr="00FC2CC9" w:rsidRDefault="00000000">
      <w:pPr>
        <w:pStyle w:val="Heading1"/>
        <w:rPr>
          <w:rFonts w:ascii="Arial" w:hAnsi="Arial" w:cs="Arial"/>
        </w:rPr>
      </w:pPr>
      <w:r w:rsidRPr="00FC2CC9">
        <w:rPr>
          <w:rFonts w:ascii="Arial" w:hAnsi="Arial" w:cs="Arial"/>
        </w:rPr>
        <w:t>How to Use This Crosswalk</w:t>
      </w:r>
    </w:p>
    <w:p w14:paraId="53B76019" w14:textId="77777777" w:rsidR="0051248B" w:rsidRPr="00FC2CC9" w:rsidRDefault="00000000">
      <w:pPr>
        <w:spacing w:after="120"/>
        <w:rPr>
          <w:rFonts w:ascii="Arial" w:hAnsi="Arial" w:cs="Arial"/>
        </w:rPr>
      </w:pPr>
      <w:r w:rsidRPr="00FC2CC9">
        <w:rPr>
          <w:rFonts w:ascii="Arial" w:hAnsi="Arial" w:cs="Arial"/>
        </w:rPr>
        <w:t xml:space="preserve">This crosswalk is structured for three reader paths. </w:t>
      </w:r>
      <w:r w:rsidRPr="00FC2CC9">
        <w:rPr>
          <w:rFonts w:ascii="Arial" w:hAnsi="Arial" w:cs="Arial"/>
          <w:b/>
          <w:bCs/>
        </w:rPr>
        <w:t>Diligence teams evaluating a target</w:t>
      </w:r>
      <w:r w:rsidRPr="00FC2CC9">
        <w:rPr>
          <w:rFonts w:ascii="Arial" w:hAnsi="Arial" w:cs="Arial"/>
        </w:rPr>
        <w:t xml:space="preserve"> should start with Part 2 (GBI score interpretation) to establish the governance signal, then use Part 1 (dimensional mapping) to identify which specific categories require deeper examination. </w:t>
      </w:r>
      <w:r w:rsidRPr="00FC2CC9">
        <w:rPr>
          <w:rFonts w:ascii="Arial" w:hAnsi="Arial" w:cs="Arial"/>
          <w:b/>
          <w:bCs/>
        </w:rPr>
        <w:t>Portfolio governance functions</w:t>
      </w:r>
      <w:r w:rsidRPr="00FC2CC9">
        <w:rPr>
          <w:rFonts w:ascii="Arial" w:hAnsi="Arial" w:cs="Arial"/>
        </w:rPr>
        <w:t xml:space="preserve"> monitoring investee companies should work primarily from Part 3. </w:t>
      </w:r>
      <w:r w:rsidRPr="00FC2CC9">
        <w:rPr>
          <w:rFonts w:ascii="Arial" w:hAnsi="Arial" w:cs="Arial"/>
          <w:b/>
          <w:bCs/>
        </w:rPr>
        <w:t>General counsel advising on investment risk</w:t>
      </w:r>
      <w:r w:rsidRPr="00FC2CC9">
        <w:rPr>
          <w:rFonts w:ascii="Arial" w:hAnsi="Arial" w:cs="Arial"/>
        </w:rPr>
        <w:t xml:space="preserve"> should read D4 (Liability Architecture) and D3 (Contract Infrastructure) in Part 1, the GBI table in Part 2, and Part 4 for integration into process. All three paths converge on the same conclusion: governance architecture is a diligence category, and the absence of a GBI score is itself a finding.</w:t>
      </w:r>
    </w:p>
    <w:p w14:paraId="3CEE7028" w14:textId="77777777" w:rsidR="0051248B" w:rsidRPr="00FC2CC9" w:rsidRDefault="00000000">
      <w:pPr>
        <w:pStyle w:val="Heading1"/>
        <w:rPr>
          <w:rFonts w:ascii="Arial" w:hAnsi="Arial" w:cs="Arial"/>
        </w:rPr>
      </w:pPr>
      <w:r w:rsidRPr="00FC2CC9">
        <w:rPr>
          <w:rFonts w:ascii="Arial" w:hAnsi="Arial" w:cs="Arial"/>
        </w:rPr>
        <w:t>The Diligence Problem ARAF Addresses</w:t>
      </w:r>
    </w:p>
    <w:p w14:paraId="2251768A" w14:textId="77777777" w:rsidR="0051248B" w:rsidRPr="00FC2CC9" w:rsidRDefault="00000000">
      <w:pPr>
        <w:spacing w:after="120"/>
        <w:rPr>
          <w:rFonts w:ascii="Arial" w:hAnsi="Arial" w:cs="Arial"/>
        </w:rPr>
      </w:pPr>
      <w:r w:rsidRPr="00FC2CC9">
        <w:rPr>
          <w:rFonts w:ascii="Arial" w:hAnsi="Arial" w:cs="Arial"/>
        </w:rPr>
        <w:t>Standard technology diligence evaluates whether a company’s technology works. It assesses product-market fit, technical architecture, scalability, team capability, IP ownership, and security posture. For companies deploying autonomous systems, this diligence captures whether the AI system performs as designed. It does not capture whether the institution deploying it can be held accountable for the decisions the system produces.</w:t>
      </w:r>
    </w:p>
    <w:p w14:paraId="2A3D54F7" w14:textId="77777777" w:rsidR="0051248B" w:rsidRPr="00FC2CC9" w:rsidRDefault="00000000">
      <w:pPr>
        <w:spacing w:after="120"/>
        <w:rPr>
          <w:rFonts w:ascii="Arial" w:hAnsi="Arial" w:cs="Arial"/>
        </w:rPr>
      </w:pPr>
      <w:r w:rsidRPr="00FC2CC9">
        <w:rPr>
          <w:rFonts w:ascii="Arial" w:hAnsi="Arial" w:cs="Arial"/>
        </w:rPr>
        <w:t>The legal standard driving this accountability exposure is established across major common law jurisdictions. In Australia, ASIC v Bekier [2026] FCA 196 applied the statutory duty of care (Corporations Act 2001 (Cth) s 180(1)) to officers who failed to act on governance information despite governance structures being in place. The institutional accountability test established across Bekier, Healey, and Cassimatis requires that governance information capable of triggering board-level action exists and reaches the directors responsible for oversight. The governing test is: who was responsible, what did they know, and what did they do? In the United States, the Caremark/Marchand line imposes equivalent monitoring obligations for mission-critical risks, including technology systems producing consequential decisions. Comparable director accountability standards apply under the UK Companies Act 2006 (ss 172–174) and equivalent statutes across Commonwealth and EU jurisdictions. An investee company deploying autonomous systems without governance architecture that meets these standards carries contingent liability exposure that standard diligence does not surface.</w:t>
      </w:r>
    </w:p>
    <w:p w14:paraId="0DF1507D" w14:textId="77777777" w:rsidR="0051248B" w:rsidRPr="00FC2CC9" w:rsidRDefault="00000000">
      <w:pPr>
        <w:spacing w:after="120"/>
        <w:rPr>
          <w:rFonts w:ascii="Arial" w:hAnsi="Arial" w:cs="Arial"/>
        </w:rPr>
      </w:pPr>
      <w:r w:rsidRPr="00FC2CC9">
        <w:rPr>
          <w:rFonts w:ascii="Arial" w:hAnsi="Arial" w:cs="Arial"/>
        </w:rPr>
        <w:t>That gap creates three specific risks for investors:</w:t>
      </w:r>
    </w:p>
    <w:p w14:paraId="7DA98D32" w14:textId="77777777" w:rsidR="0051248B" w:rsidRPr="00FC2CC9" w:rsidRDefault="00000000">
      <w:pPr>
        <w:spacing w:after="120"/>
        <w:rPr>
          <w:rFonts w:ascii="Arial" w:hAnsi="Arial" w:cs="Arial"/>
        </w:rPr>
      </w:pPr>
      <w:r w:rsidRPr="00FC2CC9">
        <w:rPr>
          <w:rFonts w:ascii="Arial" w:hAnsi="Arial" w:cs="Arial"/>
          <w:b/>
          <w:bCs/>
        </w:rPr>
        <w:t>First, unquantified governance liability.</w:t>
      </w:r>
      <w:r w:rsidRPr="00FC2CC9">
        <w:rPr>
          <w:rFonts w:ascii="Arial" w:hAnsi="Arial" w:cs="Arial"/>
        </w:rPr>
        <w:t xml:space="preserve"> A company deploying high-autonomy AI systems without governance architecture has an unpriced liability exposure that does not appear on the balance sheet, in the cap table, or in standard operational diligence. The liability materialises when an autonomous system produces an adverse outcome and the governance record required to defend the company’s position does not exist.</w:t>
      </w:r>
    </w:p>
    <w:p w14:paraId="6C9AA36F" w14:textId="77777777" w:rsidR="0051248B" w:rsidRPr="00FC2CC9" w:rsidRDefault="00000000">
      <w:pPr>
        <w:spacing w:after="120"/>
        <w:rPr>
          <w:rFonts w:ascii="Arial" w:hAnsi="Arial" w:cs="Arial"/>
        </w:rPr>
      </w:pPr>
      <w:r w:rsidRPr="00FC2CC9">
        <w:rPr>
          <w:rFonts w:ascii="Arial" w:hAnsi="Arial" w:cs="Arial"/>
          <w:b/>
          <w:bCs/>
        </w:rPr>
        <w:t>Second, insurance coverage uncertainty.</w:t>
      </w:r>
      <w:r w:rsidRPr="00FC2CC9">
        <w:rPr>
          <w:rFonts w:ascii="Arial" w:hAnsi="Arial" w:cs="Arial"/>
        </w:rPr>
        <w:t xml:space="preserve"> A company whose AI deployments are not governed at the decision infrastructure layer may be unable to obtain or maintain adequate insurance coverage as the market moves from exclusion to governance-</w:t>
      </w:r>
      <w:r w:rsidRPr="00FC2CC9">
        <w:rPr>
          <w:rFonts w:ascii="Arial" w:hAnsi="Arial" w:cs="Arial"/>
        </w:rPr>
        <w:lastRenderedPageBreak/>
        <w:t>conditional pricing. The ARAF Insurance Underwriting Crosswalk describes this dynamic in detail. For the investor, the implication is that an ungoverned portfolio company may face increasing insurance costs or coverage gaps that affect enterprise value.</w:t>
      </w:r>
    </w:p>
    <w:p w14:paraId="037CC54D" w14:textId="77777777" w:rsidR="0051248B" w:rsidRPr="00FC2CC9" w:rsidRDefault="00000000">
      <w:pPr>
        <w:spacing w:after="120"/>
        <w:rPr>
          <w:rFonts w:ascii="Arial" w:hAnsi="Arial" w:cs="Arial"/>
        </w:rPr>
      </w:pPr>
      <w:r w:rsidRPr="00FC2CC9">
        <w:rPr>
          <w:rFonts w:ascii="Arial" w:hAnsi="Arial" w:cs="Arial"/>
          <w:b/>
          <w:bCs/>
        </w:rPr>
        <w:t>Third, regulatory exposure.</w:t>
      </w:r>
      <w:r w:rsidRPr="00FC2CC9">
        <w:rPr>
          <w:rFonts w:ascii="Arial" w:hAnsi="Arial" w:cs="Arial"/>
        </w:rPr>
        <w:t xml:space="preserve"> Regulatory frameworks across jurisdictions are converging on deployment accountability: the EU AI Act brought prohibitions on unacceptable-risk practices into force from February 2025, with GPAI obligations applicable from August 2025 and deployer obligations for high-risk systems from 2 August 2026; APRA CPS 230 (Australia) operational risk requirements are in force with material service provider transition completing July 2026; and the NIST AI RMF is establishing procurement-relevant governance standards in the US market. Equivalent frameworks are developing across UK, Canadian, and Singaporean regulatory environments. Companies without governance infrastructure face compliance costs that governed companies avoid, compounded by the higher cost of building governance infrastructure retrospectively under regulatory deadline pressure.</w:t>
      </w:r>
    </w:p>
    <w:p w14:paraId="64A9C4B5" w14:textId="77777777" w:rsidR="0051248B" w:rsidRPr="00FC2CC9" w:rsidRDefault="00000000">
      <w:pPr>
        <w:spacing w:after="120"/>
        <w:rPr>
          <w:rFonts w:ascii="Arial" w:hAnsi="Arial" w:cs="Arial"/>
        </w:rPr>
      </w:pPr>
      <w:r w:rsidRPr="00FC2CC9">
        <w:rPr>
          <w:rFonts w:ascii="Arial" w:hAnsi="Arial" w:cs="Arial"/>
        </w:rPr>
        <w:t>For portfolio companies subject to securities disclosure obligations, ARAF assessment outputs also support AI-related risk disclosure. Securities regulators across jurisdictions (including the SEC in the United States (Regulation S-K Item 105, risk factor disclosure), ASX continuous disclosure obligations in Australia (Listing Rule 3.1), and the FCA in the United Kingdom) are increasingly focused on AI risk governance as a material disclosure category. An ARAF assessment report provides the structured governance evidence that supports these disclosures, reducing the portfolio company’s disclosure risk regardless of its listing jurisdiction.</w:t>
      </w:r>
    </w:p>
    <w:p w14:paraId="5FEC3443" w14:textId="77777777" w:rsidR="0051248B" w:rsidRPr="00FC2CC9" w:rsidRDefault="0051248B">
      <w:pPr>
        <w:pBdr>
          <w:bottom w:val="single" w:sz="4" w:space="1" w:color="A88644"/>
        </w:pBdr>
        <w:spacing w:before="160" w:after="160"/>
        <w:rPr>
          <w:rFonts w:ascii="Arial" w:hAnsi="Arial" w:cs="Arial"/>
        </w:rPr>
      </w:pPr>
    </w:p>
    <w:p w14:paraId="039DC662" w14:textId="77777777" w:rsidR="0051248B" w:rsidRPr="00FC2CC9" w:rsidRDefault="00000000">
      <w:pPr>
        <w:pStyle w:val="Heading1"/>
        <w:rPr>
          <w:rFonts w:ascii="Arial" w:hAnsi="Arial" w:cs="Arial"/>
        </w:rPr>
      </w:pPr>
      <w:r w:rsidRPr="00FC2CC9">
        <w:rPr>
          <w:rFonts w:ascii="Arial" w:hAnsi="Arial" w:cs="Arial"/>
        </w:rPr>
        <w:t>Part 1: Dimensional Mapping to Diligence Categories</w:t>
      </w:r>
    </w:p>
    <w:p w14:paraId="56D0617C" w14:textId="77777777" w:rsidR="0051248B" w:rsidRPr="00FC2CC9" w:rsidRDefault="00000000">
      <w:pPr>
        <w:pStyle w:val="Heading2"/>
        <w:rPr>
          <w:rFonts w:ascii="Arial" w:hAnsi="Arial" w:cs="Arial"/>
        </w:rPr>
      </w:pPr>
      <w:r w:rsidRPr="00FC2CC9">
        <w:rPr>
          <w:rFonts w:ascii="Arial" w:hAnsi="Arial" w:cs="Arial"/>
        </w:rPr>
        <w:t>D1: Autonomy Gradient</w:t>
      </w:r>
    </w:p>
    <w:p w14:paraId="1338C19E" w14:textId="77777777" w:rsidR="0051248B" w:rsidRPr="00FC2CC9" w:rsidRDefault="00000000">
      <w:pPr>
        <w:spacing w:before="200" w:after="100"/>
        <w:rPr>
          <w:rFonts w:ascii="Arial" w:hAnsi="Arial" w:cs="Arial"/>
        </w:rPr>
      </w:pPr>
      <w:r w:rsidRPr="00FC2CC9">
        <w:rPr>
          <w:rFonts w:ascii="Arial" w:eastAsia="Libre Baskerville" w:hAnsi="Arial" w:cs="Arial"/>
          <w:b/>
          <w:bCs/>
          <w:i/>
          <w:iCs/>
          <w:sz w:val="20"/>
          <w:szCs w:val="20"/>
        </w:rPr>
        <w:t>Diligence question: How much operational authority have the autonomous systems been given, and is it governed?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500"/>
        <w:gridCol w:w="3060"/>
      </w:tblGrid>
      <w:tr w:rsidR="0051248B" w:rsidRPr="00FC2CC9" w14:paraId="422F9506"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03688FA3" w14:textId="77777777" w:rsidR="0051248B" w:rsidRPr="00FC2CC9" w:rsidRDefault="00000000">
            <w:pPr>
              <w:rPr>
                <w:rFonts w:ascii="Arial" w:hAnsi="Arial" w:cs="Arial"/>
              </w:rPr>
            </w:pPr>
            <w:r w:rsidRPr="00FC2CC9">
              <w:rPr>
                <w:rFonts w:ascii="Arial" w:eastAsia="Libre Baskerville" w:hAnsi="Arial" w:cs="Arial"/>
                <w:b/>
                <w:bCs/>
              </w:rPr>
              <w:t>Standard Diligence Category</w:t>
            </w:r>
          </w:p>
        </w:tc>
        <w:tc>
          <w:tcPr>
            <w:tcW w:w="18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5D5B0D65" w14:textId="77777777" w:rsidR="0051248B" w:rsidRPr="00FC2CC9" w:rsidRDefault="00000000">
            <w:pPr>
              <w:rPr>
                <w:rFonts w:ascii="Arial" w:hAnsi="Arial" w:cs="Arial"/>
              </w:rPr>
            </w:pPr>
            <w:r w:rsidRPr="00FC2CC9">
              <w:rPr>
                <w:rFonts w:ascii="Arial" w:eastAsia="Libre Baskerville" w:hAnsi="Arial" w:cs="Arial"/>
                <w:b/>
                <w:bCs/>
              </w:rPr>
              <w:t>What Investors Currently Assess</w:t>
            </w:r>
          </w:p>
        </w:tc>
        <w:tc>
          <w:tcPr>
            <w:tcW w:w="25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091DC9D7" w14:textId="77777777" w:rsidR="0051248B" w:rsidRPr="00FC2CC9" w:rsidRDefault="00000000">
            <w:pPr>
              <w:rPr>
                <w:rFonts w:ascii="Arial" w:hAnsi="Arial" w:cs="Arial"/>
              </w:rPr>
            </w:pPr>
            <w:r w:rsidRPr="00FC2CC9">
              <w:rPr>
                <w:rFonts w:ascii="Arial" w:eastAsia="Libre Baskerville" w:hAnsi="Arial" w:cs="Arial"/>
                <w:b/>
                <w:bCs/>
              </w:rPr>
              <w:t>What the ARAF Dimension Adds</w:t>
            </w:r>
          </w:p>
        </w:tc>
        <w:tc>
          <w:tcPr>
            <w:tcW w:w="306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56D4F108" w14:textId="77777777" w:rsidR="0051248B" w:rsidRPr="00FC2CC9" w:rsidRDefault="00000000">
            <w:pPr>
              <w:rPr>
                <w:rFonts w:ascii="Arial" w:hAnsi="Arial" w:cs="Arial"/>
              </w:rPr>
            </w:pPr>
            <w:r w:rsidRPr="00FC2CC9">
              <w:rPr>
                <w:rFonts w:ascii="Arial" w:eastAsia="Libre Baskerville" w:hAnsi="Arial" w:cs="Arial"/>
                <w:b/>
                <w:bCs/>
              </w:rPr>
              <w:t>Diligence Finding</w:t>
            </w:r>
          </w:p>
        </w:tc>
      </w:tr>
      <w:tr w:rsidR="0051248B" w:rsidRPr="00FC2CC9" w14:paraId="45FD17B9"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3674EE35" w14:textId="77777777" w:rsidR="0051248B" w:rsidRPr="00FC2CC9" w:rsidRDefault="00000000">
            <w:pPr>
              <w:spacing w:after="120"/>
              <w:rPr>
                <w:rFonts w:ascii="Arial" w:hAnsi="Arial" w:cs="Arial"/>
              </w:rPr>
            </w:pPr>
            <w:r w:rsidRPr="00FC2CC9">
              <w:rPr>
                <w:rFonts w:ascii="Arial" w:hAnsi="Arial" w:cs="Arial"/>
              </w:rPr>
              <w:t>Technical architecture review</w:t>
            </w:r>
          </w:p>
        </w:tc>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3EE337BA" w14:textId="77777777" w:rsidR="0051248B" w:rsidRPr="00FC2CC9" w:rsidRDefault="00000000">
            <w:pPr>
              <w:spacing w:after="120"/>
              <w:rPr>
                <w:rFonts w:ascii="Arial" w:hAnsi="Arial" w:cs="Arial"/>
              </w:rPr>
            </w:pPr>
            <w:r w:rsidRPr="00FC2CC9">
              <w:rPr>
                <w:rFonts w:ascii="Arial" w:hAnsi="Arial" w:cs="Arial"/>
              </w:rPr>
              <w:t>System capabilities, scalability, performance metrics, technical debt</w:t>
            </w:r>
          </w:p>
        </w:tc>
        <w:tc>
          <w:tcPr>
            <w:tcW w:w="25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2DDDB78F" w14:textId="77777777" w:rsidR="0051248B" w:rsidRPr="00FC2CC9" w:rsidRDefault="00000000">
            <w:pPr>
              <w:spacing w:after="120"/>
              <w:rPr>
                <w:rFonts w:ascii="Arial" w:hAnsi="Arial" w:cs="Arial"/>
              </w:rPr>
            </w:pPr>
            <w:r w:rsidRPr="00FC2CC9">
              <w:rPr>
                <w:rFonts w:ascii="Arial" w:hAnsi="Arial" w:cs="Arial"/>
              </w:rPr>
              <w:t>D1 assesses the governance dimension that technical architecture review omits: not what the system can do, but what authority it has been given to act, and whether that authority is governed. Two systems with identical technical architecture can operate at different autonomy levels depending on how they are deployed. D1 captures the deployment governance, not the technical capability.</w:t>
            </w:r>
          </w:p>
        </w:tc>
        <w:tc>
          <w:tcPr>
            <w:tcW w:w="30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2DD7AC63" w14:textId="77777777" w:rsidR="0051248B" w:rsidRPr="00FC2CC9" w:rsidRDefault="00000000">
            <w:pPr>
              <w:spacing w:after="120"/>
              <w:rPr>
                <w:rFonts w:ascii="Arial" w:hAnsi="Arial" w:cs="Arial"/>
              </w:rPr>
            </w:pPr>
            <w:r w:rsidRPr="00FC2CC9">
              <w:rPr>
                <w:rFonts w:ascii="Arial" w:hAnsi="Arial" w:cs="Arial"/>
              </w:rPr>
              <w:t>D1 above 3.0: the company has deployed autonomous systems with authority levels that exceed its governance architecture’s capacity to oversee them. This is an operational risk that technical diligence does not capture and that will materialise as governance liability if an adverse outcome occurs.</w:t>
            </w:r>
          </w:p>
        </w:tc>
      </w:tr>
      <w:tr w:rsidR="0051248B" w:rsidRPr="00FC2CC9" w14:paraId="5DDEBFCA"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1983F22B" w14:textId="77777777" w:rsidR="0051248B" w:rsidRPr="00FC2CC9" w:rsidRDefault="00000000">
            <w:pPr>
              <w:spacing w:after="120"/>
              <w:rPr>
                <w:rFonts w:ascii="Arial" w:hAnsi="Arial" w:cs="Arial"/>
              </w:rPr>
            </w:pPr>
            <w:r w:rsidRPr="00FC2CC9">
              <w:rPr>
                <w:rFonts w:ascii="Arial" w:hAnsi="Arial" w:cs="Arial"/>
              </w:rPr>
              <w:t>Operational risk assessment</w:t>
            </w:r>
          </w:p>
        </w:tc>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75EE2CEA" w14:textId="77777777" w:rsidR="0051248B" w:rsidRPr="00FC2CC9" w:rsidRDefault="00000000">
            <w:pPr>
              <w:spacing w:after="120"/>
              <w:rPr>
                <w:rFonts w:ascii="Arial" w:hAnsi="Arial" w:cs="Arial"/>
              </w:rPr>
            </w:pPr>
            <w:r w:rsidRPr="00FC2CC9">
              <w:rPr>
                <w:rFonts w:ascii="Arial" w:hAnsi="Arial" w:cs="Arial"/>
              </w:rPr>
              <w:t>Key person dependencies, process maturity, operational resilience</w:t>
            </w:r>
          </w:p>
        </w:tc>
        <w:tc>
          <w:tcPr>
            <w:tcW w:w="25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D3E1048" w14:textId="77777777" w:rsidR="0051248B" w:rsidRPr="00FC2CC9" w:rsidRDefault="00000000">
            <w:pPr>
              <w:spacing w:after="120"/>
              <w:rPr>
                <w:rFonts w:ascii="Arial" w:hAnsi="Arial" w:cs="Arial"/>
              </w:rPr>
            </w:pPr>
            <w:r w:rsidRPr="00FC2CC9">
              <w:rPr>
                <w:rFonts w:ascii="Arial" w:hAnsi="Arial" w:cs="Arial"/>
              </w:rPr>
              <w:t xml:space="preserve">D1 informs operational risk by identifying whether autonomous systems are making consequential decisions without adequate human oversight. A company where AI systems have committal authority (can execute transactions, deploy code, send communications without human approval) has a different operational risk profile from one where AI </w:t>
            </w:r>
            <w:r w:rsidRPr="00FC2CC9">
              <w:rPr>
                <w:rFonts w:ascii="Arial" w:hAnsi="Arial" w:cs="Arial"/>
              </w:rPr>
              <w:lastRenderedPageBreak/>
              <w:t>systems produce recommendations that humans review.</w:t>
            </w:r>
          </w:p>
        </w:tc>
        <w:tc>
          <w:tcPr>
            <w:tcW w:w="30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61037CFC" w14:textId="77777777" w:rsidR="0051248B" w:rsidRPr="00FC2CC9" w:rsidRDefault="00000000">
            <w:pPr>
              <w:spacing w:after="120"/>
              <w:rPr>
                <w:rFonts w:ascii="Arial" w:hAnsi="Arial" w:cs="Arial"/>
              </w:rPr>
            </w:pPr>
            <w:r w:rsidRPr="00FC2CC9">
              <w:rPr>
                <w:rFonts w:ascii="Arial" w:hAnsi="Arial" w:cs="Arial"/>
              </w:rPr>
              <w:lastRenderedPageBreak/>
              <w:t>D1 indicating committal authority across critical functions: elevated operational risk. The company’s operational outcomes depend on autonomous system governance, not only on human judgment. Operational diligence should assess whether the governance architecture matches the operational authority.</w:t>
            </w:r>
          </w:p>
        </w:tc>
      </w:tr>
      <w:tr w:rsidR="0051248B" w:rsidRPr="00FC2CC9" w14:paraId="1C9D9EAF"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57085F8" w14:textId="77777777" w:rsidR="0051248B" w:rsidRPr="00FC2CC9" w:rsidRDefault="00000000">
            <w:pPr>
              <w:spacing w:after="120"/>
              <w:rPr>
                <w:rFonts w:ascii="Arial" w:hAnsi="Arial" w:cs="Arial"/>
              </w:rPr>
            </w:pPr>
            <w:r w:rsidRPr="00FC2CC9">
              <w:rPr>
                <w:rFonts w:ascii="Arial" w:hAnsi="Arial" w:cs="Arial"/>
              </w:rPr>
              <w:t>Management quality assessment</w:t>
            </w:r>
          </w:p>
        </w:tc>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08D04FEB" w14:textId="77777777" w:rsidR="0051248B" w:rsidRPr="00FC2CC9" w:rsidRDefault="00000000">
            <w:pPr>
              <w:spacing w:after="120"/>
              <w:rPr>
                <w:rFonts w:ascii="Arial" w:hAnsi="Arial" w:cs="Arial"/>
              </w:rPr>
            </w:pPr>
            <w:r w:rsidRPr="00FC2CC9">
              <w:rPr>
                <w:rFonts w:ascii="Arial" w:hAnsi="Arial" w:cs="Arial"/>
              </w:rPr>
              <w:t>Leadership experience, decision-making quality, governance maturity</w:t>
            </w:r>
          </w:p>
        </w:tc>
        <w:tc>
          <w:tcPr>
            <w:tcW w:w="25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3A968F29" w14:textId="77777777" w:rsidR="0051248B" w:rsidRPr="00FC2CC9" w:rsidRDefault="00000000">
            <w:pPr>
              <w:spacing w:after="120"/>
              <w:rPr>
                <w:rFonts w:ascii="Arial" w:hAnsi="Arial" w:cs="Arial"/>
              </w:rPr>
            </w:pPr>
            <w:r w:rsidRPr="00FC2CC9">
              <w:rPr>
                <w:rFonts w:ascii="Arial" w:hAnsi="Arial" w:cs="Arial"/>
              </w:rPr>
              <w:t>D1 reveals something about management quality that interviews and references do not: whether management has governed the authority delegation to autonomous systems or simply deployed them. A management team that mandated autonomous system adoption at high authority levels without governance architecture demonstrates a governance judgment gap that D1 quantifies.</w:t>
            </w:r>
          </w:p>
        </w:tc>
        <w:tc>
          <w:tcPr>
            <w:tcW w:w="30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3CFEF8DA" w14:textId="77777777" w:rsidR="0051248B" w:rsidRPr="00FC2CC9" w:rsidRDefault="00000000">
            <w:pPr>
              <w:spacing w:after="120"/>
              <w:rPr>
                <w:rFonts w:ascii="Arial" w:hAnsi="Arial" w:cs="Arial"/>
              </w:rPr>
            </w:pPr>
            <w:r w:rsidRPr="00FC2CC9">
              <w:rPr>
                <w:rFonts w:ascii="Arial" w:hAnsi="Arial" w:cs="Arial"/>
              </w:rPr>
              <w:t>D1 above 3.0 with no governance architecture documented: management deployed autonomous systems without governing the authority delegation. This is a governance quality signal relevant to the management assessment.</w:t>
            </w:r>
          </w:p>
        </w:tc>
      </w:tr>
    </w:tbl>
    <w:p w14:paraId="65DD7118" w14:textId="77777777" w:rsidR="0051248B" w:rsidRPr="00FC2CC9" w:rsidRDefault="00000000">
      <w:pPr>
        <w:pStyle w:val="Heading2"/>
        <w:rPr>
          <w:rFonts w:ascii="Arial" w:hAnsi="Arial" w:cs="Arial"/>
        </w:rPr>
      </w:pPr>
      <w:r w:rsidRPr="00FC2CC9">
        <w:rPr>
          <w:rFonts w:ascii="Arial" w:hAnsi="Arial" w:cs="Arial"/>
        </w:rPr>
        <w:t>D2: Data Sensitivity Exposure</w:t>
      </w:r>
    </w:p>
    <w:p w14:paraId="7B489788" w14:textId="77777777" w:rsidR="0051248B" w:rsidRPr="00FC2CC9" w:rsidRDefault="00000000">
      <w:pPr>
        <w:spacing w:before="200" w:after="100"/>
        <w:rPr>
          <w:rFonts w:ascii="Arial" w:hAnsi="Arial" w:cs="Arial"/>
        </w:rPr>
      </w:pPr>
      <w:r w:rsidRPr="00FC2CC9">
        <w:rPr>
          <w:rFonts w:ascii="Arial" w:eastAsia="Libre Baskerville" w:hAnsi="Arial" w:cs="Arial"/>
          <w:b/>
          <w:bCs/>
          <w:i/>
          <w:iCs/>
          <w:sz w:val="20"/>
          <w:szCs w:val="20"/>
        </w:rPr>
        <w:t>Diligence question: What data do the autonomous systems process, and is that exposure governed?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500"/>
        <w:gridCol w:w="3060"/>
      </w:tblGrid>
      <w:tr w:rsidR="0051248B" w:rsidRPr="00FC2CC9" w14:paraId="45CB1299"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2AEA393D" w14:textId="77777777" w:rsidR="0051248B" w:rsidRPr="00FC2CC9" w:rsidRDefault="00000000">
            <w:pPr>
              <w:rPr>
                <w:rFonts w:ascii="Arial" w:hAnsi="Arial" w:cs="Arial"/>
              </w:rPr>
            </w:pPr>
            <w:r w:rsidRPr="00FC2CC9">
              <w:rPr>
                <w:rFonts w:ascii="Arial" w:eastAsia="Libre Baskerville" w:hAnsi="Arial" w:cs="Arial"/>
                <w:b/>
                <w:bCs/>
              </w:rPr>
              <w:t>Standard Diligence Category</w:t>
            </w:r>
          </w:p>
        </w:tc>
        <w:tc>
          <w:tcPr>
            <w:tcW w:w="18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76A2A44F" w14:textId="77777777" w:rsidR="0051248B" w:rsidRPr="00FC2CC9" w:rsidRDefault="00000000">
            <w:pPr>
              <w:rPr>
                <w:rFonts w:ascii="Arial" w:hAnsi="Arial" w:cs="Arial"/>
              </w:rPr>
            </w:pPr>
            <w:r w:rsidRPr="00FC2CC9">
              <w:rPr>
                <w:rFonts w:ascii="Arial" w:eastAsia="Libre Baskerville" w:hAnsi="Arial" w:cs="Arial"/>
                <w:b/>
                <w:bCs/>
              </w:rPr>
              <w:t>What Investors Currently Assess</w:t>
            </w:r>
          </w:p>
        </w:tc>
        <w:tc>
          <w:tcPr>
            <w:tcW w:w="25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58867205" w14:textId="77777777" w:rsidR="0051248B" w:rsidRPr="00FC2CC9" w:rsidRDefault="00000000">
            <w:pPr>
              <w:rPr>
                <w:rFonts w:ascii="Arial" w:hAnsi="Arial" w:cs="Arial"/>
              </w:rPr>
            </w:pPr>
            <w:r w:rsidRPr="00FC2CC9">
              <w:rPr>
                <w:rFonts w:ascii="Arial" w:eastAsia="Libre Baskerville" w:hAnsi="Arial" w:cs="Arial"/>
                <w:b/>
                <w:bCs/>
              </w:rPr>
              <w:t>What the ARAF Dimension Adds</w:t>
            </w:r>
          </w:p>
        </w:tc>
        <w:tc>
          <w:tcPr>
            <w:tcW w:w="306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38D10574" w14:textId="77777777" w:rsidR="0051248B" w:rsidRPr="00FC2CC9" w:rsidRDefault="00000000">
            <w:pPr>
              <w:rPr>
                <w:rFonts w:ascii="Arial" w:hAnsi="Arial" w:cs="Arial"/>
              </w:rPr>
            </w:pPr>
            <w:r w:rsidRPr="00FC2CC9">
              <w:rPr>
                <w:rFonts w:ascii="Arial" w:eastAsia="Libre Baskerville" w:hAnsi="Arial" w:cs="Arial"/>
                <w:b/>
                <w:bCs/>
              </w:rPr>
              <w:t>Diligence Finding</w:t>
            </w:r>
          </w:p>
        </w:tc>
      </w:tr>
      <w:tr w:rsidR="0051248B" w:rsidRPr="00FC2CC9" w14:paraId="5B71C73A"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1A956129" w14:textId="77777777" w:rsidR="0051248B" w:rsidRPr="00FC2CC9" w:rsidRDefault="00000000">
            <w:pPr>
              <w:spacing w:after="120"/>
              <w:rPr>
                <w:rFonts w:ascii="Arial" w:hAnsi="Arial" w:cs="Arial"/>
              </w:rPr>
            </w:pPr>
            <w:r w:rsidRPr="00FC2CC9">
              <w:rPr>
                <w:rFonts w:ascii="Arial" w:hAnsi="Arial" w:cs="Arial"/>
              </w:rPr>
              <w:t>Data and privacy review</w:t>
            </w:r>
          </w:p>
        </w:tc>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6FBD12BF" w14:textId="77777777" w:rsidR="0051248B" w:rsidRPr="00FC2CC9" w:rsidRDefault="00000000">
            <w:pPr>
              <w:spacing w:after="120"/>
              <w:rPr>
                <w:rFonts w:ascii="Arial" w:hAnsi="Arial" w:cs="Arial"/>
              </w:rPr>
            </w:pPr>
            <w:r w:rsidRPr="00FC2CC9">
              <w:rPr>
                <w:rFonts w:ascii="Arial" w:hAnsi="Arial" w:cs="Arial"/>
              </w:rPr>
              <w:t>Data categories collected, consent basis, DPA compliance, privacy programme maturity, data breach history</w:t>
            </w:r>
          </w:p>
        </w:tc>
        <w:tc>
          <w:tcPr>
            <w:tcW w:w="25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38513B6" w14:textId="77777777" w:rsidR="0051248B" w:rsidRPr="00FC2CC9" w:rsidRDefault="00000000">
            <w:pPr>
              <w:spacing w:after="120"/>
              <w:rPr>
                <w:rFonts w:ascii="Arial" w:hAnsi="Arial" w:cs="Arial"/>
              </w:rPr>
            </w:pPr>
            <w:r w:rsidRPr="00FC2CC9">
              <w:rPr>
                <w:rFonts w:ascii="Arial" w:hAnsi="Arial" w:cs="Arial"/>
              </w:rPr>
              <w:t>D2 extends the data review to the AI system layer: not only what data the company collects, but what data its autonomous systems process during inference and what data was used for training. Standard data diligence covers the company’s data practices. D2 covers the autonomous system’s data exposure, which may include data categories (model training data, inference context, retrieval-augmented generation (RAG) knowledge bases) that standard privacy reviews do not examine.</w:t>
            </w:r>
          </w:p>
        </w:tc>
        <w:tc>
          <w:tcPr>
            <w:tcW w:w="30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6351FD5D" w14:textId="77777777" w:rsidR="0051248B" w:rsidRPr="00FC2CC9" w:rsidRDefault="00000000">
            <w:pPr>
              <w:spacing w:after="120"/>
              <w:rPr>
                <w:rFonts w:ascii="Arial" w:hAnsi="Arial" w:cs="Arial"/>
              </w:rPr>
            </w:pPr>
            <w:r w:rsidRPr="00FC2CC9">
              <w:rPr>
                <w:rFonts w:ascii="Arial" w:hAnsi="Arial" w:cs="Arial"/>
              </w:rPr>
              <w:t>D2 above 3.0: the autonomous systems process high-sensitivity data categories that the company’s standard data governance may not cover. Training data provenance issues (unlicensed data, biased datasets, data from jurisdictions with conflicting requirements) create IP and regulatory exposure that standard data diligence may not surface.</w:t>
            </w:r>
          </w:p>
        </w:tc>
      </w:tr>
      <w:tr w:rsidR="0051248B" w:rsidRPr="00FC2CC9" w14:paraId="53689245"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36F4F23C" w14:textId="77777777" w:rsidR="0051248B" w:rsidRPr="00FC2CC9" w:rsidRDefault="00000000">
            <w:pPr>
              <w:spacing w:after="120"/>
              <w:rPr>
                <w:rFonts w:ascii="Arial" w:hAnsi="Arial" w:cs="Arial"/>
              </w:rPr>
            </w:pPr>
            <w:r w:rsidRPr="00FC2CC9">
              <w:rPr>
                <w:rFonts w:ascii="Arial" w:hAnsi="Arial" w:cs="Arial"/>
              </w:rPr>
              <w:t>IP and technology ownership</w:t>
            </w:r>
          </w:p>
        </w:tc>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6DFDAC6E" w14:textId="77777777" w:rsidR="0051248B" w:rsidRPr="00FC2CC9" w:rsidRDefault="00000000">
            <w:pPr>
              <w:spacing w:after="120"/>
              <w:rPr>
                <w:rFonts w:ascii="Arial" w:hAnsi="Arial" w:cs="Arial"/>
              </w:rPr>
            </w:pPr>
            <w:r w:rsidRPr="00FC2CC9">
              <w:rPr>
                <w:rFonts w:ascii="Arial" w:hAnsi="Arial" w:cs="Arial"/>
              </w:rPr>
              <w:t>Patent portfolio, trade secret protection, open-source licence compliance, third-party IP dependencies</w:t>
            </w:r>
          </w:p>
        </w:tc>
        <w:tc>
          <w:tcPr>
            <w:tcW w:w="25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37CCE07D" w14:textId="77777777" w:rsidR="0051248B" w:rsidRPr="00FC2CC9" w:rsidRDefault="00000000">
            <w:pPr>
              <w:spacing w:after="120"/>
              <w:rPr>
                <w:rFonts w:ascii="Arial" w:hAnsi="Arial" w:cs="Arial"/>
              </w:rPr>
            </w:pPr>
            <w:r w:rsidRPr="00FC2CC9">
              <w:rPr>
                <w:rFonts w:ascii="Arial" w:hAnsi="Arial" w:cs="Arial"/>
              </w:rPr>
              <w:t xml:space="preserve">D2’s training data provenance assessment identifies IP exposure from training data: whether the system was trained on data the company has the right to use, whether training data includes third-party content with licensing restrictions, and whether the system’s outputs may </w:t>
            </w:r>
            <w:r w:rsidRPr="00FC2CC9">
              <w:rPr>
                <w:rFonts w:ascii="Arial" w:hAnsi="Arial" w:cs="Arial"/>
              </w:rPr>
              <w:lastRenderedPageBreak/>
              <w:t>create derivative work or IP infringement exposure.</w:t>
            </w:r>
          </w:p>
        </w:tc>
        <w:tc>
          <w:tcPr>
            <w:tcW w:w="30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9CCDDDF" w14:textId="77777777" w:rsidR="0051248B" w:rsidRPr="00FC2CC9" w:rsidRDefault="00000000">
            <w:pPr>
              <w:spacing w:after="120"/>
              <w:rPr>
                <w:rFonts w:ascii="Arial" w:hAnsi="Arial" w:cs="Arial"/>
              </w:rPr>
            </w:pPr>
            <w:r w:rsidRPr="00FC2CC9">
              <w:rPr>
                <w:rFonts w:ascii="Arial" w:hAnsi="Arial" w:cs="Arial"/>
              </w:rPr>
              <w:lastRenderedPageBreak/>
              <w:t>D2 training data provenance issues identified: potential IP liability that does not appear in standard IP diligence. An AI system trained on improperly licensed data creates contingent IP exposure across every output it produces.</w:t>
            </w:r>
          </w:p>
        </w:tc>
      </w:tr>
    </w:tbl>
    <w:p w14:paraId="6DC04E3C" w14:textId="77777777" w:rsidR="0051248B" w:rsidRPr="00FC2CC9" w:rsidRDefault="00000000">
      <w:pPr>
        <w:pStyle w:val="Heading2"/>
        <w:rPr>
          <w:rFonts w:ascii="Arial" w:hAnsi="Arial" w:cs="Arial"/>
        </w:rPr>
      </w:pPr>
      <w:r w:rsidRPr="00FC2CC9">
        <w:rPr>
          <w:rFonts w:ascii="Arial" w:hAnsi="Arial" w:cs="Arial"/>
        </w:rPr>
        <w:t>D3: Contract Infrastructure</w:t>
      </w:r>
    </w:p>
    <w:p w14:paraId="05864697" w14:textId="77777777" w:rsidR="0051248B" w:rsidRPr="00FC2CC9" w:rsidRDefault="00000000">
      <w:pPr>
        <w:spacing w:before="200" w:after="100"/>
        <w:rPr>
          <w:rFonts w:ascii="Arial" w:hAnsi="Arial" w:cs="Arial"/>
        </w:rPr>
      </w:pPr>
      <w:r w:rsidRPr="00FC2CC9">
        <w:rPr>
          <w:rFonts w:ascii="Arial" w:eastAsia="Libre Baskerville" w:hAnsi="Arial" w:cs="Arial"/>
          <w:b/>
          <w:bCs/>
          <w:i/>
          <w:iCs/>
          <w:sz w:val="20"/>
          <w:szCs w:val="20"/>
        </w:rPr>
        <w:t>Diligence question: Do the company’s contracts cover the AI-specific risks its deployments create?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500"/>
        <w:gridCol w:w="3060"/>
      </w:tblGrid>
      <w:tr w:rsidR="0051248B" w:rsidRPr="00FC2CC9" w14:paraId="18E6F0C1"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0B4ECCD3" w14:textId="77777777" w:rsidR="0051248B" w:rsidRPr="00FC2CC9" w:rsidRDefault="00000000">
            <w:pPr>
              <w:rPr>
                <w:rFonts w:ascii="Arial" w:hAnsi="Arial" w:cs="Arial"/>
              </w:rPr>
            </w:pPr>
            <w:r w:rsidRPr="00FC2CC9">
              <w:rPr>
                <w:rFonts w:ascii="Arial" w:eastAsia="Libre Baskerville" w:hAnsi="Arial" w:cs="Arial"/>
                <w:b/>
                <w:bCs/>
              </w:rPr>
              <w:t>Standard Diligence Category</w:t>
            </w:r>
          </w:p>
        </w:tc>
        <w:tc>
          <w:tcPr>
            <w:tcW w:w="18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69147671" w14:textId="77777777" w:rsidR="0051248B" w:rsidRPr="00FC2CC9" w:rsidRDefault="00000000">
            <w:pPr>
              <w:rPr>
                <w:rFonts w:ascii="Arial" w:hAnsi="Arial" w:cs="Arial"/>
              </w:rPr>
            </w:pPr>
            <w:r w:rsidRPr="00FC2CC9">
              <w:rPr>
                <w:rFonts w:ascii="Arial" w:eastAsia="Libre Baskerville" w:hAnsi="Arial" w:cs="Arial"/>
                <w:b/>
                <w:bCs/>
              </w:rPr>
              <w:t>What Investors Currently Assess</w:t>
            </w:r>
          </w:p>
        </w:tc>
        <w:tc>
          <w:tcPr>
            <w:tcW w:w="25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5110CB4E" w14:textId="77777777" w:rsidR="0051248B" w:rsidRPr="00FC2CC9" w:rsidRDefault="00000000">
            <w:pPr>
              <w:rPr>
                <w:rFonts w:ascii="Arial" w:hAnsi="Arial" w:cs="Arial"/>
              </w:rPr>
            </w:pPr>
            <w:r w:rsidRPr="00FC2CC9">
              <w:rPr>
                <w:rFonts w:ascii="Arial" w:eastAsia="Libre Baskerville" w:hAnsi="Arial" w:cs="Arial"/>
                <w:b/>
                <w:bCs/>
              </w:rPr>
              <w:t>What the ARAF Dimension Adds</w:t>
            </w:r>
          </w:p>
        </w:tc>
        <w:tc>
          <w:tcPr>
            <w:tcW w:w="306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0C544BA7" w14:textId="77777777" w:rsidR="0051248B" w:rsidRPr="00FC2CC9" w:rsidRDefault="00000000">
            <w:pPr>
              <w:rPr>
                <w:rFonts w:ascii="Arial" w:hAnsi="Arial" w:cs="Arial"/>
              </w:rPr>
            </w:pPr>
            <w:r w:rsidRPr="00FC2CC9">
              <w:rPr>
                <w:rFonts w:ascii="Arial" w:eastAsia="Libre Baskerville" w:hAnsi="Arial" w:cs="Arial"/>
                <w:b/>
                <w:bCs/>
              </w:rPr>
              <w:t>Diligence Finding</w:t>
            </w:r>
          </w:p>
        </w:tc>
      </w:tr>
      <w:tr w:rsidR="0051248B" w:rsidRPr="00FC2CC9" w14:paraId="07D6ECA2"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6EAEE098" w14:textId="77777777" w:rsidR="0051248B" w:rsidRPr="00FC2CC9" w:rsidRDefault="00000000">
            <w:pPr>
              <w:spacing w:after="120"/>
              <w:rPr>
                <w:rFonts w:ascii="Arial" w:hAnsi="Arial" w:cs="Arial"/>
              </w:rPr>
            </w:pPr>
            <w:r w:rsidRPr="00FC2CC9">
              <w:rPr>
                <w:rFonts w:ascii="Arial" w:hAnsi="Arial" w:cs="Arial"/>
              </w:rPr>
              <w:t>Contract and commercial review</w:t>
            </w:r>
          </w:p>
        </w:tc>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5EB282C" w14:textId="77777777" w:rsidR="0051248B" w:rsidRPr="00FC2CC9" w:rsidRDefault="00000000">
            <w:pPr>
              <w:spacing w:after="120"/>
              <w:rPr>
                <w:rFonts w:ascii="Arial" w:hAnsi="Arial" w:cs="Arial"/>
              </w:rPr>
            </w:pPr>
            <w:r w:rsidRPr="00FC2CC9">
              <w:rPr>
                <w:rFonts w:ascii="Arial" w:hAnsi="Arial" w:cs="Arial"/>
              </w:rPr>
              <w:t>Key customer agreements, vendor contracts, licensing terms, revenue concentration, contractual liabilities</w:t>
            </w:r>
          </w:p>
        </w:tc>
        <w:tc>
          <w:tcPr>
            <w:tcW w:w="25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6970EAB0" w14:textId="77777777" w:rsidR="0051248B" w:rsidRPr="00FC2CC9" w:rsidRDefault="00000000">
            <w:pPr>
              <w:spacing w:after="120"/>
              <w:rPr>
                <w:rFonts w:ascii="Arial" w:hAnsi="Arial" w:cs="Arial"/>
              </w:rPr>
            </w:pPr>
            <w:r w:rsidRPr="00FC2CC9">
              <w:rPr>
                <w:rFonts w:ascii="Arial" w:hAnsi="Arial" w:cs="Arial"/>
              </w:rPr>
              <w:t>D3 extends the contract review to AI-specific provisions: whether vendor agreements allocate liability for AI-generated outputs, whether customer agreements address autonomous system deployment, whether data processing agreements cover AI-specific processing (inference, embedding, RAG retrieval), and whether the contractual chain across the AI deployment has defined liability allocation at each link.</w:t>
            </w:r>
          </w:p>
        </w:tc>
        <w:tc>
          <w:tcPr>
            <w:tcW w:w="30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2BE83F73" w14:textId="77777777" w:rsidR="0051248B" w:rsidRPr="00FC2CC9" w:rsidRDefault="00000000">
            <w:pPr>
              <w:spacing w:after="120"/>
              <w:rPr>
                <w:rFonts w:ascii="Arial" w:hAnsi="Arial" w:cs="Arial"/>
              </w:rPr>
            </w:pPr>
            <w:r w:rsidRPr="00FC2CC9">
              <w:rPr>
                <w:rFonts w:ascii="Arial" w:hAnsi="Arial" w:cs="Arial"/>
              </w:rPr>
              <w:t>D3 above 3.0: the company’s contracts were not designed for the autonomous system deployments now operating under them. The gap between what the AI system does and what the contracts cover is an unpriced contractual liability. Standard contract diligence reviews the terms that exist; D3 identifies the terms that should exist but do not.</w:t>
            </w:r>
          </w:p>
        </w:tc>
      </w:tr>
      <w:tr w:rsidR="0051248B" w:rsidRPr="00FC2CC9" w14:paraId="576E563F"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5B40ABC3" w14:textId="77777777" w:rsidR="0051248B" w:rsidRPr="00FC2CC9" w:rsidRDefault="00000000">
            <w:pPr>
              <w:spacing w:after="120"/>
              <w:rPr>
                <w:rFonts w:ascii="Arial" w:hAnsi="Arial" w:cs="Arial"/>
              </w:rPr>
            </w:pPr>
            <w:r w:rsidRPr="00FC2CC9">
              <w:rPr>
                <w:rFonts w:ascii="Arial" w:hAnsi="Arial" w:cs="Arial"/>
              </w:rPr>
              <w:t>Vendor and supplier risk</w:t>
            </w:r>
          </w:p>
        </w:tc>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5B0A386C" w14:textId="77777777" w:rsidR="0051248B" w:rsidRPr="00FC2CC9" w:rsidRDefault="00000000">
            <w:pPr>
              <w:spacing w:after="120"/>
              <w:rPr>
                <w:rFonts w:ascii="Arial" w:hAnsi="Arial" w:cs="Arial"/>
              </w:rPr>
            </w:pPr>
            <w:r w:rsidRPr="00FC2CC9">
              <w:rPr>
                <w:rFonts w:ascii="Arial" w:hAnsi="Arial" w:cs="Arial"/>
              </w:rPr>
              <w:t>Key vendor dependencies, supplier concentration, supply chain resilience</w:t>
            </w:r>
          </w:p>
        </w:tc>
        <w:tc>
          <w:tcPr>
            <w:tcW w:w="25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3223663F" w14:textId="77777777" w:rsidR="0051248B" w:rsidRPr="00FC2CC9" w:rsidRDefault="00000000">
            <w:pPr>
              <w:spacing w:after="120"/>
              <w:rPr>
                <w:rFonts w:ascii="Arial" w:hAnsi="Arial" w:cs="Arial"/>
              </w:rPr>
            </w:pPr>
            <w:r w:rsidRPr="00FC2CC9">
              <w:rPr>
                <w:rFonts w:ascii="Arial" w:hAnsi="Arial" w:cs="Arial"/>
              </w:rPr>
              <w:t>D3 assesses whether the AI vendor’s contract infrastructure matches the deployment’s governance requirements. This includes sub-processor disclosure, liability flow-down, audit rights for AI governance, and whether the vendor’s terms address AI-specific failure modes (hallucination, scope drift, model degradation) or only standard infrastructure service levels.</w:t>
            </w:r>
          </w:p>
        </w:tc>
        <w:tc>
          <w:tcPr>
            <w:tcW w:w="30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13163EA7" w14:textId="77777777" w:rsidR="0051248B" w:rsidRPr="00FC2CC9" w:rsidRDefault="00000000">
            <w:pPr>
              <w:spacing w:after="120"/>
              <w:rPr>
                <w:rFonts w:ascii="Arial" w:hAnsi="Arial" w:cs="Arial"/>
              </w:rPr>
            </w:pPr>
            <w:r w:rsidRPr="00FC2CC9">
              <w:rPr>
                <w:rFonts w:ascii="Arial" w:hAnsi="Arial" w:cs="Arial"/>
              </w:rPr>
              <w:t>D3 identifying AI vendor contracts with standard SaaS terms applied to autonomous system deployments: the company is operating consequential AI systems under contracts designed for conventional software. This is a contractual risk finding.</w:t>
            </w:r>
          </w:p>
        </w:tc>
      </w:tr>
    </w:tbl>
    <w:p w14:paraId="3EEF96F6" w14:textId="77777777" w:rsidR="0051248B" w:rsidRPr="00FC2CC9" w:rsidRDefault="00000000">
      <w:pPr>
        <w:pStyle w:val="Heading2"/>
        <w:rPr>
          <w:rFonts w:ascii="Arial" w:hAnsi="Arial" w:cs="Arial"/>
        </w:rPr>
      </w:pPr>
      <w:r w:rsidRPr="00FC2CC9">
        <w:rPr>
          <w:rFonts w:ascii="Arial" w:hAnsi="Arial" w:cs="Arial"/>
        </w:rPr>
        <w:t>D4: Liability Architecture</w:t>
      </w:r>
    </w:p>
    <w:p w14:paraId="087F40AD" w14:textId="77777777" w:rsidR="0051248B" w:rsidRPr="00FC2CC9" w:rsidRDefault="00000000">
      <w:pPr>
        <w:spacing w:before="200" w:after="100"/>
        <w:rPr>
          <w:rFonts w:ascii="Arial" w:hAnsi="Arial" w:cs="Arial"/>
        </w:rPr>
      </w:pPr>
      <w:r w:rsidRPr="00FC2CC9">
        <w:rPr>
          <w:rFonts w:ascii="Arial" w:eastAsia="Libre Baskerville" w:hAnsi="Arial" w:cs="Arial"/>
          <w:b/>
          <w:bCs/>
          <w:i/>
          <w:iCs/>
          <w:sz w:val="20"/>
          <w:szCs w:val="20"/>
        </w:rPr>
        <w:t>Diligence question: What happens when the AI system produces an adverse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500"/>
        <w:gridCol w:w="3060"/>
      </w:tblGrid>
      <w:tr w:rsidR="0051248B" w:rsidRPr="00FC2CC9" w14:paraId="0A571FC3"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14E0D024" w14:textId="77777777" w:rsidR="0051248B" w:rsidRPr="00FC2CC9" w:rsidRDefault="00000000">
            <w:pPr>
              <w:rPr>
                <w:rFonts w:ascii="Arial" w:hAnsi="Arial" w:cs="Arial"/>
              </w:rPr>
            </w:pPr>
            <w:r w:rsidRPr="00FC2CC9">
              <w:rPr>
                <w:rFonts w:ascii="Arial" w:eastAsia="Libre Baskerville" w:hAnsi="Arial" w:cs="Arial"/>
                <w:b/>
                <w:bCs/>
              </w:rPr>
              <w:t>Standard Diligence Category</w:t>
            </w:r>
          </w:p>
        </w:tc>
        <w:tc>
          <w:tcPr>
            <w:tcW w:w="18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0F9DBDC3" w14:textId="77777777" w:rsidR="0051248B" w:rsidRPr="00FC2CC9" w:rsidRDefault="00000000">
            <w:pPr>
              <w:rPr>
                <w:rFonts w:ascii="Arial" w:hAnsi="Arial" w:cs="Arial"/>
              </w:rPr>
            </w:pPr>
            <w:r w:rsidRPr="00FC2CC9">
              <w:rPr>
                <w:rFonts w:ascii="Arial" w:eastAsia="Libre Baskerville" w:hAnsi="Arial" w:cs="Arial"/>
                <w:b/>
                <w:bCs/>
              </w:rPr>
              <w:t>What Investors Currently Assess</w:t>
            </w:r>
          </w:p>
        </w:tc>
        <w:tc>
          <w:tcPr>
            <w:tcW w:w="25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31859CA9" w14:textId="77777777" w:rsidR="0051248B" w:rsidRPr="00FC2CC9" w:rsidRDefault="00000000">
            <w:pPr>
              <w:rPr>
                <w:rFonts w:ascii="Arial" w:hAnsi="Arial" w:cs="Arial"/>
              </w:rPr>
            </w:pPr>
            <w:r w:rsidRPr="00FC2CC9">
              <w:rPr>
                <w:rFonts w:ascii="Arial" w:eastAsia="Libre Baskerville" w:hAnsi="Arial" w:cs="Arial"/>
                <w:b/>
                <w:bCs/>
              </w:rPr>
              <w:t>What the ARAF Dimension Adds</w:t>
            </w:r>
          </w:p>
        </w:tc>
        <w:tc>
          <w:tcPr>
            <w:tcW w:w="306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6DD7C96C" w14:textId="77777777" w:rsidR="0051248B" w:rsidRPr="00FC2CC9" w:rsidRDefault="00000000">
            <w:pPr>
              <w:rPr>
                <w:rFonts w:ascii="Arial" w:hAnsi="Arial" w:cs="Arial"/>
              </w:rPr>
            </w:pPr>
            <w:r w:rsidRPr="00FC2CC9">
              <w:rPr>
                <w:rFonts w:ascii="Arial" w:eastAsia="Libre Baskerville" w:hAnsi="Arial" w:cs="Arial"/>
                <w:b/>
                <w:bCs/>
              </w:rPr>
              <w:t>Diligence Finding</w:t>
            </w:r>
          </w:p>
        </w:tc>
      </w:tr>
      <w:tr w:rsidR="0051248B" w:rsidRPr="00FC2CC9" w14:paraId="071A75E4"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B6A2221" w14:textId="77777777" w:rsidR="0051248B" w:rsidRPr="00FC2CC9" w:rsidRDefault="00000000">
            <w:pPr>
              <w:spacing w:after="120"/>
              <w:rPr>
                <w:rFonts w:ascii="Arial" w:hAnsi="Arial" w:cs="Arial"/>
              </w:rPr>
            </w:pPr>
            <w:r w:rsidRPr="00FC2CC9">
              <w:rPr>
                <w:rFonts w:ascii="Arial" w:hAnsi="Arial" w:cs="Arial"/>
              </w:rPr>
              <w:t>Litigation and liability review</w:t>
            </w:r>
          </w:p>
        </w:tc>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1AC1EDC" w14:textId="77777777" w:rsidR="0051248B" w:rsidRPr="00FC2CC9" w:rsidRDefault="00000000">
            <w:pPr>
              <w:spacing w:after="120"/>
              <w:rPr>
                <w:rFonts w:ascii="Arial" w:hAnsi="Arial" w:cs="Arial"/>
              </w:rPr>
            </w:pPr>
            <w:r w:rsidRPr="00FC2CC9">
              <w:rPr>
                <w:rFonts w:ascii="Arial" w:hAnsi="Arial" w:cs="Arial"/>
              </w:rPr>
              <w:t>Pending litigation, historical claims, material contingent liabilities, insurance programme adequacy</w:t>
            </w:r>
          </w:p>
        </w:tc>
        <w:tc>
          <w:tcPr>
            <w:tcW w:w="25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0328B3B8" w14:textId="77777777" w:rsidR="0051248B" w:rsidRPr="00FC2CC9" w:rsidRDefault="00000000">
            <w:pPr>
              <w:spacing w:after="120"/>
              <w:rPr>
                <w:rFonts w:ascii="Arial" w:hAnsi="Arial" w:cs="Arial"/>
              </w:rPr>
            </w:pPr>
            <w:r w:rsidRPr="00FC2CC9">
              <w:rPr>
                <w:rFonts w:ascii="Arial" w:hAnsi="Arial" w:cs="Arial"/>
              </w:rPr>
              <w:t xml:space="preserve">D4 identifies the liability exposure that has not yet produced a claim. Standard litigation diligence reviews existing claims. D4 assesses whether the governance architecture would absorb or propagate the consequences of a </w:t>
            </w:r>
            <w:r w:rsidRPr="00FC2CC9">
              <w:rPr>
                <w:rFonts w:ascii="Arial" w:hAnsi="Arial" w:cs="Arial"/>
              </w:rPr>
              <w:lastRenderedPageBreak/>
              <w:t>future autonomous action failure. A company with a high D4 score has unallocated liability exposure for the decisions its autonomous systems are producing now, under current deployments, before any claim is made.</w:t>
            </w:r>
          </w:p>
        </w:tc>
        <w:tc>
          <w:tcPr>
            <w:tcW w:w="30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B834C7F" w14:textId="77777777" w:rsidR="0051248B" w:rsidRPr="00FC2CC9" w:rsidRDefault="00000000">
            <w:pPr>
              <w:spacing w:after="120"/>
              <w:rPr>
                <w:rFonts w:ascii="Arial" w:hAnsi="Arial" w:cs="Arial"/>
              </w:rPr>
            </w:pPr>
            <w:r w:rsidRPr="00FC2CC9">
              <w:rPr>
                <w:rFonts w:ascii="Arial" w:hAnsi="Arial" w:cs="Arial"/>
              </w:rPr>
              <w:lastRenderedPageBreak/>
              <w:t>D4 above 3.0: the company has unallocated autonomous action liability. This is a contingent exposure that will crystallise when an adverse outcome occurs and the liability architecture proves inadequate. The investor is acquiring this exposure at the point of investment. D4 quantifies it.</w:t>
            </w:r>
          </w:p>
        </w:tc>
      </w:tr>
      <w:tr w:rsidR="0051248B" w:rsidRPr="00FC2CC9" w14:paraId="671039D5"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1D295677" w14:textId="77777777" w:rsidR="0051248B" w:rsidRPr="00FC2CC9" w:rsidRDefault="00000000">
            <w:pPr>
              <w:spacing w:after="120"/>
              <w:rPr>
                <w:rFonts w:ascii="Arial" w:hAnsi="Arial" w:cs="Arial"/>
              </w:rPr>
            </w:pPr>
            <w:r w:rsidRPr="00FC2CC9">
              <w:rPr>
                <w:rFonts w:ascii="Arial" w:hAnsi="Arial" w:cs="Arial"/>
              </w:rPr>
              <w:t>Insurance programme review</w:t>
            </w:r>
          </w:p>
        </w:tc>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55E6D444" w14:textId="77777777" w:rsidR="0051248B" w:rsidRPr="00FC2CC9" w:rsidRDefault="00000000">
            <w:pPr>
              <w:spacing w:after="120"/>
              <w:rPr>
                <w:rFonts w:ascii="Arial" w:hAnsi="Arial" w:cs="Arial"/>
              </w:rPr>
            </w:pPr>
            <w:r w:rsidRPr="00FC2CC9">
              <w:rPr>
                <w:rFonts w:ascii="Arial" w:hAnsi="Arial" w:cs="Arial"/>
              </w:rPr>
              <w:t>Coverage lines, limits, exclusions, adequacy relative to risk profile</w:t>
            </w:r>
          </w:p>
        </w:tc>
        <w:tc>
          <w:tcPr>
            <w:tcW w:w="25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136A2805" w14:textId="77777777" w:rsidR="0051248B" w:rsidRPr="00FC2CC9" w:rsidRDefault="00000000">
            <w:pPr>
              <w:spacing w:after="120"/>
              <w:rPr>
                <w:rFonts w:ascii="Arial" w:hAnsi="Arial" w:cs="Arial"/>
              </w:rPr>
            </w:pPr>
            <w:r w:rsidRPr="00FC2CC9">
              <w:rPr>
                <w:rFonts w:ascii="Arial" w:hAnsi="Arial" w:cs="Arial"/>
              </w:rPr>
              <w:t>D4 assesses insurance coverage adequacy specifically for autonomous action consequences. Standard insurance review examines whether coverage exists. D4 examines whether coverage addresses the specific loss categories autonomous systems can produce (AE3 — Autonomous Action Consequence Exposure: the class of decisions where an autonomous system commits the organisation to binding obligations, financial exposure, or regulatory breach through actions no individual human approved in the traditional sense). As the insurance market moves to governance-conditional pricing, a company with a poor D4 score may face rising premiums or coverage gaps.</w:t>
            </w:r>
          </w:p>
        </w:tc>
        <w:tc>
          <w:tcPr>
            <w:tcW w:w="30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6A8E1032" w14:textId="77777777" w:rsidR="0051248B" w:rsidRPr="00FC2CC9" w:rsidRDefault="00000000">
            <w:pPr>
              <w:spacing w:after="120"/>
              <w:rPr>
                <w:rFonts w:ascii="Arial" w:hAnsi="Arial" w:cs="Arial"/>
              </w:rPr>
            </w:pPr>
            <w:r w:rsidRPr="00FC2CC9">
              <w:rPr>
                <w:rFonts w:ascii="Arial" w:hAnsi="Arial" w:cs="Arial"/>
              </w:rPr>
              <w:t>D4 insurance coverage gap identified: the company’s current insurance programme may not cover the autonomous action consequences its systems produce. This gap will widen as carriers implement AI-specific pricing and exclusions. The investor should assess the trajectory of coverage availability, not only current coverage.</w:t>
            </w:r>
          </w:p>
        </w:tc>
      </w:tr>
    </w:tbl>
    <w:p w14:paraId="7487A141" w14:textId="77777777" w:rsidR="0051248B" w:rsidRPr="00FC2CC9" w:rsidRDefault="00000000">
      <w:pPr>
        <w:pStyle w:val="Heading2"/>
        <w:rPr>
          <w:rFonts w:ascii="Arial" w:hAnsi="Arial" w:cs="Arial"/>
        </w:rPr>
      </w:pPr>
      <w:r w:rsidRPr="00FC2CC9">
        <w:rPr>
          <w:rFonts w:ascii="Arial" w:hAnsi="Arial" w:cs="Arial"/>
        </w:rPr>
        <w:t>D5: Commercial Leverage</w:t>
      </w:r>
    </w:p>
    <w:p w14:paraId="124224A4" w14:textId="77777777" w:rsidR="0051248B" w:rsidRPr="00FC2CC9" w:rsidRDefault="00000000">
      <w:pPr>
        <w:spacing w:before="200" w:after="100"/>
        <w:rPr>
          <w:rFonts w:ascii="Arial" w:hAnsi="Arial" w:cs="Arial"/>
        </w:rPr>
      </w:pPr>
      <w:r w:rsidRPr="00FC2CC9">
        <w:rPr>
          <w:rFonts w:ascii="Arial" w:eastAsia="Libre Baskerville" w:hAnsi="Arial" w:cs="Arial"/>
          <w:b/>
          <w:bCs/>
          <w:i/>
          <w:iCs/>
          <w:sz w:val="20"/>
          <w:szCs w:val="20"/>
        </w:rPr>
        <w:t>Diligence question: Is the company operationally dependent on AI systems or vendors it cannot exit?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500"/>
        <w:gridCol w:w="3060"/>
      </w:tblGrid>
      <w:tr w:rsidR="0051248B" w:rsidRPr="00FC2CC9" w14:paraId="434F5F8E"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0E845BF5" w14:textId="77777777" w:rsidR="0051248B" w:rsidRPr="00FC2CC9" w:rsidRDefault="00000000">
            <w:pPr>
              <w:rPr>
                <w:rFonts w:ascii="Arial" w:hAnsi="Arial" w:cs="Arial"/>
              </w:rPr>
            </w:pPr>
            <w:r w:rsidRPr="00FC2CC9">
              <w:rPr>
                <w:rFonts w:ascii="Arial" w:eastAsia="Libre Baskerville" w:hAnsi="Arial" w:cs="Arial"/>
                <w:b/>
                <w:bCs/>
              </w:rPr>
              <w:t>Standard Diligence Category</w:t>
            </w:r>
          </w:p>
        </w:tc>
        <w:tc>
          <w:tcPr>
            <w:tcW w:w="18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06C87836" w14:textId="77777777" w:rsidR="0051248B" w:rsidRPr="00FC2CC9" w:rsidRDefault="00000000">
            <w:pPr>
              <w:rPr>
                <w:rFonts w:ascii="Arial" w:hAnsi="Arial" w:cs="Arial"/>
              </w:rPr>
            </w:pPr>
            <w:r w:rsidRPr="00FC2CC9">
              <w:rPr>
                <w:rFonts w:ascii="Arial" w:eastAsia="Libre Baskerville" w:hAnsi="Arial" w:cs="Arial"/>
                <w:b/>
                <w:bCs/>
              </w:rPr>
              <w:t>What Investors Currently Assess</w:t>
            </w:r>
          </w:p>
        </w:tc>
        <w:tc>
          <w:tcPr>
            <w:tcW w:w="25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53B8578E" w14:textId="77777777" w:rsidR="0051248B" w:rsidRPr="00FC2CC9" w:rsidRDefault="00000000">
            <w:pPr>
              <w:rPr>
                <w:rFonts w:ascii="Arial" w:hAnsi="Arial" w:cs="Arial"/>
              </w:rPr>
            </w:pPr>
            <w:r w:rsidRPr="00FC2CC9">
              <w:rPr>
                <w:rFonts w:ascii="Arial" w:eastAsia="Libre Baskerville" w:hAnsi="Arial" w:cs="Arial"/>
                <w:b/>
                <w:bCs/>
              </w:rPr>
              <w:t>What the ARAF Dimension Adds</w:t>
            </w:r>
          </w:p>
        </w:tc>
        <w:tc>
          <w:tcPr>
            <w:tcW w:w="306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6203B54E" w14:textId="77777777" w:rsidR="0051248B" w:rsidRPr="00FC2CC9" w:rsidRDefault="00000000">
            <w:pPr>
              <w:rPr>
                <w:rFonts w:ascii="Arial" w:hAnsi="Arial" w:cs="Arial"/>
              </w:rPr>
            </w:pPr>
            <w:r w:rsidRPr="00FC2CC9">
              <w:rPr>
                <w:rFonts w:ascii="Arial" w:eastAsia="Libre Baskerville" w:hAnsi="Arial" w:cs="Arial"/>
                <w:b/>
                <w:bCs/>
              </w:rPr>
              <w:t>Diligence Finding</w:t>
            </w:r>
          </w:p>
        </w:tc>
      </w:tr>
      <w:tr w:rsidR="0051248B" w:rsidRPr="00FC2CC9" w14:paraId="5B36B037"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5711ABD7" w14:textId="77777777" w:rsidR="0051248B" w:rsidRPr="00FC2CC9" w:rsidRDefault="00000000">
            <w:pPr>
              <w:spacing w:after="120"/>
              <w:rPr>
                <w:rFonts w:ascii="Arial" w:hAnsi="Arial" w:cs="Arial"/>
              </w:rPr>
            </w:pPr>
            <w:r w:rsidRPr="00FC2CC9">
              <w:rPr>
                <w:rFonts w:ascii="Arial" w:hAnsi="Arial" w:cs="Arial"/>
              </w:rPr>
              <w:t>Vendor concentration and dependency</w:t>
            </w:r>
          </w:p>
        </w:tc>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5BFA4E77" w14:textId="77777777" w:rsidR="0051248B" w:rsidRPr="00FC2CC9" w:rsidRDefault="00000000">
            <w:pPr>
              <w:spacing w:after="120"/>
              <w:rPr>
                <w:rFonts w:ascii="Arial" w:hAnsi="Arial" w:cs="Arial"/>
              </w:rPr>
            </w:pPr>
            <w:r w:rsidRPr="00FC2CC9">
              <w:rPr>
                <w:rFonts w:ascii="Arial" w:hAnsi="Arial" w:cs="Arial"/>
              </w:rPr>
              <w:t>Key vendor dependencies, single points of failure, switching costs, lock-in provisions</w:t>
            </w:r>
          </w:p>
        </w:tc>
        <w:tc>
          <w:tcPr>
            <w:tcW w:w="25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2CA112A2" w14:textId="77777777" w:rsidR="0051248B" w:rsidRPr="00FC2CC9" w:rsidRDefault="00000000">
            <w:pPr>
              <w:spacing w:after="120"/>
              <w:rPr>
                <w:rFonts w:ascii="Arial" w:hAnsi="Arial" w:cs="Arial"/>
              </w:rPr>
            </w:pPr>
            <w:r w:rsidRPr="00FC2CC9">
              <w:rPr>
                <w:rFonts w:ascii="Arial" w:hAnsi="Arial" w:cs="Arial"/>
              </w:rPr>
              <w:t xml:space="preserve">D5 extends vendor concentration analysis to the AI layer: whether the company is operationally dependent on a single AI vendor for a critical business function, whether that dependency is contractually governed (exit rights, transition assistance, data portability), and whether alternatives exist if the vendor relationship fails. AI vendor lock-in is structurally deeper than standard SaaS lock-in </w:t>
            </w:r>
            <w:r w:rsidRPr="00FC2CC9">
              <w:rPr>
                <w:rFonts w:ascii="Arial" w:hAnsi="Arial" w:cs="Arial"/>
              </w:rPr>
              <w:lastRenderedPageBreak/>
              <w:t>because the system’s operational behaviour may be inseparable from its training data, fine-tuning, and integration architecture.</w:t>
            </w:r>
          </w:p>
        </w:tc>
        <w:tc>
          <w:tcPr>
            <w:tcW w:w="30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3A549DCE" w14:textId="77777777" w:rsidR="0051248B" w:rsidRPr="00FC2CC9" w:rsidRDefault="00000000">
            <w:pPr>
              <w:spacing w:after="120"/>
              <w:rPr>
                <w:rFonts w:ascii="Arial" w:hAnsi="Arial" w:cs="Arial"/>
              </w:rPr>
            </w:pPr>
            <w:r w:rsidRPr="00FC2CC9">
              <w:rPr>
                <w:rFonts w:ascii="Arial" w:hAnsi="Arial" w:cs="Arial"/>
              </w:rPr>
              <w:lastRenderedPageBreak/>
              <w:t>D5 above 3.0: the company has structural dependency on an AI vendor or system that it cannot practically exit without material operational disruption. This concentration risk affects enterprise value because governance remediation may be commercially or operationally impossible. The Leverage Collapse multiplier (D5 ≥ 4 AND D4 ≥ 3) identifies the compound condition where the company is both locked in and unprotected.</w:t>
            </w:r>
          </w:p>
        </w:tc>
      </w:tr>
      <w:tr w:rsidR="0051248B" w:rsidRPr="00FC2CC9" w14:paraId="30CB68F7"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5C1319A7" w14:textId="77777777" w:rsidR="0051248B" w:rsidRPr="00FC2CC9" w:rsidRDefault="00000000">
            <w:pPr>
              <w:spacing w:after="120"/>
              <w:rPr>
                <w:rFonts w:ascii="Arial" w:hAnsi="Arial" w:cs="Arial"/>
              </w:rPr>
            </w:pPr>
            <w:r w:rsidRPr="00FC2CC9">
              <w:rPr>
                <w:rFonts w:ascii="Arial" w:hAnsi="Arial" w:cs="Arial"/>
              </w:rPr>
              <w:t>Revenue model and customer dependency</w:t>
            </w:r>
          </w:p>
        </w:tc>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63CBF62E" w14:textId="77777777" w:rsidR="0051248B" w:rsidRPr="00FC2CC9" w:rsidRDefault="00000000">
            <w:pPr>
              <w:spacing w:after="120"/>
              <w:rPr>
                <w:rFonts w:ascii="Arial" w:hAnsi="Arial" w:cs="Arial"/>
              </w:rPr>
            </w:pPr>
            <w:r w:rsidRPr="00FC2CC9">
              <w:rPr>
                <w:rFonts w:ascii="Arial" w:hAnsi="Arial" w:cs="Arial"/>
              </w:rPr>
              <w:t>Revenue concentration, customer dependency, churn risk</w:t>
            </w:r>
          </w:p>
        </w:tc>
        <w:tc>
          <w:tcPr>
            <w:tcW w:w="25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22B02CBD" w14:textId="77777777" w:rsidR="0051248B" w:rsidRPr="00FC2CC9" w:rsidRDefault="00000000">
            <w:pPr>
              <w:spacing w:after="120"/>
              <w:rPr>
                <w:rFonts w:ascii="Arial" w:hAnsi="Arial" w:cs="Arial"/>
              </w:rPr>
            </w:pPr>
            <w:r w:rsidRPr="00FC2CC9">
              <w:rPr>
                <w:rFonts w:ascii="Arial" w:hAnsi="Arial" w:cs="Arial"/>
              </w:rPr>
              <w:t>D5 captures the reverse commercial leverage: whether the company’s customers are dependent on its AI system in ways that create governance exposure. A company whose enterprise customers deploy its AI system for consequential decisions inherits governance obligations through the customer relationship, regardless of what the contract says. Customer dependency on AI outputs creates commercial leverage dynamics that standard revenue analysis does not capture.</w:t>
            </w:r>
          </w:p>
        </w:tc>
        <w:tc>
          <w:tcPr>
            <w:tcW w:w="30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5BB102F5" w14:textId="77777777" w:rsidR="0051248B" w:rsidRPr="00FC2CC9" w:rsidRDefault="00000000">
            <w:pPr>
              <w:spacing w:after="120"/>
              <w:rPr>
                <w:rFonts w:ascii="Arial" w:hAnsi="Arial" w:cs="Arial"/>
              </w:rPr>
            </w:pPr>
            <w:r w:rsidRPr="00FC2CC9">
              <w:rPr>
                <w:rFonts w:ascii="Arial" w:hAnsi="Arial" w:cs="Arial"/>
              </w:rPr>
              <w:t>D5 identifying high customer dependency on AI outputs: the company’s revenue base is structurally connected to autonomous system governance. Customer governance failures that trace back to the company’s system create reputational and liability exposure that affects revenue durability.</w:t>
            </w:r>
          </w:p>
        </w:tc>
      </w:tr>
    </w:tbl>
    <w:p w14:paraId="06869E28" w14:textId="77777777" w:rsidR="0051248B" w:rsidRPr="00FC2CC9" w:rsidRDefault="00000000">
      <w:pPr>
        <w:pStyle w:val="Heading2"/>
        <w:rPr>
          <w:rFonts w:ascii="Arial" w:hAnsi="Arial" w:cs="Arial"/>
        </w:rPr>
      </w:pPr>
      <w:r w:rsidRPr="00FC2CC9">
        <w:rPr>
          <w:rFonts w:ascii="Arial" w:hAnsi="Arial" w:cs="Arial"/>
        </w:rPr>
        <w:t>D6: Adaptive Stability</w:t>
      </w:r>
    </w:p>
    <w:p w14:paraId="756E1083" w14:textId="77777777" w:rsidR="0051248B" w:rsidRPr="00FC2CC9" w:rsidRDefault="00000000">
      <w:pPr>
        <w:spacing w:before="200" w:after="100"/>
        <w:rPr>
          <w:rFonts w:ascii="Arial" w:hAnsi="Arial" w:cs="Arial"/>
        </w:rPr>
      </w:pPr>
      <w:r w:rsidRPr="00FC2CC9">
        <w:rPr>
          <w:rFonts w:ascii="Arial" w:eastAsia="Libre Baskerville" w:hAnsi="Arial" w:cs="Arial"/>
          <w:b/>
          <w:bCs/>
          <w:i/>
          <w:iCs/>
          <w:sz w:val="20"/>
          <w:szCs w:val="20"/>
        </w:rPr>
        <w:t>Diligence question: Will the governance architecture remain adequate as the company and its AI systems evolve?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500"/>
        <w:gridCol w:w="3060"/>
      </w:tblGrid>
      <w:tr w:rsidR="0051248B" w:rsidRPr="00FC2CC9" w14:paraId="7FEC249D"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1A7C6355" w14:textId="77777777" w:rsidR="0051248B" w:rsidRPr="00FC2CC9" w:rsidRDefault="00000000">
            <w:pPr>
              <w:rPr>
                <w:rFonts w:ascii="Arial" w:hAnsi="Arial" w:cs="Arial"/>
              </w:rPr>
            </w:pPr>
            <w:r w:rsidRPr="00FC2CC9">
              <w:rPr>
                <w:rFonts w:ascii="Arial" w:eastAsia="Libre Baskerville" w:hAnsi="Arial" w:cs="Arial"/>
                <w:b/>
                <w:bCs/>
              </w:rPr>
              <w:t>Standard Diligence Category</w:t>
            </w:r>
          </w:p>
        </w:tc>
        <w:tc>
          <w:tcPr>
            <w:tcW w:w="18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30FB8387" w14:textId="77777777" w:rsidR="0051248B" w:rsidRPr="00FC2CC9" w:rsidRDefault="00000000">
            <w:pPr>
              <w:rPr>
                <w:rFonts w:ascii="Arial" w:hAnsi="Arial" w:cs="Arial"/>
              </w:rPr>
            </w:pPr>
            <w:r w:rsidRPr="00FC2CC9">
              <w:rPr>
                <w:rFonts w:ascii="Arial" w:eastAsia="Libre Baskerville" w:hAnsi="Arial" w:cs="Arial"/>
                <w:b/>
                <w:bCs/>
              </w:rPr>
              <w:t>What Investors Currently Assess</w:t>
            </w:r>
          </w:p>
        </w:tc>
        <w:tc>
          <w:tcPr>
            <w:tcW w:w="25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3BF1AF1B" w14:textId="77777777" w:rsidR="0051248B" w:rsidRPr="00FC2CC9" w:rsidRDefault="00000000">
            <w:pPr>
              <w:rPr>
                <w:rFonts w:ascii="Arial" w:hAnsi="Arial" w:cs="Arial"/>
              </w:rPr>
            </w:pPr>
            <w:r w:rsidRPr="00FC2CC9">
              <w:rPr>
                <w:rFonts w:ascii="Arial" w:eastAsia="Libre Baskerville" w:hAnsi="Arial" w:cs="Arial"/>
                <w:b/>
                <w:bCs/>
              </w:rPr>
              <w:t>What the ARAF Dimension Adds</w:t>
            </w:r>
          </w:p>
        </w:tc>
        <w:tc>
          <w:tcPr>
            <w:tcW w:w="306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41D76936" w14:textId="77777777" w:rsidR="0051248B" w:rsidRPr="00FC2CC9" w:rsidRDefault="00000000">
            <w:pPr>
              <w:rPr>
                <w:rFonts w:ascii="Arial" w:hAnsi="Arial" w:cs="Arial"/>
              </w:rPr>
            </w:pPr>
            <w:r w:rsidRPr="00FC2CC9">
              <w:rPr>
                <w:rFonts w:ascii="Arial" w:eastAsia="Libre Baskerville" w:hAnsi="Arial" w:cs="Arial"/>
                <w:b/>
                <w:bCs/>
              </w:rPr>
              <w:t>Diligence Finding</w:t>
            </w:r>
          </w:p>
        </w:tc>
      </w:tr>
      <w:tr w:rsidR="0051248B" w:rsidRPr="00FC2CC9" w14:paraId="1ABC60D8"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21459FBC" w14:textId="77777777" w:rsidR="0051248B" w:rsidRPr="00FC2CC9" w:rsidRDefault="00000000">
            <w:pPr>
              <w:spacing w:after="120"/>
              <w:rPr>
                <w:rFonts w:ascii="Arial" w:hAnsi="Arial" w:cs="Arial"/>
              </w:rPr>
            </w:pPr>
            <w:r w:rsidRPr="00FC2CC9">
              <w:rPr>
                <w:rFonts w:ascii="Arial" w:hAnsi="Arial" w:cs="Arial"/>
              </w:rPr>
              <w:t>Growth and scalability assessment</w:t>
            </w:r>
          </w:p>
        </w:tc>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070DBD27" w14:textId="77777777" w:rsidR="0051248B" w:rsidRPr="00FC2CC9" w:rsidRDefault="00000000">
            <w:pPr>
              <w:spacing w:after="120"/>
              <w:rPr>
                <w:rFonts w:ascii="Arial" w:hAnsi="Arial" w:cs="Arial"/>
              </w:rPr>
            </w:pPr>
            <w:r w:rsidRPr="00FC2CC9">
              <w:rPr>
                <w:rFonts w:ascii="Arial" w:hAnsi="Arial" w:cs="Arial"/>
              </w:rPr>
              <w:t>Whether the company’s infrastructure, processes, and team can scale with growth</w:t>
            </w:r>
          </w:p>
        </w:tc>
        <w:tc>
          <w:tcPr>
            <w:tcW w:w="25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351E2A14" w14:textId="77777777" w:rsidR="0051248B" w:rsidRPr="00FC2CC9" w:rsidRDefault="00000000">
            <w:pPr>
              <w:spacing w:after="120"/>
              <w:rPr>
                <w:rFonts w:ascii="Arial" w:hAnsi="Arial" w:cs="Arial"/>
              </w:rPr>
            </w:pPr>
            <w:r w:rsidRPr="00FC2CC9">
              <w:rPr>
                <w:rFonts w:ascii="Arial" w:hAnsi="Arial" w:cs="Arial"/>
              </w:rPr>
              <w:t>D6 assesses whether the governance architecture scales with the AI system. A company that has adequate governance for its current AI deployment may lose that adequacy as it expands autonomy levels, deploys into new jurisdictions, processes new data categories, or updates its models. D6 captures governance scalability, not only operational scalability.</w:t>
            </w:r>
          </w:p>
        </w:tc>
        <w:tc>
          <w:tcPr>
            <w:tcW w:w="30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614121D9" w14:textId="77777777" w:rsidR="0051248B" w:rsidRPr="00FC2CC9" w:rsidRDefault="00000000">
            <w:pPr>
              <w:spacing w:after="120"/>
              <w:rPr>
                <w:rFonts w:ascii="Arial" w:hAnsi="Arial" w:cs="Arial"/>
              </w:rPr>
            </w:pPr>
            <w:r w:rsidRPr="00FC2CC9">
              <w:rPr>
                <w:rFonts w:ascii="Arial" w:hAnsi="Arial" w:cs="Arial"/>
              </w:rPr>
              <w:t>D6 above 3.0: the governance architecture is unlikely to maintain adequacy as the company scales its AI deployment. Growth will outpace governance unless the company invests in governance infrastructure that scales with the deployment. This is a governance scalability risk that affects the investment thesis.</w:t>
            </w:r>
          </w:p>
        </w:tc>
      </w:tr>
      <w:tr w:rsidR="0051248B" w:rsidRPr="00FC2CC9" w14:paraId="6F872BC8" w14:textId="77777777">
        <w:tblPrEx>
          <w:tblCellMar>
            <w:top w:w="0" w:type="dxa"/>
            <w:bottom w:w="0" w:type="dxa"/>
          </w:tblCellMar>
        </w:tblPrEx>
        <w:tc>
          <w:tcPr>
            <w:tcW w:w="20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7DBFE3C" w14:textId="77777777" w:rsidR="0051248B" w:rsidRPr="00FC2CC9" w:rsidRDefault="00000000">
            <w:pPr>
              <w:spacing w:after="120"/>
              <w:rPr>
                <w:rFonts w:ascii="Arial" w:hAnsi="Arial" w:cs="Arial"/>
              </w:rPr>
            </w:pPr>
            <w:r w:rsidRPr="00FC2CC9">
              <w:rPr>
                <w:rFonts w:ascii="Arial" w:hAnsi="Arial" w:cs="Arial"/>
              </w:rPr>
              <w:t>Technology lifecycle and maintenance</w:t>
            </w:r>
          </w:p>
        </w:tc>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5DB50D60" w14:textId="77777777" w:rsidR="0051248B" w:rsidRPr="00FC2CC9" w:rsidRDefault="00000000">
            <w:pPr>
              <w:spacing w:after="120"/>
              <w:rPr>
                <w:rFonts w:ascii="Arial" w:hAnsi="Arial" w:cs="Arial"/>
              </w:rPr>
            </w:pPr>
            <w:r w:rsidRPr="00FC2CC9">
              <w:rPr>
                <w:rFonts w:ascii="Arial" w:hAnsi="Arial" w:cs="Arial"/>
              </w:rPr>
              <w:t>Technical debt, maintenance burden, upgrade pathway, architecture longevity</w:t>
            </w:r>
          </w:p>
        </w:tc>
        <w:tc>
          <w:tcPr>
            <w:tcW w:w="25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05CF03F4" w14:textId="77777777" w:rsidR="0051248B" w:rsidRPr="00FC2CC9" w:rsidRDefault="00000000">
            <w:pPr>
              <w:spacing w:after="120"/>
              <w:rPr>
                <w:rFonts w:ascii="Arial" w:hAnsi="Arial" w:cs="Arial"/>
              </w:rPr>
            </w:pPr>
            <w:r w:rsidRPr="00FC2CC9">
              <w:rPr>
                <w:rFonts w:ascii="Arial" w:hAnsi="Arial" w:cs="Arial"/>
              </w:rPr>
              <w:t xml:space="preserve">D6 extends lifecycle assessment to governance lifecycle: whether model updates go through governance review, whether scope expansion triggers reassessment, whether the company has monitoring infrastructure to detect when the AI system’s behaviour has drifted from </w:t>
            </w:r>
            <w:r w:rsidRPr="00FC2CC9">
              <w:rPr>
                <w:rFonts w:ascii="Arial" w:hAnsi="Arial" w:cs="Arial"/>
              </w:rPr>
              <w:lastRenderedPageBreak/>
              <w:t>its assessed governance posture. Standard technology lifecycle assessment evaluates whether the technology will remain functional. D6 evaluates whether the governance will remain current.</w:t>
            </w:r>
          </w:p>
        </w:tc>
        <w:tc>
          <w:tcPr>
            <w:tcW w:w="30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71D76694" w14:textId="77777777" w:rsidR="0051248B" w:rsidRPr="00FC2CC9" w:rsidRDefault="00000000">
            <w:pPr>
              <w:spacing w:after="120"/>
              <w:rPr>
                <w:rFonts w:ascii="Arial" w:hAnsi="Arial" w:cs="Arial"/>
              </w:rPr>
            </w:pPr>
            <w:r w:rsidRPr="00FC2CC9">
              <w:rPr>
                <w:rFonts w:ascii="Arial" w:hAnsi="Arial" w:cs="Arial"/>
              </w:rPr>
              <w:lastRenderedPageBreak/>
              <w:t xml:space="preserve">D6 above 3.0 combined with rapid deployment expansion: the company is scaling AI deployment faster than its governance architecture can maintain coverage. Each ungoverned model update, scope expansion, or data category addition widens the gap between the company’s technical capabilities and its governance </w:t>
            </w:r>
            <w:r w:rsidRPr="00FC2CC9">
              <w:rPr>
                <w:rFonts w:ascii="Arial" w:hAnsi="Arial" w:cs="Arial"/>
              </w:rPr>
              <w:lastRenderedPageBreak/>
              <w:t>posture. This gap compounds over time.</w:t>
            </w:r>
          </w:p>
        </w:tc>
      </w:tr>
    </w:tbl>
    <w:p w14:paraId="2FA786C7" w14:textId="77777777" w:rsidR="0051248B" w:rsidRPr="00FC2CC9" w:rsidRDefault="0051248B">
      <w:pPr>
        <w:pBdr>
          <w:bottom w:val="single" w:sz="4" w:space="1" w:color="A88644"/>
        </w:pBdr>
        <w:spacing w:before="160" w:after="160"/>
        <w:rPr>
          <w:rFonts w:ascii="Arial" w:hAnsi="Arial" w:cs="Arial"/>
        </w:rPr>
      </w:pPr>
    </w:p>
    <w:p w14:paraId="48EA4228" w14:textId="77777777" w:rsidR="0051248B" w:rsidRPr="00FC2CC9" w:rsidRDefault="00000000">
      <w:pPr>
        <w:pStyle w:val="Heading1"/>
        <w:rPr>
          <w:rFonts w:ascii="Arial" w:hAnsi="Arial" w:cs="Arial"/>
        </w:rPr>
      </w:pPr>
      <w:r w:rsidRPr="00FC2CC9">
        <w:rPr>
          <w:rFonts w:ascii="Arial" w:hAnsi="Arial" w:cs="Arial"/>
        </w:rPr>
        <w:t>Part 2: The GBI Score as a Diligence Signal</w:t>
      </w:r>
    </w:p>
    <w:p w14:paraId="5DF8C568" w14:textId="77777777" w:rsidR="0051248B" w:rsidRPr="00FC2CC9" w:rsidRDefault="00000000">
      <w:pPr>
        <w:spacing w:after="120"/>
        <w:rPr>
          <w:rFonts w:ascii="Arial" w:hAnsi="Arial" w:cs="Arial"/>
        </w:rPr>
      </w:pPr>
      <w:r w:rsidRPr="00FC2CC9">
        <w:rPr>
          <w:rFonts w:ascii="Arial" w:hAnsi="Arial" w:cs="Arial"/>
        </w:rPr>
        <w:t>Two target companies with identical technical capabilities, revenue profiles, and team quality but different GBI scores represent materially different investment risks. The GBI score is the signal that enables that differentiation.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80"/>
        <w:gridCol w:w="3880"/>
      </w:tblGrid>
      <w:tr w:rsidR="0051248B" w:rsidRPr="00FC2CC9" w14:paraId="5DCABC6B" w14:textId="77777777">
        <w:tblPrEx>
          <w:tblCellMar>
            <w:top w:w="0" w:type="dxa"/>
            <w:bottom w:w="0" w:type="dxa"/>
          </w:tblCellMar>
        </w:tblPrEx>
        <w:tc>
          <w:tcPr>
            <w:tcW w:w="18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2BBA0E8F" w14:textId="77777777" w:rsidR="0051248B" w:rsidRPr="00FC2CC9" w:rsidRDefault="00000000">
            <w:pPr>
              <w:rPr>
                <w:rFonts w:ascii="Arial" w:hAnsi="Arial" w:cs="Arial"/>
              </w:rPr>
            </w:pPr>
            <w:r w:rsidRPr="00FC2CC9">
              <w:rPr>
                <w:rFonts w:ascii="Arial" w:eastAsia="Libre Baskerville" w:hAnsi="Arial" w:cs="Arial"/>
                <w:b/>
                <w:bCs/>
              </w:rPr>
              <w:t>GBI Score Range</w:t>
            </w:r>
          </w:p>
        </w:tc>
        <w:tc>
          <w:tcPr>
            <w:tcW w:w="368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1BCD4D62" w14:textId="77777777" w:rsidR="0051248B" w:rsidRPr="00FC2CC9" w:rsidRDefault="00000000">
            <w:pPr>
              <w:rPr>
                <w:rFonts w:ascii="Arial" w:hAnsi="Arial" w:cs="Arial"/>
              </w:rPr>
            </w:pPr>
            <w:r w:rsidRPr="00FC2CC9">
              <w:rPr>
                <w:rFonts w:ascii="Arial" w:eastAsia="Libre Baskerville" w:hAnsi="Arial" w:cs="Arial"/>
                <w:b/>
                <w:bCs/>
              </w:rPr>
              <w:t>Diligence Implication</w:t>
            </w:r>
          </w:p>
        </w:tc>
        <w:tc>
          <w:tcPr>
            <w:tcW w:w="388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2E1E5C61" w14:textId="77777777" w:rsidR="0051248B" w:rsidRPr="00FC2CC9" w:rsidRDefault="00000000">
            <w:pPr>
              <w:rPr>
                <w:rFonts w:ascii="Arial" w:hAnsi="Arial" w:cs="Arial"/>
              </w:rPr>
            </w:pPr>
            <w:r w:rsidRPr="00FC2CC9">
              <w:rPr>
                <w:rFonts w:ascii="Arial" w:eastAsia="Libre Baskerville" w:hAnsi="Arial" w:cs="Arial"/>
                <w:b/>
                <w:bCs/>
              </w:rPr>
              <w:t>Investor Action</w:t>
            </w:r>
          </w:p>
        </w:tc>
      </w:tr>
      <w:tr w:rsidR="0051248B" w:rsidRPr="00FC2CC9" w14:paraId="0A5146D2" w14:textId="77777777">
        <w:tblPrEx>
          <w:tblCellMar>
            <w:top w:w="0" w:type="dxa"/>
            <w:bottom w:w="0" w:type="dxa"/>
          </w:tblCellMar>
        </w:tblPrEx>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5AB4424" w14:textId="77777777" w:rsidR="0051248B" w:rsidRPr="00FC2CC9" w:rsidRDefault="00000000">
            <w:pPr>
              <w:spacing w:after="120"/>
              <w:rPr>
                <w:rFonts w:ascii="Arial" w:hAnsi="Arial" w:cs="Arial"/>
              </w:rPr>
            </w:pPr>
            <w:r w:rsidRPr="00FC2CC9">
              <w:rPr>
                <w:rFonts w:ascii="Arial" w:hAnsi="Arial" w:cs="Arial"/>
                <w:b/>
                <w:bCs/>
              </w:rPr>
              <w:t>1.0 to 1.75</w:t>
            </w:r>
          </w:p>
          <w:p w14:paraId="5661E8CD" w14:textId="77777777" w:rsidR="0051248B" w:rsidRPr="00FC2CC9" w:rsidRDefault="00000000">
            <w:pPr>
              <w:spacing w:after="120"/>
              <w:rPr>
                <w:rFonts w:ascii="Arial" w:hAnsi="Arial" w:cs="Arial"/>
              </w:rPr>
            </w:pPr>
            <w:r w:rsidRPr="00FC2CC9">
              <w:rPr>
                <w:rFonts w:ascii="Arial" w:hAnsi="Arial" w:cs="Arial"/>
                <w:i/>
                <w:iCs/>
              </w:rPr>
              <w:t>(ARAF Certified)</w:t>
            </w:r>
          </w:p>
        </w:tc>
        <w:tc>
          <w:tcPr>
            <w:tcW w:w="368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052CE481" w14:textId="77777777" w:rsidR="0051248B" w:rsidRPr="00FC2CC9" w:rsidRDefault="00000000">
            <w:pPr>
              <w:spacing w:after="120"/>
              <w:rPr>
                <w:rFonts w:ascii="Arial" w:hAnsi="Arial" w:cs="Arial"/>
              </w:rPr>
            </w:pPr>
            <w:r w:rsidRPr="00FC2CC9">
              <w:rPr>
                <w:rFonts w:ascii="Arial" w:hAnsi="Arial" w:cs="Arial"/>
              </w:rPr>
              <w:t>Strong governance posture. The company’s autonomous system governance architecture has been independently assessed as supporting institutional reliance. Governance evidence is contemporaneous, independently verified, and at the highest evidence tier. The company’s governance position is defensible under regulatory scrutiny, insurance claims, and litigation.</w:t>
            </w:r>
          </w:p>
        </w:tc>
        <w:tc>
          <w:tcPr>
            <w:tcW w:w="388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2646EF26" w14:textId="77777777" w:rsidR="0051248B" w:rsidRPr="00FC2CC9" w:rsidRDefault="00000000">
            <w:pPr>
              <w:spacing w:after="120"/>
              <w:rPr>
                <w:rFonts w:ascii="Arial" w:hAnsi="Arial" w:cs="Arial"/>
              </w:rPr>
            </w:pPr>
            <w:r w:rsidRPr="00FC2CC9">
              <w:rPr>
                <w:rFonts w:ascii="Arial" w:hAnsi="Arial" w:cs="Arial"/>
              </w:rPr>
              <w:t>Governance is a positive diligence finding. The company has invested in governance infrastructure that converts technical capability into institutional deployability. This investment supports enterprise value by enabling insurance coverage, regulatory compliance, and enterprise procurement access that ungoverned competitors cannot achieve.</w:t>
            </w:r>
          </w:p>
        </w:tc>
      </w:tr>
      <w:tr w:rsidR="0051248B" w:rsidRPr="00FC2CC9" w14:paraId="64970D66" w14:textId="77777777">
        <w:tblPrEx>
          <w:tblCellMar>
            <w:top w:w="0" w:type="dxa"/>
            <w:bottom w:w="0" w:type="dxa"/>
          </w:tblCellMar>
        </w:tblPrEx>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6B169ABD" w14:textId="77777777" w:rsidR="0051248B" w:rsidRPr="00FC2CC9" w:rsidRDefault="00000000">
            <w:pPr>
              <w:spacing w:after="120"/>
              <w:rPr>
                <w:rFonts w:ascii="Arial" w:hAnsi="Arial" w:cs="Arial"/>
              </w:rPr>
            </w:pPr>
            <w:r w:rsidRPr="00FC2CC9">
              <w:rPr>
                <w:rFonts w:ascii="Arial" w:hAnsi="Arial" w:cs="Arial"/>
                <w:b/>
                <w:bCs/>
              </w:rPr>
              <w:t>1.75 to 2.50</w:t>
            </w:r>
          </w:p>
          <w:p w14:paraId="5D3B2431" w14:textId="77777777" w:rsidR="0051248B" w:rsidRPr="00FC2CC9" w:rsidRDefault="00000000">
            <w:pPr>
              <w:spacing w:after="120"/>
              <w:rPr>
                <w:rFonts w:ascii="Arial" w:hAnsi="Arial" w:cs="Arial"/>
              </w:rPr>
            </w:pPr>
            <w:r w:rsidRPr="00FC2CC9">
              <w:rPr>
                <w:rFonts w:ascii="Arial" w:hAnsi="Arial" w:cs="Arial"/>
                <w:i/>
                <w:iCs/>
              </w:rPr>
              <w:t>(ARAF Compliant)</w:t>
            </w:r>
          </w:p>
        </w:tc>
        <w:tc>
          <w:tcPr>
            <w:tcW w:w="368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0E85C6B" w14:textId="77777777" w:rsidR="0051248B" w:rsidRPr="00FC2CC9" w:rsidRDefault="00000000">
            <w:pPr>
              <w:spacing w:after="120"/>
              <w:rPr>
                <w:rFonts w:ascii="Arial" w:hAnsi="Arial" w:cs="Arial"/>
              </w:rPr>
            </w:pPr>
            <w:r w:rsidRPr="00FC2CC9">
              <w:rPr>
                <w:rFonts w:ascii="Arial" w:hAnsi="Arial" w:cs="Arial"/>
              </w:rPr>
              <w:t>Adequate governance posture with identified conditions. The company has governance architecture in place but with areas requiring enhanced monitoring or remediation. The governance position is defensible but conditional.</w:t>
            </w:r>
          </w:p>
        </w:tc>
        <w:tc>
          <w:tcPr>
            <w:tcW w:w="388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2D2E4EF0" w14:textId="77777777" w:rsidR="0051248B" w:rsidRPr="00FC2CC9" w:rsidRDefault="00000000">
            <w:pPr>
              <w:spacing w:after="120"/>
              <w:rPr>
                <w:rFonts w:ascii="Arial" w:hAnsi="Arial" w:cs="Arial"/>
              </w:rPr>
            </w:pPr>
            <w:r w:rsidRPr="00FC2CC9">
              <w:rPr>
                <w:rFonts w:ascii="Arial" w:hAnsi="Arial" w:cs="Arial"/>
              </w:rPr>
              <w:t>Governance is a neutral to positive finding with conditions. Assess the specific dimensions driving the Compliant (rather than Certified) score. Determine whether the company is on a trajectory toward Certified or at risk of declining. Include governance improvement milestones in post-investment governance obligations if appropriate.</w:t>
            </w:r>
          </w:p>
        </w:tc>
      </w:tr>
      <w:tr w:rsidR="0051248B" w:rsidRPr="00FC2CC9" w14:paraId="1318D88F" w14:textId="77777777">
        <w:tblPrEx>
          <w:tblCellMar>
            <w:top w:w="0" w:type="dxa"/>
            <w:bottom w:w="0" w:type="dxa"/>
          </w:tblCellMar>
        </w:tblPrEx>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11E9F573" w14:textId="77777777" w:rsidR="0051248B" w:rsidRPr="00FC2CC9" w:rsidRDefault="00000000">
            <w:pPr>
              <w:spacing w:after="120"/>
              <w:rPr>
                <w:rFonts w:ascii="Arial" w:hAnsi="Arial" w:cs="Arial"/>
              </w:rPr>
            </w:pPr>
            <w:r w:rsidRPr="00FC2CC9">
              <w:rPr>
                <w:rFonts w:ascii="Arial" w:hAnsi="Arial" w:cs="Arial"/>
                <w:b/>
                <w:bCs/>
              </w:rPr>
              <w:t>Above 2.50</w:t>
            </w:r>
          </w:p>
          <w:p w14:paraId="5779E5C3" w14:textId="77777777" w:rsidR="0051248B" w:rsidRPr="00FC2CC9" w:rsidRDefault="00000000">
            <w:pPr>
              <w:spacing w:after="120"/>
              <w:rPr>
                <w:rFonts w:ascii="Arial" w:hAnsi="Arial" w:cs="Arial"/>
              </w:rPr>
            </w:pPr>
            <w:r w:rsidRPr="00FC2CC9">
              <w:rPr>
                <w:rFonts w:ascii="Arial" w:hAnsi="Arial" w:cs="Arial"/>
                <w:i/>
                <w:iCs/>
              </w:rPr>
              <w:t>(Not ARAF Compliant)</w:t>
            </w:r>
          </w:p>
        </w:tc>
        <w:tc>
          <w:tcPr>
            <w:tcW w:w="368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7A705163" w14:textId="77777777" w:rsidR="0051248B" w:rsidRPr="00FC2CC9" w:rsidRDefault="00000000">
            <w:pPr>
              <w:spacing w:after="120"/>
              <w:rPr>
                <w:rFonts w:ascii="Arial" w:hAnsi="Arial" w:cs="Arial"/>
              </w:rPr>
            </w:pPr>
            <w:r w:rsidRPr="00FC2CC9">
              <w:rPr>
                <w:rFonts w:ascii="Arial" w:hAnsi="Arial" w:cs="Arial"/>
              </w:rPr>
              <w:t>Governance architecture is inadequate for institutional reliance. The company has autonomous systems producing consequential decisions without the governance infrastructure those deployments require. This represents unpriced governance liability.</w:t>
            </w:r>
          </w:p>
        </w:tc>
        <w:tc>
          <w:tcPr>
            <w:tcW w:w="388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1EF4437" w14:textId="77777777" w:rsidR="0051248B" w:rsidRPr="00FC2CC9" w:rsidRDefault="00000000">
            <w:pPr>
              <w:spacing w:after="120"/>
              <w:rPr>
                <w:rFonts w:ascii="Arial" w:hAnsi="Arial" w:cs="Arial"/>
              </w:rPr>
            </w:pPr>
            <w:r w:rsidRPr="00FC2CC9">
              <w:rPr>
                <w:rFonts w:ascii="Arial" w:hAnsi="Arial" w:cs="Arial"/>
              </w:rPr>
              <w:t>Governance is a material diligence finding. Quantify the remediation cost and timeline. Assess whether governance remediation is feasible given the company’s current deployment architecture and commercial dependencies (D5). Factor remediation cost into valuation. Consider whether ARAF Compliant certification should be a post-investment milestone with defined timeline and consequences.</w:t>
            </w:r>
          </w:p>
        </w:tc>
      </w:tr>
      <w:tr w:rsidR="0051248B" w:rsidRPr="00FC2CC9" w14:paraId="2BA337E0" w14:textId="77777777">
        <w:tblPrEx>
          <w:tblCellMar>
            <w:top w:w="0" w:type="dxa"/>
            <w:bottom w:w="0" w:type="dxa"/>
          </w:tblCellMar>
        </w:tblPrEx>
        <w:tc>
          <w:tcPr>
            <w:tcW w:w="18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3B38B2FA" w14:textId="77777777" w:rsidR="0051248B" w:rsidRPr="00FC2CC9" w:rsidRDefault="00000000">
            <w:pPr>
              <w:spacing w:after="120"/>
              <w:rPr>
                <w:rFonts w:ascii="Arial" w:hAnsi="Arial" w:cs="Arial"/>
              </w:rPr>
            </w:pPr>
            <w:r w:rsidRPr="00FC2CC9">
              <w:rPr>
                <w:rFonts w:ascii="Arial" w:hAnsi="Arial" w:cs="Arial"/>
                <w:b/>
                <w:bCs/>
              </w:rPr>
              <w:t>Active multiplier</w:t>
            </w:r>
          </w:p>
        </w:tc>
        <w:tc>
          <w:tcPr>
            <w:tcW w:w="368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0936F02C" w14:textId="77777777" w:rsidR="0051248B" w:rsidRPr="00FC2CC9" w:rsidRDefault="00000000">
            <w:pPr>
              <w:spacing w:after="120"/>
              <w:rPr>
                <w:rFonts w:ascii="Arial" w:hAnsi="Arial" w:cs="Arial"/>
              </w:rPr>
            </w:pPr>
            <w:r w:rsidRPr="00FC2CC9">
              <w:rPr>
                <w:rFonts w:ascii="Arial" w:hAnsi="Arial" w:cs="Arial"/>
              </w:rPr>
              <w:t>Compound governance failure. Individual dimensional weaknesses interact to produce exposure greater than either alone. Systemic Escalation (D1 + D4) indicates autonomous authority without liability architecture. Infrastructure Collapse (D3 + D1) indicates autonomy without contractual protection. Leverage Collapse (D5 + D4) indicates lock-in without liability absorption.</w:t>
            </w:r>
          </w:p>
        </w:tc>
        <w:tc>
          <w:tcPr>
            <w:tcW w:w="388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1BA8892D" w14:textId="77777777" w:rsidR="0051248B" w:rsidRPr="00FC2CC9" w:rsidRDefault="00000000">
            <w:pPr>
              <w:spacing w:after="120"/>
              <w:rPr>
                <w:rFonts w:ascii="Arial" w:hAnsi="Arial" w:cs="Arial"/>
              </w:rPr>
            </w:pPr>
            <w:r w:rsidRPr="00FC2CC9">
              <w:rPr>
                <w:rFonts w:ascii="Arial" w:hAnsi="Arial" w:cs="Arial"/>
              </w:rPr>
              <w:t>Active multipliers are priority diligence findings. Each compound condition represents a governance failure mode that standard diligence categories (technical, financial, operational, legal) would distribute across separate workstreams without identifying the interaction. The multiplier is the signal that the interaction exists and that the combined exposure exceeds what the individual findings suggest.</w:t>
            </w:r>
          </w:p>
        </w:tc>
      </w:tr>
    </w:tbl>
    <w:p w14:paraId="2FA34C84" w14:textId="77777777" w:rsidR="0051248B" w:rsidRPr="00FC2CC9" w:rsidRDefault="00000000">
      <w:pPr>
        <w:spacing w:before="160" w:after="120"/>
        <w:rPr>
          <w:rFonts w:ascii="Arial" w:hAnsi="Arial" w:cs="Arial"/>
        </w:rPr>
      </w:pPr>
      <w:r w:rsidRPr="00FC2CC9">
        <w:rPr>
          <w:rFonts w:ascii="Arial" w:hAnsi="Arial" w:cs="Arial"/>
          <w:b/>
          <w:bCs/>
        </w:rPr>
        <w:lastRenderedPageBreak/>
        <w:t>GBI and GCI: structural adequacy and operational conformance.</w:t>
      </w:r>
      <w:r w:rsidRPr="00FC2CC9">
        <w:rPr>
          <w:rFonts w:ascii="Arial" w:hAnsi="Arial" w:cs="Arial"/>
        </w:rPr>
        <w:t xml:space="preserve"> The GBI score measures whether the governance architecture is structurally adequate — the equivalent of a SOC 2 Type I assessment confirming that controls are designed correctly. The Governance Coherence Index (GCI) measures whether that architecture is operating as designed over a 180-day evidence window — the equivalent of a SOC 2 Type II assessment confirming that controls are functioning in practice. For diligence purposes: a company with a strong GBI but a failing GCI has built governance architecture it is not operating. The effective governance posture is determined by both scores. ARAF Certified status requires both a GBI ≤ 1.75 and a passing GCI. Request both scores in diligence.</w:t>
      </w:r>
    </w:p>
    <w:p w14:paraId="26BB2A03" w14:textId="77777777" w:rsidR="0051248B" w:rsidRPr="00FC2CC9" w:rsidRDefault="0051248B">
      <w:pPr>
        <w:pBdr>
          <w:bottom w:val="single" w:sz="4" w:space="1" w:color="A88644"/>
        </w:pBdr>
        <w:spacing w:before="160" w:after="160"/>
        <w:rPr>
          <w:rFonts w:ascii="Arial" w:hAnsi="Arial" w:cs="Arial"/>
        </w:rPr>
      </w:pPr>
    </w:p>
    <w:p w14:paraId="7547888F" w14:textId="77777777" w:rsidR="0051248B" w:rsidRPr="00FC2CC9" w:rsidRDefault="00000000">
      <w:pPr>
        <w:pStyle w:val="Heading1"/>
        <w:rPr>
          <w:rFonts w:ascii="Arial" w:hAnsi="Arial" w:cs="Arial"/>
        </w:rPr>
      </w:pPr>
      <w:r w:rsidRPr="00FC2CC9">
        <w:rPr>
          <w:rFonts w:ascii="Arial" w:hAnsi="Arial" w:cs="Arial"/>
        </w:rPr>
        <w:t>Part 3: Portfolio Governance Using ARAF</w:t>
      </w:r>
    </w:p>
    <w:p w14:paraId="544EBD20" w14:textId="77777777" w:rsidR="0051248B" w:rsidRPr="00FC2CC9" w:rsidRDefault="00000000">
      <w:pPr>
        <w:spacing w:after="120"/>
        <w:rPr>
          <w:rFonts w:ascii="Arial" w:hAnsi="Arial" w:cs="Arial"/>
        </w:rPr>
      </w:pPr>
      <w:r w:rsidRPr="00FC2CC9">
        <w:rPr>
          <w:rFonts w:ascii="Arial" w:hAnsi="Arial" w:cs="Arial"/>
        </w:rPr>
        <w:t>For investors managing portfolios of companies deploying autonomous systems, the GBI provides cross-portfolio comparability: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1248B" w:rsidRPr="00FC2CC9" w14:paraId="09E0A888" w14:textId="77777777">
        <w:tblPrEx>
          <w:tblCellMar>
            <w:top w:w="0" w:type="dxa"/>
            <w:bottom w:w="0" w:type="dxa"/>
          </w:tblCellMar>
        </w:tblPrEx>
        <w:tc>
          <w:tcPr>
            <w:tcW w:w="26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6BBA531B" w14:textId="77777777" w:rsidR="0051248B" w:rsidRPr="00FC2CC9" w:rsidRDefault="00000000">
            <w:pPr>
              <w:rPr>
                <w:rFonts w:ascii="Arial" w:hAnsi="Arial" w:cs="Arial"/>
              </w:rPr>
            </w:pPr>
            <w:r w:rsidRPr="00FC2CC9">
              <w:rPr>
                <w:rFonts w:ascii="Arial" w:eastAsia="Libre Baskerville" w:hAnsi="Arial" w:cs="Arial"/>
                <w:b/>
                <w:bCs/>
              </w:rPr>
              <w:t>Portfolio Governance Function</w:t>
            </w:r>
          </w:p>
        </w:tc>
        <w:tc>
          <w:tcPr>
            <w:tcW w:w="676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661334E2" w14:textId="77777777" w:rsidR="0051248B" w:rsidRPr="00FC2CC9" w:rsidRDefault="00000000">
            <w:pPr>
              <w:rPr>
                <w:rFonts w:ascii="Arial" w:hAnsi="Arial" w:cs="Arial"/>
              </w:rPr>
            </w:pPr>
            <w:r w:rsidRPr="00FC2CC9">
              <w:rPr>
                <w:rFonts w:ascii="Arial" w:eastAsia="Libre Baskerville" w:hAnsi="Arial" w:cs="Arial"/>
                <w:b/>
                <w:bCs/>
              </w:rPr>
              <w:t>How ARAF Output Is Used</w:t>
            </w:r>
          </w:p>
        </w:tc>
      </w:tr>
      <w:tr w:rsidR="0051248B" w:rsidRPr="00FC2CC9" w14:paraId="7F1C315E" w14:textId="77777777">
        <w:tblPrEx>
          <w:tblCellMar>
            <w:top w:w="0" w:type="dxa"/>
            <w:bottom w:w="0" w:type="dxa"/>
          </w:tblCellMar>
        </w:tblPrEx>
        <w:tc>
          <w:tcPr>
            <w:tcW w:w="26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0AAE2880" w14:textId="77777777" w:rsidR="0051248B" w:rsidRPr="00FC2CC9" w:rsidRDefault="00000000">
            <w:pPr>
              <w:spacing w:after="120"/>
              <w:rPr>
                <w:rFonts w:ascii="Arial" w:hAnsi="Arial" w:cs="Arial"/>
              </w:rPr>
            </w:pPr>
            <w:r w:rsidRPr="00FC2CC9">
              <w:rPr>
                <w:rFonts w:ascii="Arial" w:hAnsi="Arial" w:cs="Arial"/>
                <w:b/>
                <w:bCs/>
              </w:rPr>
              <w:t>Portfolio risk assessment</w:t>
            </w:r>
          </w:p>
        </w:tc>
        <w:tc>
          <w:tcPr>
            <w:tcW w:w="67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565467BA" w14:textId="77777777" w:rsidR="0051248B" w:rsidRPr="00FC2CC9" w:rsidRDefault="00000000">
            <w:pPr>
              <w:spacing w:after="120"/>
              <w:rPr>
                <w:rFonts w:ascii="Arial" w:hAnsi="Arial" w:cs="Arial"/>
              </w:rPr>
            </w:pPr>
            <w:r w:rsidRPr="00FC2CC9">
              <w:rPr>
                <w:rFonts w:ascii="Arial" w:hAnsi="Arial" w:cs="Arial"/>
              </w:rPr>
              <w:t>Map the GBI score and dimensional profile for each portfolio company’s consequential AI deployments. Identify portfolio-level governance risk concentration: multiple portfolio companies with high D1 scores, active multipliers, or Not Compliant status represent correlated governance exposure across the portfolio.</w:t>
            </w:r>
          </w:p>
        </w:tc>
      </w:tr>
      <w:tr w:rsidR="0051248B" w:rsidRPr="00FC2CC9" w14:paraId="774C0CAC" w14:textId="77777777">
        <w:tblPrEx>
          <w:tblCellMar>
            <w:top w:w="0" w:type="dxa"/>
            <w:bottom w:w="0" w:type="dxa"/>
          </w:tblCellMar>
        </w:tblPrEx>
        <w:tc>
          <w:tcPr>
            <w:tcW w:w="26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779EEB71" w14:textId="77777777" w:rsidR="0051248B" w:rsidRPr="00FC2CC9" w:rsidRDefault="00000000">
            <w:pPr>
              <w:spacing w:after="120"/>
              <w:rPr>
                <w:rFonts w:ascii="Arial" w:hAnsi="Arial" w:cs="Arial"/>
              </w:rPr>
            </w:pPr>
            <w:r w:rsidRPr="00FC2CC9">
              <w:rPr>
                <w:rFonts w:ascii="Arial" w:hAnsi="Arial" w:cs="Arial"/>
                <w:b/>
                <w:bCs/>
              </w:rPr>
              <w:t>Governance benchmarking</w:t>
            </w:r>
          </w:p>
        </w:tc>
        <w:tc>
          <w:tcPr>
            <w:tcW w:w="67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26BB377A" w14:textId="77777777" w:rsidR="0051248B" w:rsidRPr="00FC2CC9" w:rsidRDefault="00000000">
            <w:pPr>
              <w:spacing w:after="120"/>
              <w:rPr>
                <w:rFonts w:ascii="Arial" w:hAnsi="Arial" w:cs="Arial"/>
              </w:rPr>
            </w:pPr>
            <w:r w:rsidRPr="00FC2CC9">
              <w:rPr>
                <w:rFonts w:ascii="Arial" w:hAnsi="Arial" w:cs="Arial"/>
              </w:rPr>
              <w:t>Compare GBI scores across portfolio companies operating in similar domains. A portfolio company scoring 3.5 when comparable companies score 2.0 has a relative governance gap that merits attention. The GBI enables the cross-company comparison that governance benchmarking requires.</w:t>
            </w:r>
          </w:p>
        </w:tc>
      </w:tr>
      <w:tr w:rsidR="0051248B" w:rsidRPr="00FC2CC9" w14:paraId="40ADA889" w14:textId="77777777">
        <w:tblPrEx>
          <w:tblCellMar>
            <w:top w:w="0" w:type="dxa"/>
            <w:bottom w:w="0" w:type="dxa"/>
          </w:tblCellMar>
        </w:tblPrEx>
        <w:tc>
          <w:tcPr>
            <w:tcW w:w="26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3B8F1C05" w14:textId="77777777" w:rsidR="0051248B" w:rsidRPr="00FC2CC9" w:rsidRDefault="00000000">
            <w:pPr>
              <w:spacing w:after="120"/>
              <w:rPr>
                <w:rFonts w:ascii="Arial" w:hAnsi="Arial" w:cs="Arial"/>
              </w:rPr>
            </w:pPr>
            <w:r w:rsidRPr="00FC2CC9">
              <w:rPr>
                <w:rFonts w:ascii="Arial" w:hAnsi="Arial" w:cs="Arial"/>
                <w:b/>
                <w:bCs/>
              </w:rPr>
              <w:t>Post-investment governance obligations</w:t>
            </w:r>
          </w:p>
        </w:tc>
        <w:tc>
          <w:tcPr>
            <w:tcW w:w="67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7C32B744" w14:textId="77777777" w:rsidR="0051248B" w:rsidRPr="00FC2CC9" w:rsidRDefault="00000000">
            <w:pPr>
              <w:spacing w:after="120"/>
              <w:rPr>
                <w:rFonts w:ascii="Arial" w:hAnsi="Arial" w:cs="Arial"/>
              </w:rPr>
            </w:pPr>
            <w:r w:rsidRPr="00FC2CC9">
              <w:rPr>
                <w:rFonts w:ascii="Arial" w:hAnsi="Arial" w:cs="Arial"/>
              </w:rPr>
              <w:t>Include ARAF Compliant certification as a governance milestone in investment agreements. Structure the obligation to require: initial ARAF assessment within a defined period post-investment, achievement of Compliant status (GBI ≤ 2.50) within a defined remediation timeline, maintenance of Compliant status at each reassessment, and notification to the investor of any trigger events or GBI score changes.</w:t>
            </w:r>
          </w:p>
        </w:tc>
      </w:tr>
      <w:tr w:rsidR="0051248B" w:rsidRPr="00FC2CC9" w14:paraId="203991CA" w14:textId="77777777">
        <w:tblPrEx>
          <w:tblCellMar>
            <w:top w:w="0" w:type="dxa"/>
            <w:bottom w:w="0" w:type="dxa"/>
          </w:tblCellMar>
        </w:tblPrEx>
        <w:tc>
          <w:tcPr>
            <w:tcW w:w="26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61275AEC" w14:textId="77777777" w:rsidR="0051248B" w:rsidRPr="00FC2CC9" w:rsidRDefault="00000000">
            <w:pPr>
              <w:spacing w:after="120"/>
              <w:rPr>
                <w:rFonts w:ascii="Arial" w:hAnsi="Arial" w:cs="Arial"/>
              </w:rPr>
            </w:pPr>
            <w:r w:rsidRPr="00FC2CC9">
              <w:rPr>
                <w:rFonts w:ascii="Arial" w:hAnsi="Arial" w:cs="Arial"/>
                <w:b/>
                <w:bCs/>
              </w:rPr>
              <w:t>Exit preparation</w:t>
            </w:r>
          </w:p>
        </w:tc>
        <w:tc>
          <w:tcPr>
            <w:tcW w:w="67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3DD7F0B1" w14:textId="77777777" w:rsidR="0051248B" w:rsidRPr="00FC2CC9" w:rsidRDefault="00000000">
            <w:pPr>
              <w:spacing w:after="120"/>
              <w:rPr>
                <w:rFonts w:ascii="Arial" w:hAnsi="Arial" w:cs="Arial"/>
              </w:rPr>
            </w:pPr>
            <w:r w:rsidRPr="00FC2CC9">
              <w:rPr>
                <w:rFonts w:ascii="Arial" w:hAnsi="Arial" w:cs="Arial"/>
              </w:rPr>
              <w:t>A company presenting an ARAF Certified or Compliant designation at exit demonstrates governance maturity that acquirers, public market investors, and regulatory reviewers will increasingly require. The GBI score and governance evidence record become part of the exit documentation alongside financial statements, customer contracts, and IP schedules. Governance classification at exit is the equivalent of audited financials: a standardised signal that institutional buyers can rely upon.</w:t>
            </w:r>
          </w:p>
        </w:tc>
      </w:tr>
      <w:tr w:rsidR="0051248B" w:rsidRPr="00FC2CC9" w14:paraId="362410C4" w14:textId="77777777">
        <w:tblPrEx>
          <w:tblCellMar>
            <w:top w:w="0" w:type="dxa"/>
            <w:bottom w:w="0" w:type="dxa"/>
          </w:tblCellMar>
        </w:tblPrEx>
        <w:tc>
          <w:tcPr>
            <w:tcW w:w="26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5B9AC3E7" w14:textId="77777777" w:rsidR="0051248B" w:rsidRPr="00FC2CC9" w:rsidRDefault="00000000">
            <w:pPr>
              <w:spacing w:after="120"/>
              <w:rPr>
                <w:rFonts w:ascii="Arial" w:hAnsi="Arial" w:cs="Arial"/>
              </w:rPr>
            </w:pPr>
            <w:r w:rsidRPr="00FC2CC9">
              <w:rPr>
                <w:rFonts w:ascii="Arial" w:hAnsi="Arial" w:cs="Arial"/>
                <w:b/>
                <w:bCs/>
              </w:rPr>
              <w:t>Value creation through governance</w:t>
            </w:r>
          </w:p>
        </w:tc>
        <w:tc>
          <w:tcPr>
            <w:tcW w:w="67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5B5A66BC" w14:textId="77777777" w:rsidR="0051248B" w:rsidRPr="00FC2CC9" w:rsidRDefault="00000000">
            <w:pPr>
              <w:spacing w:after="120"/>
              <w:rPr>
                <w:rFonts w:ascii="Arial" w:hAnsi="Arial" w:cs="Arial"/>
              </w:rPr>
            </w:pPr>
            <w:r w:rsidRPr="00FC2CC9">
              <w:rPr>
                <w:rFonts w:ascii="Arial" w:hAnsi="Arial" w:cs="Arial"/>
              </w:rPr>
              <w:t>Governance infrastructure is not a cost that reduces returns. It is the mechanism through which technical capability converts into enterprise value at institutional scale. A portfolio company that achieves ARAF Certified status gains access to enterprise procurement (where governance certification is becoming a vendor condition), insurance coverage (where governance-conditional pricing offers better terms to governed deployments), and regulated markets (where deployment accountability requirements are tightening). Each of these market access points is a value creation lever, not a compliance cost.</w:t>
            </w:r>
          </w:p>
        </w:tc>
      </w:tr>
      <w:tr w:rsidR="0051248B" w:rsidRPr="00FC2CC9" w14:paraId="3D0BDF29" w14:textId="77777777">
        <w:tblPrEx>
          <w:tblCellMar>
            <w:top w:w="0" w:type="dxa"/>
            <w:bottom w:w="0" w:type="dxa"/>
          </w:tblCellMar>
        </w:tblPrEx>
        <w:tc>
          <w:tcPr>
            <w:tcW w:w="26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20A3FA35" w14:textId="77777777" w:rsidR="0051248B" w:rsidRPr="00FC2CC9" w:rsidRDefault="00000000">
            <w:pPr>
              <w:spacing w:after="120"/>
              <w:rPr>
                <w:rFonts w:ascii="Arial" w:hAnsi="Arial" w:cs="Arial"/>
              </w:rPr>
            </w:pPr>
            <w:r w:rsidRPr="00FC2CC9">
              <w:rPr>
                <w:rFonts w:ascii="Arial" w:hAnsi="Arial" w:cs="Arial"/>
                <w:b/>
                <w:bCs/>
              </w:rPr>
              <w:t>LP reporting and fund-level risk disclosure</w:t>
            </w:r>
          </w:p>
        </w:tc>
        <w:tc>
          <w:tcPr>
            <w:tcW w:w="67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DC29646" w14:textId="77777777" w:rsidR="0051248B" w:rsidRPr="00FC2CC9" w:rsidRDefault="00000000">
            <w:pPr>
              <w:spacing w:after="120"/>
              <w:rPr>
                <w:rFonts w:ascii="Arial" w:hAnsi="Arial" w:cs="Arial"/>
              </w:rPr>
            </w:pPr>
            <w:r w:rsidRPr="00FC2CC9">
              <w:rPr>
                <w:rFonts w:ascii="Arial" w:hAnsi="Arial" w:cs="Arial"/>
              </w:rPr>
              <w:t>Aggregate GBI scores across portfolio companies to produce a fund-level AI governance risk profile for LP reporting. Report the distribution of GBI scores (number of portfolio companies at Certified, Compliant, Not Compliant), active multiplier count across the portfolio, and remediation progress for Not Compliant companies. This reporting parallels ESG and carbon footprint reporting across a portfolio and supports LP due diligence on operational risk management at the fund level. For fund managers subject to the Alternative Investment Fund Managers Directive (AIFMD) (EU), equivalent regulatory regimes, or LP-</w:t>
            </w:r>
            <w:r w:rsidRPr="00FC2CC9">
              <w:rPr>
                <w:rFonts w:ascii="Arial" w:hAnsi="Arial" w:cs="Arial"/>
              </w:rPr>
              <w:lastRenderedPageBreak/>
              <w:t>mandated operational risk reporting, portfolio-level GBI reporting supports the required operational risk management disclosures.</w:t>
            </w:r>
          </w:p>
        </w:tc>
      </w:tr>
    </w:tbl>
    <w:p w14:paraId="0B7CF8AC" w14:textId="77777777" w:rsidR="0051248B" w:rsidRPr="00FC2CC9" w:rsidRDefault="00000000">
      <w:pPr>
        <w:pStyle w:val="Heading1"/>
        <w:rPr>
          <w:rFonts w:ascii="Arial" w:hAnsi="Arial" w:cs="Arial"/>
        </w:rPr>
      </w:pPr>
      <w:r w:rsidRPr="00FC2CC9">
        <w:rPr>
          <w:rFonts w:ascii="Arial" w:hAnsi="Arial" w:cs="Arial"/>
        </w:rPr>
        <w:lastRenderedPageBreak/>
        <w:t>Sample Investment Agreement Governance Provision</w:t>
      </w:r>
    </w:p>
    <w:p w14:paraId="545C8A9E" w14:textId="77777777" w:rsidR="0051248B" w:rsidRPr="00FC2CC9" w:rsidRDefault="00000000">
      <w:pPr>
        <w:spacing w:after="120"/>
        <w:rPr>
          <w:rFonts w:ascii="Arial" w:hAnsi="Arial" w:cs="Arial"/>
        </w:rPr>
      </w:pPr>
      <w:r w:rsidRPr="00FC2CC9">
        <w:rPr>
          <w:rFonts w:ascii="Arial" w:hAnsi="Arial" w:cs="Arial"/>
        </w:rPr>
        <w:t>The following provision can be adapted for shareholders’ agreements, subscription agreements, or side letters:</w:t>
      </w:r>
    </w:p>
    <w:p w14:paraId="7D3EA8B6" w14:textId="77777777" w:rsidR="0051248B" w:rsidRPr="00FC2CC9" w:rsidRDefault="00000000">
      <w:pPr>
        <w:spacing w:before="60" w:after="60"/>
        <w:ind w:left="720"/>
        <w:rPr>
          <w:rFonts w:ascii="Arial" w:hAnsi="Arial" w:cs="Arial"/>
        </w:rPr>
      </w:pPr>
      <w:r w:rsidRPr="00FC2CC9">
        <w:rPr>
          <w:rFonts w:ascii="Arial" w:hAnsi="Arial" w:cs="Arial"/>
        </w:rPr>
        <w:t>“The Company shall:</w:t>
      </w:r>
    </w:p>
    <w:p w14:paraId="67DB3BBC" w14:textId="77777777" w:rsidR="0051248B" w:rsidRPr="00FC2CC9" w:rsidRDefault="0051248B">
      <w:pPr>
        <w:spacing w:before="60" w:after="60"/>
        <w:ind w:left="720"/>
        <w:rPr>
          <w:rFonts w:ascii="Arial" w:hAnsi="Arial" w:cs="Arial"/>
        </w:rPr>
      </w:pPr>
    </w:p>
    <w:p w14:paraId="608F919B" w14:textId="77777777" w:rsidR="0051248B" w:rsidRPr="00FC2CC9" w:rsidRDefault="00000000">
      <w:pPr>
        <w:spacing w:before="60" w:after="60"/>
        <w:ind w:left="720"/>
        <w:rPr>
          <w:rFonts w:ascii="Arial" w:hAnsi="Arial" w:cs="Arial"/>
        </w:rPr>
      </w:pPr>
      <w:r w:rsidRPr="00FC2CC9">
        <w:rPr>
          <w:rFonts w:ascii="Arial" w:hAnsi="Arial" w:cs="Arial"/>
        </w:rPr>
        <w:t>(a) within [90/180] days of Completion, commission an ARAF assessment conducted by an assessor accredited by the Institute for Autonomous Governance for each autonomous decision system producing or materially contributing to consequential organisational decisions;</w:t>
      </w:r>
    </w:p>
    <w:p w14:paraId="7ED1E03D" w14:textId="77777777" w:rsidR="0051248B" w:rsidRPr="00FC2CC9" w:rsidRDefault="0051248B">
      <w:pPr>
        <w:spacing w:before="60" w:after="60"/>
        <w:ind w:left="720"/>
        <w:rPr>
          <w:rFonts w:ascii="Arial" w:hAnsi="Arial" w:cs="Arial"/>
        </w:rPr>
      </w:pPr>
    </w:p>
    <w:p w14:paraId="54948ACE" w14:textId="77777777" w:rsidR="0051248B" w:rsidRPr="00FC2CC9" w:rsidRDefault="00000000">
      <w:pPr>
        <w:spacing w:before="60" w:after="60"/>
        <w:ind w:left="720"/>
        <w:rPr>
          <w:rFonts w:ascii="Arial" w:hAnsi="Arial" w:cs="Arial"/>
        </w:rPr>
      </w:pPr>
      <w:r w:rsidRPr="00FC2CC9">
        <w:rPr>
          <w:rFonts w:ascii="Arial" w:hAnsi="Arial" w:cs="Arial"/>
        </w:rPr>
        <w:t>(b) achieve ARAF Compliant status (GBI score at or below 2.50) for each such system within [12] months of Completion;</w:t>
      </w:r>
    </w:p>
    <w:p w14:paraId="619DEA68" w14:textId="77777777" w:rsidR="0051248B" w:rsidRPr="00FC2CC9" w:rsidRDefault="0051248B">
      <w:pPr>
        <w:spacing w:before="60" w:after="60"/>
        <w:ind w:left="720"/>
        <w:rPr>
          <w:rFonts w:ascii="Arial" w:hAnsi="Arial" w:cs="Arial"/>
        </w:rPr>
      </w:pPr>
    </w:p>
    <w:p w14:paraId="0236955D" w14:textId="77777777" w:rsidR="0051248B" w:rsidRPr="00FC2CC9" w:rsidRDefault="00000000">
      <w:pPr>
        <w:spacing w:before="60" w:after="60"/>
        <w:ind w:left="720"/>
        <w:rPr>
          <w:rFonts w:ascii="Arial" w:hAnsi="Arial" w:cs="Arial"/>
        </w:rPr>
      </w:pPr>
      <w:r w:rsidRPr="00FC2CC9">
        <w:rPr>
          <w:rFonts w:ascii="Arial" w:hAnsi="Arial" w:cs="Arial"/>
        </w:rPr>
        <w:t>(c) maintain ARAF Compliant status at each subsequent reassessment, with reassessment intervals not exceeding twelve months;</w:t>
      </w:r>
    </w:p>
    <w:p w14:paraId="030CD4C0" w14:textId="77777777" w:rsidR="0051248B" w:rsidRPr="00FC2CC9" w:rsidRDefault="0051248B">
      <w:pPr>
        <w:spacing w:before="60" w:after="60"/>
        <w:ind w:left="720"/>
        <w:rPr>
          <w:rFonts w:ascii="Arial" w:hAnsi="Arial" w:cs="Arial"/>
        </w:rPr>
      </w:pPr>
    </w:p>
    <w:p w14:paraId="1E4A7391" w14:textId="77777777" w:rsidR="0051248B" w:rsidRPr="00FC2CC9" w:rsidRDefault="00000000">
      <w:pPr>
        <w:spacing w:before="60" w:after="60"/>
        <w:ind w:left="720"/>
        <w:rPr>
          <w:rFonts w:ascii="Arial" w:hAnsi="Arial" w:cs="Arial"/>
        </w:rPr>
      </w:pPr>
      <w:r w:rsidRPr="00FC2CC9">
        <w:rPr>
          <w:rFonts w:ascii="Arial" w:hAnsi="Arial" w:cs="Arial"/>
        </w:rPr>
        <w:t>(d) provide to the Investor a copy of each ARAF assessment report, including dimensional profile, Governance Coherence Index status, multiplier status, and evidence tier classification, within [30] days of receipt;</w:t>
      </w:r>
    </w:p>
    <w:p w14:paraId="2940336D" w14:textId="77777777" w:rsidR="0051248B" w:rsidRPr="00FC2CC9" w:rsidRDefault="0051248B">
      <w:pPr>
        <w:spacing w:before="60" w:after="60"/>
        <w:ind w:left="720"/>
        <w:rPr>
          <w:rFonts w:ascii="Arial" w:hAnsi="Arial" w:cs="Arial"/>
        </w:rPr>
      </w:pPr>
    </w:p>
    <w:p w14:paraId="1F019FD0" w14:textId="77777777" w:rsidR="0051248B" w:rsidRPr="00FC2CC9" w:rsidRDefault="00000000">
      <w:pPr>
        <w:spacing w:before="60" w:after="60"/>
        <w:ind w:left="720"/>
        <w:rPr>
          <w:rFonts w:ascii="Arial" w:hAnsi="Arial" w:cs="Arial"/>
        </w:rPr>
      </w:pPr>
      <w:r w:rsidRPr="00FC2CC9">
        <w:rPr>
          <w:rFonts w:ascii="Arial" w:hAnsi="Arial" w:cs="Arial"/>
        </w:rPr>
        <w:t>(e) notify the Investor within [15] business days of: (i) activation of any multiplier condition; (ii) a GBI score increase of 0.50 or more from the most recent assessment; (iii) loss of ARAF Compliant certification status; (iv) a material change to the scope, authority level, or data categories of any assessed autonomous system; (v) a material model version update affecting any assessed autonomous system; or (vi) a government action, including supply chain risk designation, affecting the company’s primary AI provider or any material component of the decision supply chain;</w:t>
      </w:r>
    </w:p>
    <w:p w14:paraId="1C5C9F6B" w14:textId="77777777" w:rsidR="0051248B" w:rsidRPr="00FC2CC9" w:rsidRDefault="0051248B">
      <w:pPr>
        <w:spacing w:before="60" w:after="60"/>
        <w:ind w:left="720"/>
        <w:rPr>
          <w:rFonts w:ascii="Arial" w:hAnsi="Arial" w:cs="Arial"/>
        </w:rPr>
      </w:pPr>
    </w:p>
    <w:p w14:paraId="285C8FD5" w14:textId="77777777" w:rsidR="0051248B" w:rsidRPr="00FC2CC9" w:rsidRDefault="00000000">
      <w:pPr>
        <w:spacing w:before="60" w:after="60"/>
        <w:ind w:left="720"/>
        <w:rPr>
          <w:rFonts w:ascii="Arial" w:hAnsi="Arial" w:cs="Arial"/>
        </w:rPr>
      </w:pPr>
      <w:r w:rsidRPr="00FC2CC9">
        <w:rPr>
          <w:rFonts w:ascii="Arial" w:hAnsi="Arial" w:cs="Arial"/>
        </w:rPr>
        <w:t>(f) include ARAF governance status in each quarterly board report provided to the Investor under [information rights clause reference].</w:t>
      </w:r>
    </w:p>
    <w:p w14:paraId="0206AE8E" w14:textId="77777777" w:rsidR="0051248B" w:rsidRPr="00FC2CC9" w:rsidRDefault="0051248B">
      <w:pPr>
        <w:spacing w:before="60" w:after="60"/>
        <w:ind w:left="720"/>
        <w:rPr>
          <w:rFonts w:ascii="Arial" w:hAnsi="Arial" w:cs="Arial"/>
        </w:rPr>
      </w:pPr>
    </w:p>
    <w:p w14:paraId="55633EB3" w14:textId="77777777" w:rsidR="0051248B" w:rsidRPr="00FC2CC9" w:rsidRDefault="00000000">
      <w:pPr>
        <w:spacing w:before="60" w:after="60"/>
        <w:ind w:left="720"/>
        <w:rPr>
          <w:rFonts w:ascii="Arial" w:hAnsi="Arial" w:cs="Arial"/>
        </w:rPr>
      </w:pPr>
      <w:r w:rsidRPr="00FC2CC9">
        <w:rPr>
          <w:rFonts w:ascii="Arial" w:hAnsi="Arial" w:cs="Arial"/>
        </w:rPr>
        <w:t>Failure to achieve ARAF Compliant status within the timeline specified in paragraph (b) shall constitute [a breach of the governance milestone / an event entitling the Investor to exercise the governance remediation rights specified in Schedule [X]].”</w:t>
      </w:r>
    </w:p>
    <w:p w14:paraId="5B692CF3" w14:textId="77777777" w:rsidR="0051248B" w:rsidRPr="00FC2CC9" w:rsidRDefault="00000000">
      <w:pPr>
        <w:spacing w:after="120"/>
        <w:rPr>
          <w:rFonts w:ascii="Arial" w:hAnsi="Arial" w:cs="Arial"/>
        </w:rPr>
      </w:pPr>
      <w:r w:rsidRPr="00FC2CC9">
        <w:rPr>
          <w:rFonts w:ascii="Arial" w:hAnsi="Arial" w:cs="Arial"/>
        </w:rPr>
        <w:t>This language parallels the covenant structure in the ARAF Capital Markets and Credit Analysis Crosswalk and can be calibrated to the investment structure: stricter consequences for control investments (where the investor has board representation and can mandate remediation), lighter-touch notification obligations for minority positions.</w:t>
      </w:r>
    </w:p>
    <w:p w14:paraId="6CEE418A" w14:textId="77777777" w:rsidR="0051248B" w:rsidRPr="00FC2CC9" w:rsidRDefault="0051248B">
      <w:pPr>
        <w:pBdr>
          <w:bottom w:val="single" w:sz="4" w:space="1" w:color="A88644"/>
        </w:pBdr>
        <w:spacing w:before="160" w:after="160"/>
        <w:rPr>
          <w:rFonts w:ascii="Arial" w:hAnsi="Arial" w:cs="Arial"/>
        </w:rPr>
      </w:pPr>
    </w:p>
    <w:p w14:paraId="0B552E1E" w14:textId="77777777" w:rsidR="0051248B" w:rsidRPr="00FC2CC9" w:rsidRDefault="00000000">
      <w:pPr>
        <w:pStyle w:val="Heading1"/>
        <w:rPr>
          <w:rFonts w:ascii="Arial" w:hAnsi="Arial" w:cs="Arial"/>
        </w:rPr>
      </w:pPr>
      <w:r w:rsidRPr="00FC2CC9">
        <w:rPr>
          <w:rFonts w:ascii="Arial" w:hAnsi="Arial" w:cs="Arial"/>
        </w:rPr>
        <w:t>Part 4: Integrating ARAF into the Diligence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1248B" w:rsidRPr="00FC2CC9" w14:paraId="39991F18" w14:textId="77777777">
        <w:tblPrEx>
          <w:tblCellMar>
            <w:top w:w="0" w:type="dxa"/>
            <w:bottom w:w="0" w:type="dxa"/>
          </w:tblCellMar>
        </w:tblPrEx>
        <w:tc>
          <w:tcPr>
            <w:tcW w:w="220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5DD6E66D" w14:textId="77777777" w:rsidR="0051248B" w:rsidRPr="00FC2CC9" w:rsidRDefault="00000000">
            <w:pPr>
              <w:rPr>
                <w:rFonts w:ascii="Arial" w:hAnsi="Arial" w:cs="Arial"/>
              </w:rPr>
            </w:pPr>
            <w:r w:rsidRPr="00FC2CC9">
              <w:rPr>
                <w:rFonts w:ascii="Arial" w:eastAsia="Libre Baskerville" w:hAnsi="Arial" w:cs="Arial"/>
                <w:b/>
                <w:bCs/>
              </w:rPr>
              <w:t>Diligence Phase</w:t>
            </w:r>
          </w:p>
        </w:tc>
        <w:tc>
          <w:tcPr>
            <w:tcW w:w="7160" w:type="dxa"/>
            <w:tcBorders>
              <w:top w:val="single" w:sz="4" w:space="0" w:color="C8C0B0"/>
              <w:left w:val="single" w:sz="4" w:space="0" w:color="C8C0B0"/>
              <w:bottom w:val="single" w:sz="4" w:space="0" w:color="C8C0B0"/>
              <w:right w:val="single" w:sz="4" w:space="0" w:color="C8C0B0"/>
            </w:tcBorders>
            <w:shd w:val="clear" w:color="auto" w:fill="EDE9E0"/>
            <w:tcMar>
              <w:top w:w="100" w:type="dxa"/>
              <w:left w:w="120" w:type="dxa"/>
              <w:bottom w:w="100" w:type="dxa"/>
              <w:right w:w="120" w:type="dxa"/>
            </w:tcMar>
          </w:tcPr>
          <w:p w14:paraId="1852BFE9" w14:textId="77777777" w:rsidR="0051248B" w:rsidRPr="00FC2CC9" w:rsidRDefault="00000000">
            <w:pPr>
              <w:rPr>
                <w:rFonts w:ascii="Arial" w:hAnsi="Arial" w:cs="Arial"/>
              </w:rPr>
            </w:pPr>
            <w:r w:rsidRPr="00FC2CC9">
              <w:rPr>
                <w:rFonts w:ascii="Arial" w:eastAsia="Libre Baskerville" w:hAnsi="Arial" w:cs="Arial"/>
                <w:b/>
                <w:bCs/>
              </w:rPr>
              <w:t>ARAF Integration</w:t>
            </w:r>
          </w:p>
        </w:tc>
      </w:tr>
      <w:tr w:rsidR="0051248B" w:rsidRPr="00FC2CC9" w14:paraId="06D4CA51" w14:textId="77777777">
        <w:tblPrEx>
          <w:tblCellMar>
            <w:top w:w="0" w:type="dxa"/>
            <w:bottom w:w="0" w:type="dxa"/>
          </w:tblCellMar>
        </w:tblPrEx>
        <w:tc>
          <w:tcPr>
            <w:tcW w:w="22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24AA034" w14:textId="77777777" w:rsidR="0051248B" w:rsidRPr="00FC2CC9" w:rsidRDefault="00000000">
            <w:pPr>
              <w:spacing w:after="120"/>
              <w:rPr>
                <w:rFonts w:ascii="Arial" w:hAnsi="Arial" w:cs="Arial"/>
              </w:rPr>
            </w:pPr>
            <w:r w:rsidRPr="00FC2CC9">
              <w:rPr>
                <w:rFonts w:ascii="Arial" w:hAnsi="Arial" w:cs="Arial"/>
                <w:b/>
                <w:bCs/>
              </w:rPr>
              <w:t>Preliminary screening</w:t>
            </w:r>
          </w:p>
        </w:tc>
        <w:tc>
          <w:tcPr>
            <w:tcW w:w="71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3F0C57B" w14:textId="77777777" w:rsidR="0051248B" w:rsidRPr="00FC2CC9" w:rsidRDefault="00000000">
            <w:pPr>
              <w:spacing w:after="120"/>
              <w:rPr>
                <w:rFonts w:ascii="Arial" w:hAnsi="Arial" w:cs="Arial"/>
              </w:rPr>
            </w:pPr>
            <w:r w:rsidRPr="00FC2CC9">
              <w:rPr>
                <w:rFonts w:ascii="Arial" w:hAnsi="Arial" w:cs="Arial"/>
              </w:rPr>
              <w:t>Request whether the target has undergone ARAF assessment. If yes, request the GBI score and certification tier. This provides an immediate governance signal before detailed diligence begins. If no assessment exists, flag governance architecture as a diligence work item requiring dedicated assessment.</w:t>
            </w:r>
          </w:p>
        </w:tc>
      </w:tr>
      <w:tr w:rsidR="0051248B" w:rsidRPr="00FC2CC9" w14:paraId="3634920F" w14:textId="77777777">
        <w:tblPrEx>
          <w:tblCellMar>
            <w:top w:w="0" w:type="dxa"/>
            <w:bottom w:w="0" w:type="dxa"/>
          </w:tblCellMar>
        </w:tblPrEx>
        <w:tc>
          <w:tcPr>
            <w:tcW w:w="22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2C62359B" w14:textId="77777777" w:rsidR="0051248B" w:rsidRPr="00FC2CC9" w:rsidRDefault="00000000">
            <w:pPr>
              <w:spacing w:after="120"/>
              <w:rPr>
                <w:rFonts w:ascii="Arial" w:hAnsi="Arial" w:cs="Arial"/>
              </w:rPr>
            </w:pPr>
            <w:r w:rsidRPr="00FC2CC9">
              <w:rPr>
                <w:rFonts w:ascii="Arial" w:hAnsi="Arial" w:cs="Arial"/>
                <w:b/>
                <w:bCs/>
              </w:rPr>
              <w:t>Detailed due diligence</w:t>
            </w:r>
          </w:p>
        </w:tc>
        <w:tc>
          <w:tcPr>
            <w:tcW w:w="71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EAF4D48" w14:textId="77777777" w:rsidR="0051248B" w:rsidRPr="00FC2CC9" w:rsidRDefault="00000000">
            <w:pPr>
              <w:spacing w:after="120"/>
              <w:rPr>
                <w:rFonts w:ascii="Arial" w:hAnsi="Arial" w:cs="Arial"/>
              </w:rPr>
            </w:pPr>
            <w:r w:rsidRPr="00FC2CC9">
              <w:rPr>
                <w:rFonts w:ascii="Arial" w:hAnsi="Arial" w:cs="Arial"/>
              </w:rPr>
              <w:t xml:space="preserve">Request the full ARAF assessment report including dimensional profile, multiplier status, evidence tier classification, and GCI scores. Review alongside technical diligence (is the system built well?), financial diligence (is the company financially sound?), and legal diligence (are the contracts adequate?). The ARAF report answers the governance question: is the company’s decision infrastructure governed? In acquisition transactions, the ARAF assessment report can serve as the evidentiary basis for the target’s governance representations and warranties. A target presenting a current ARAF Compliant or Certified assessment provides independently verified </w:t>
            </w:r>
            <w:r w:rsidRPr="00FC2CC9">
              <w:rPr>
                <w:rFonts w:ascii="Arial" w:hAnsi="Arial" w:cs="Arial"/>
              </w:rPr>
              <w:lastRenderedPageBreak/>
              <w:t>support for representations regarding AI system oversight, data governance, and liability architecture, reducing indemnity exposure for warranty breaches.</w:t>
            </w:r>
          </w:p>
        </w:tc>
      </w:tr>
      <w:tr w:rsidR="0051248B" w:rsidRPr="00FC2CC9" w14:paraId="7882C6F9" w14:textId="77777777">
        <w:tblPrEx>
          <w:tblCellMar>
            <w:top w:w="0" w:type="dxa"/>
            <w:bottom w:w="0" w:type="dxa"/>
          </w:tblCellMar>
        </w:tblPrEx>
        <w:tc>
          <w:tcPr>
            <w:tcW w:w="22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19D40731" w14:textId="77777777" w:rsidR="0051248B" w:rsidRPr="00FC2CC9" w:rsidRDefault="00000000">
            <w:pPr>
              <w:spacing w:after="120"/>
              <w:rPr>
                <w:rFonts w:ascii="Arial" w:hAnsi="Arial" w:cs="Arial"/>
              </w:rPr>
            </w:pPr>
            <w:r w:rsidRPr="00FC2CC9">
              <w:rPr>
                <w:rFonts w:ascii="Arial" w:hAnsi="Arial" w:cs="Arial"/>
                <w:b/>
                <w:bCs/>
              </w:rPr>
              <w:lastRenderedPageBreak/>
              <w:t>Valuation and structuring</w:t>
            </w:r>
          </w:p>
        </w:tc>
        <w:tc>
          <w:tcPr>
            <w:tcW w:w="71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7624B00D" w14:textId="77777777" w:rsidR="0051248B" w:rsidRPr="00FC2CC9" w:rsidRDefault="00000000">
            <w:pPr>
              <w:spacing w:after="120"/>
              <w:rPr>
                <w:rFonts w:ascii="Arial" w:hAnsi="Arial" w:cs="Arial"/>
              </w:rPr>
            </w:pPr>
            <w:r w:rsidRPr="00FC2CC9">
              <w:rPr>
                <w:rFonts w:ascii="Arial" w:hAnsi="Arial" w:cs="Arial"/>
              </w:rPr>
              <w:t>Factor governance findings into valuation. A Not Compliant result or active multiplier represents a governance liability that should be quantified (remediation cost plus exposure during the ungoverned period) and reflected in the investment terms. Governance-conditional pricing adjustments are analogous to environmental liability adjustments in industrial acquisitions: the liability exists whether or not it has crystallised. The components of a governance valuation adjustment are: (1) remediation cost to achieve Compliant status (assessment fees, governance infrastructure build, process implementation); (2) probability-weighted exposure during the ungoverned period (estimated loss from governance failure before remediation completes, informed by the dimensional profile and multiplier status); (3) ongoing governance maintenance cost (annual reassessment, AIOC operation, monitoring infrastructure); and (4) insurance cost differential between the governed and ungoverned posture. Where remediation cost and timeline are quantifiable, the adjustment can be applied as a direct enterprise value reduction. Where exposure during the ungoverned period is the primary concern, the adjustment is better structured as an escrow or holdback released upon achievement of Compliant status.</w:t>
            </w:r>
          </w:p>
        </w:tc>
      </w:tr>
      <w:tr w:rsidR="0051248B" w:rsidRPr="00FC2CC9" w14:paraId="25BAAA40" w14:textId="77777777">
        <w:tblPrEx>
          <w:tblCellMar>
            <w:top w:w="0" w:type="dxa"/>
            <w:bottom w:w="0" w:type="dxa"/>
          </w:tblCellMar>
        </w:tblPrEx>
        <w:tc>
          <w:tcPr>
            <w:tcW w:w="220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4C184028" w14:textId="77777777" w:rsidR="0051248B" w:rsidRPr="00FC2CC9" w:rsidRDefault="00000000">
            <w:pPr>
              <w:spacing w:after="120"/>
              <w:rPr>
                <w:rFonts w:ascii="Arial" w:hAnsi="Arial" w:cs="Arial"/>
              </w:rPr>
            </w:pPr>
            <w:r w:rsidRPr="00FC2CC9">
              <w:rPr>
                <w:rFonts w:ascii="Arial" w:hAnsi="Arial" w:cs="Arial"/>
                <w:b/>
                <w:bCs/>
              </w:rPr>
              <w:t>Post-investment monitoring</w:t>
            </w:r>
          </w:p>
        </w:tc>
        <w:tc>
          <w:tcPr>
            <w:tcW w:w="7160" w:type="dxa"/>
            <w:tcBorders>
              <w:top w:val="single" w:sz="4" w:space="0" w:color="C8C0B0"/>
              <w:left w:val="single" w:sz="4" w:space="0" w:color="C8C0B0"/>
              <w:bottom w:val="single" w:sz="4" w:space="0" w:color="C8C0B0"/>
              <w:right w:val="single" w:sz="4" w:space="0" w:color="C8C0B0"/>
            </w:tcBorders>
            <w:shd w:val="clear" w:color="auto" w:fill="FFFFFF"/>
            <w:tcMar>
              <w:top w:w="100" w:type="dxa"/>
              <w:left w:w="120" w:type="dxa"/>
              <w:bottom w:w="100" w:type="dxa"/>
              <w:right w:w="120" w:type="dxa"/>
            </w:tcMar>
          </w:tcPr>
          <w:p w14:paraId="5962288E" w14:textId="77777777" w:rsidR="0051248B" w:rsidRPr="00FC2CC9" w:rsidRDefault="00000000">
            <w:pPr>
              <w:spacing w:after="120"/>
              <w:rPr>
                <w:rFonts w:ascii="Arial" w:hAnsi="Arial" w:cs="Arial"/>
              </w:rPr>
            </w:pPr>
            <w:r w:rsidRPr="00FC2CC9">
              <w:rPr>
                <w:rFonts w:ascii="Arial" w:hAnsi="Arial" w:cs="Arial"/>
              </w:rPr>
              <w:t>Monitor GBI scores and GCI status at each reassessment. Track governance improvement against milestones. Receive trigger event notifications. Include governance posture in the quarterly portfolio review alongside financial and operational performance. A declining GBI score or failing GCI is a governance signal that warrants board-level attention at the portfolio company, in the same way a declining revenue trend warrants operational attention.</w:t>
            </w:r>
          </w:p>
        </w:tc>
      </w:tr>
    </w:tbl>
    <w:p w14:paraId="05222ADA" w14:textId="77777777" w:rsidR="0051248B" w:rsidRPr="00FC2CC9" w:rsidRDefault="0051248B">
      <w:pPr>
        <w:pBdr>
          <w:bottom w:val="single" w:sz="4" w:space="1" w:color="A88644"/>
        </w:pBdr>
        <w:spacing w:before="160" w:after="160"/>
        <w:rPr>
          <w:rFonts w:ascii="Arial" w:hAnsi="Arial" w:cs="Arial"/>
        </w:rPr>
      </w:pPr>
    </w:p>
    <w:p w14:paraId="0AD29942" w14:textId="77777777" w:rsidR="0051248B" w:rsidRPr="00FC2CC9" w:rsidRDefault="00000000">
      <w:pPr>
        <w:spacing w:before="160" w:after="60"/>
        <w:rPr>
          <w:rFonts w:ascii="Arial" w:hAnsi="Arial" w:cs="Arial"/>
        </w:rPr>
      </w:pPr>
      <w:r w:rsidRPr="00FC2CC9">
        <w:rPr>
          <w:rFonts w:ascii="Arial" w:hAnsi="Arial" w:cs="Arial"/>
          <w:color w:val="888888"/>
          <w:sz w:val="16"/>
          <w:szCs w:val="16"/>
        </w:rPr>
        <w:t xml:space="preserve">Martin, Carly. </w:t>
      </w:r>
      <w:r w:rsidRPr="00FC2CC9">
        <w:rPr>
          <w:rFonts w:ascii="Arial" w:hAnsi="Arial" w:cs="Arial"/>
          <w:i/>
          <w:iCs/>
          <w:color w:val="888888"/>
          <w:sz w:val="16"/>
          <w:szCs w:val="16"/>
        </w:rPr>
        <w:t>Agentic Risk Architecture Framework (ARAF), Version 3.0.</w:t>
      </w:r>
      <w:r w:rsidRPr="00FC2CC9">
        <w:rPr>
          <w:rFonts w:ascii="Arial" w:hAnsi="Arial" w:cs="Arial"/>
          <w:color w:val="888888"/>
          <w:sz w:val="16"/>
          <w:szCs w:val="16"/>
        </w:rPr>
        <w:t xml:space="preserve"> Institute for Autonomous Governance Pty Ltd, 2026.  |  araf-standard.org  |  carlymartin@araf-standard.org</w:t>
      </w:r>
    </w:p>
    <w:sectPr w:rsidR="0051248B" w:rsidRPr="00FC2CC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2E05E" w14:textId="77777777" w:rsidR="00737EE5" w:rsidRDefault="00737EE5">
      <w:r>
        <w:separator/>
      </w:r>
    </w:p>
  </w:endnote>
  <w:endnote w:type="continuationSeparator" w:id="0">
    <w:p w14:paraId="0E48E3B9" w14:textId="77777777" w:rsidR="00737EE5" w:rsidRDefault="00737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Mono">
    <w:charset w:val="00"/>
    <w:family w:val="modern"/>
    <w:pitch w:val="fixed"/>
    <w:sig w:usb0="00000007" w:usb1="00000000" w:usb2="00000000" w:usb3="00000000" w:csb0="00000093" w:csb1="00000000"/>
  </w:font>
  <w:font w:name="Libre Baskerville">
    <w:charset w:val="00"/>
    <w:family w:val="auto"/>
    <w:pitch w:val="variable"/>
    <w:sig w:usb0="A00000BF" w:usb1="50000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B012C" w14:textId="77777777" w:rsidR="0051248B" w:rsidRDefault="00000000">
    <w:pPr>
      <w:pBdr>
        <w:top w:val="single" w:sz="4" w:space="1" w:color="A88644"/>
      </w:pBdr>
      <w:tabs>
        <w:tab w:val="right" w:pos="9360"/>
      </w:tabs>
      <w:spacing w:before="80"/>
    </w:pPr>
    <w:r>
      <w:rPr>
        <w:color w:val="888888"/>
        <w:sz w:val="15"/>
        <w:szCs w:val="15"/>
      </w:rPr>
      <w:t>Agentic Risk Architecture Framework, Version 3.0  •  Institute for Autonomous Governance Pty Ltd  •  araf-standard.org</w:t>
    </w:r>
    <w:r>
      <w:rPr>
        <w:sz w:val="15"/>
        <w:szCs w:val="15"/>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BB92C" w14:textId="77777777" w:rsidR="00737EE5" w:rsidRDefault="00737EE5">
      <w:r>
        <w:separator/>
      </w:r>
    </w:p>
  </w:footnote>
  <w:footnote w:type="continuationSeparator" w:id="0">
    <w:p w14:paraId="4A139504" w14:textId="77777777" w:rsidR="00737EE5" w:rsidRDefault="00737E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1A21" w14:textId="77777777" w:rsidR="0051248B" w:rsidRDefault="00000000">
    <w:pPr>
      <w:pBdr>
        <w:bottom w:val="single" w:sz="6" w:space="1" w:color="A88644"/>
      </w:pBdr>
      <w:spacing w:after="80"/>
    </w:pPr>
    <w:r>
      <w:rPr>
        <w:rFonts w:ascii="Libre Baskerville" w:eastAsia="Libre Baskerville" w:hAnsi="Libre Baskerville" w:cs="Libre Baskerville"/>
        <w:b/>
        <w:bCs/>
      </w:rPr>
      <w:t>INSTITUTE FOR AUTONOMOUS GOVERNANCE</w:t>
    </w:r>
    <w:r>
      <w:rPr>
        <w:color w:val="888888"/>
        <w:sz w:val="16"/>
        <w:szCs w:val="16"/>
      </w:rPr>
      <w:t xml:space="preserve">   —   ARAF Investor Diligence Crosswalk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D5808"/>
    <w:multiLevelType w:val="hybridMultilevel"/>
    <w:tmpl w:val="C1EC2E66"/>
    <w:lvl w:ilvl="0" w:tplc="63C4E208">
      <w:start w:val="1"/>
      <w:numFmt w:val="bullet"/>
      <w:lvlText w:val="●"/>
      <w:lvlJc w:val="left"/>
      <w:pPr>
        <w:ind w:left="720" w:hanging="360"/>
      </w:pPr>
    </w:lvl>
    <w:lvl w:ilvl="1" w:tplc="0AE4395C">
      <w:start w:val="1"/>
      <w:numFmt w:val="bullet"/>
      <w:lvlText w:val="○"/>
      <w:lvlJc w:val="left"/>
      <w:pPr>
        <w:ind w:left="1440" w:hanging="360"/>
      </w:pPr>
    </w:lvl>
    <w:lvl w:ilvl="2" w:tplc="C9CE7038">
      <w:start w:val="1"/>
      <w:numFmt w:val="bullet"/>
      <w:lvlText w:val="■"/>
      <w:lvlJc w:val="left"/>
      <w:pPr>
        <w:ind w:left="2160" w:hanging="360"/>
      </w:pPr>
    </w:lvl>
    <w:lvl w:ilvl="3" w:tplc="7F0A3B80">
      <w:start w:val="1"/>
      <w:numFmt w:val="bullet"/>
      <w:lvlText w:val="●"/>
      <w:lvlJc w:val="left"/>
      <w:pPr>
        <w:ind w:left="2880" w:hanging="360"/>
      </w:pPr>
    </w:lvl>
    <w:lvl w:ilvl="4" w:tplc="EFA40BDC">
      <w:start w:val="1"/>
      <w:numFmt w:val="bullet"/>
      <w:lvlText w:val="○"/>
      <w:lvlJc w:val="left"/>
      <w:pPr>
        <w:ind w:left="3600" w:hanging="360"/>
      </w:pPr>
    </w:lvl>
    <w:lvl w:ilvl="5" w:tplc="5E16FE04">
      <w:start w:val="1"/>
      <w:numFmt w:val="bullet"/>
      <w:lvlText w:val="■"/>
      <w:lvlJc w:val="left"/>
      <w:pPr>
        <w:ind w:left="4320" w:hanging="360"/>
      </w:pPr>
    </w:lvl>
    <w:lvl w:ilvl="6" w:tplc="70083BFE">
      <w:start w:val="1"/>
      <w:numFmt w:val="bullet"/>
      <w:lvlText w:val="●"/>
      <w:lvlJc w:val="left"/>
      <w:pPr>
        <w:ind w:left="5040" w:hanging="360"/>
      </w:pPr>
    </w:lvl>
    <w:lvl w:ilvl="7" w:tplc="E16EEAEE">
      <w:start w:val="1"/>
      <w:numFmt w:val="bullet"/>
      <w:lvlText w:val="●"/>
      <w:lvlJc w:val="left"/>
      <w:pPr>
        <w:ind w:left="5760" w:hanging="360"/>
      </w:pPr>
    </w:lvl>
    <w:lvl w:ilvl="8" w:tplc="5A864A2C">
      <w:start w:val="1"/>
      <w:numFmt w:val="bullet"/>
      <w:lvlText w:val="●"/>
      <w:lvlJc w:val="left"/>
      <w:pPr>
        <w:ind w:left="6480" w:hanging="360"/>
      </w:pPr>
    </w:lvl>
  </w:abstractNum>
  <w:num w:numId="1" w16cid:durableId="1107625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48B"/>
    <w:rsid w:val="001141A6"/>
    <w:rsid w:val="0051248B"/>
    <w:rsid w:val="00737EE5"/>
    <w:rsid w:val="00FC2C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385B"/>
  <w15:docId w15:val="{6CA71DA3-D241-423C-AE52-9AFFCCE77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Mono" w:eastAsia="DM Mono" w:hAnsi="DM Mono" w:cs="DM Mono"/>
        <w:color w:val="0D0D0B"/>
        <w:sz w:val="18"/>
        <w:szCs w:val="18"/>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rFonts w:ascii="Libre Baskerville" w:eastAsia="Libre Baskerville" w:hAnsi="Libre Baskerville" w:cs="Libre Baskerville"/>
      <w:b/>
      <w:bCs/>
      <w:sz w:val="28"/>
      <w:szCs w:val="28"/>
    </w:rPr>
  </w:style>
  <w:style w:type="paragraph" w:styleId="Heading2">
    <w:name w:val="heading 2"/>
    <w:uiPriority w:val="9"/>
    <w:unhideWhenUsed/>
    <w:qFormat/>
    <w:pPr>
      <w:spacing w:before="240" w:after="120"/>
      <w:outlineLvl w:val="1"/>
    </w:pPr>
    <w:rPr>
      <w:rFonts w:ascii="Libre Baskerville" w:eastAsia="Libre Baskerville" w:hAnsi="Libre Baskerville" w:cs="Libre Baskerville"/>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5080</Words>
  <Characters>26523</Characters>
  <Application>Microsoft Office Word</Application>
  <DocSecurity>0</DocSecurity>
  <Lines>434</Lines>
  <Paragraphs>200</Paragraphs>
  <ScaleCrop>false</ScaleCrop>
  <Company/>
  <LinksUpToDate>false</LinksUpToDate>
  <CharactersWithSpaces>31403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Carly Martin</cp:lastModifiedBy>
  <cp:revision>2</cp:revision>
  <dcterms:created xsi:type="dcterms:W3CDTF">2026-03-15T05:05:00Z</dcterms:created>
  <dcterms:modified xsi:type="dcterms:W3CDTF">2026-03-15T10:08:00Z</dcterms:modified>
</cp:coreProperties>
</file>