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DM Mono" w:cs="DM Mono" w:eastAsia="DM Mono" w:hAnsi="DM Mono"/>
          <w:color w:val="A88644"/>
          <w:sz w:val="18"/>
          <w:szCs w:val="18"/>
        </w:rPr>
        <w:t xml:space="preserve">INSTITUTE FOR AUTONOMOUS GOVERNANCE</w:t>
      </w:r>
    </w:p>
    <w:p>
      <w:pPr>
        <w:spacing w:before="120" w:after="80"/>
      </w:pPr>
      <w:r>
        <w:rPr>
          <w:rFonts w:ascii="Libre Baskerville" w:cs="Libre Baskerville" w:eastAsia="Libre Baskerville" w:hAnsi="Libre Baskerville"/>
          <w:b/>
          <w:bCs/>
          <w:color w:val="0D0D0B"/>
          <w:sz w:val="36"/>
          <w:szCs w:val="36"/>
        </w:rPr>
        <w:t xml:space="preserve">ARAF Procurement Crosswalk</w:t>
      </w:r>
    </w:p>
    <w:p>
      <w:pPr>
        <w:spacing w:before="0" w:after="80"/>
      </w:pPr>
      <w:r>
        <w:rPr>
          <w:rFonts w:ascii="Libre Baskerville" w:cs="Libre Baskerville" w:eastAsia="Libre Baskerville" w:hAnsi="Libre Baskerville"/>
          <w:color w:val="0D0D0B"/>
          <w:sz w:val="22"/>
          <w:szCs w:val="22"/>
        </w:rPr>
        <w:t xml:space="preserve">Mapping ARAF Governance Dimensions to Procurement and Vendor Governance Obligations</w:t>
      </w:r>
    </w:p>
    <w:p>
      <w:pPr>
        <w:spacing w:before="0" w:after="280"/>
      </w:pPr>
      <w:r>
        <w:rPr>
          <w:rFonts w:ascii="DM Mono" w:cs="DM Mono" w:eastAsia="DM Mono" w:hAnsi="DM Mono"/>
          <w:color w:val="888888"/>
          <w:sz w:val="16"/>
          <w:szCs w:val="16"/>
        </w:rPr>
        <w:t xml:space="preserve">Agentic Risk Architecture Framework, Version 2.1  |  Institute for Autonomous Governance Pty Ltd</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Purpose</w:t>
      </w:r>
    </w:p>
    <w:p>
      <w:pPr>
        <w:spacing w:before="0" w:after="160"/>
      </w:pPr>
      <w:r>
        <w:rPr>
          <w:rFonts w:ascii="Libre Baskerville" w:cs="Libre Baskerville" w:eastAsia="Libre Baskerville" w:hAnsi="Libre Baskerville"/>
          <w:color w:val="0D0D0B"/>
          <w:sz w:val="20"/>
          <w:szCs w:val="20"/>
        </w:rPr>
        <w:t xml:space="preserve">This crosswalk maps the Agentic Risk Architecture Framework's six governance dimensions to the legal, regulatory, and commercial obligations that apply when autonomous systems participate in procurement decision-making, including vendor evaluation and selection, contract award, supplier risk assessment, spend analysis, purchase order automation, supplier performance management, and procurement compliance monitoring.</w:t>
      </w:r>
    </w:p>
    <w:p>
      <w:pPr>
        <w:spacing w:before="0" w:after="160"/>
      </w:pPr>
      <w:r>
        <w:rPr>
          <w:rFonts w:ascii="Libre Baskerville" w:cs="Libre Baskerville" w:eastAsia="Libre Baskerville" w:hAnsi="Libre Baskerville"/>
          <w:color w:val="0D0D0B"/>
          <w:sz w:val="20"/>
          <w:szCs w:val="20"/>
        </w:rPr>
        <w:t xml:space="preserve">Procurement is the sector with the lowest overall gap intensity across the seven legal principles. ARAF's existing dimensional coverage (particularly D1, D3, and D5) maps well to procurement governance requirements. The principal value of this crosswalk is not to identify large governance gaps but to position ARAF as a procurement tool: a governance signal that procurement teams can require of AI vendors as a condition of onboarding, alongside SOC 2 and ISO 27001.</w:t>
      </w:r>
    </w:p>
    <w:p>
      <w:pPr>
        <w:spacing w:before="0" w:after="160"/>
      </w:pPr>
      <w:r>
        <w:rPr>
          <w:rFonts w:ascii="Libre Baskerville" w:cs="Libre Baskerville" w:eastAsia="Libre Baskerville" w:hAnsi="Libre Baskerville"/>
          <w:color w:val="0D0D0B"/>
          <w:sz w:val="20"/>
          <w:szCs w:val="20"/>
        </w:rPr>
        <w:t xml:space="preserve">This crosswalk addresses two distinct contexts: procurement teams using AI systems to make procurement decisions (the AI-assisted procurement context), and procurement teams evaluating AI vendors and requiring governance certification as a procurement condition (the AI vendor procurement context). Both are addressed because ARAF operates on both sides of the procurement relationship.</w:t>
      </w:r>
    </w:p>
    <w:p>
      <w:pPr>
        <w:spacing w:before="0" w:after="280"/>
      </w:pPr>
      <w:r>
        <w:rPr>
          <w:rFonts w:ascii="Libre Baskerville" w:cs="Libre Baskerville" w:eastAsia="Libre Baskerville" w:hAnsi="Libre Baskerville"/>
          <w:color w:val="0D0D0B"/>
          <w:sz w:val="20"/>
          <w:szCs w:val="20"/>
        </w:rPr>
        <w:t xml:space="preserve">The seven legal principles mapped in this crosswalk were identified by Philip Cowdery in the context of insurance AI governance and litigation risk and adapted here for the procurement sector. The principles reflect established requirements of procurement law, contract law, anti-discrimination obligations, and procedural fairness as they apply to AI-assisted procurement decision-making.</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1: Obligations ARAF Addresses</w:t>
      </w:r>
    </w:p>
    <w:p>
      <w:pPr>
        <w:spacing w:before="260" w:after="60"/>
      </w:pPr>
      <w:r>
        <w:rPr>
          <w:rFonts w:ascii="Libre Baskerville" w:cs="Libre Baskerville" w:eastAsia="Libre Baskerville" w:hAnsi="Libre Baskerville"/>
          <w:b/>
          <w:bCs/>
          <w:color w:val="0D0D0B"/>
          <w:sz w:val="22"/>
          <w:szCs w:val="22"/>
        </w:rPr>
        <w:t xml:space="preserve">1.1 Proper Use of Decision-Making Powers</w:t>
      </w:r>
    </w:p>
    <w:p>
      <w:pPr>
        <w:spacing w:before="0" w:after="160"/>
      </w:pPr>
      <w:r>
        <w:rPr>
          <w:rFonts w:ascii="Libre Baskerville" w:cs="Libre Baskerville" w:eastAsia="Libre Baskerville" w:hAnsi="Libre Baskerville"/>
          <w:color w:val="0D0D0B"/>
          <w:sz w:val="20"/>
          <w:szCs w:val="20"/>
        </w:rPr>
        <w:t xml:space="preserve">Sector obligation. Procurement authority limits are well-established in most organisations. Procurement delegation matrices define who may approve expenditure at each threshold, who may award contracts, and what governance processes (tender committee approval, board approval, probity review) are required for different categories of procurement. Government procurement frameworks impose additional requirements: the Commonwealth Procurement Rules (CPRs) in Australia, the Federal Acquisition Regulation (FAR) in the United States, the Public Contracts Regulations 2015 in the United Kingdom, and equivalent frameworks prescribe the processes that must be followed for public procurement.</w:t>
      </w:r>
    </w:p>
    <w:p>
      <w:pPr>
        <w:spacing w:before="0" w:after="160"/>
      </w:pPr>
      <w:r>
        <w:rPr>
          <w:rFonts w:ascii="Libre Baskerville" w:cs="Libre Baskerville" w:eastAsia="Libre Baskerville" w:hAnsi="Libre Baskerville"/>
          <w:color w:val="0D0D0B"/>
          <w:sz w:val="20"/>
          <w:szCs w:val="20"/>
        </w:rPr>
        <w:t xml:space="preserve">Where AI assists procurement decisions (evaluating tender responses, scoring vendor proposals, ranking suppliers, recommending contract awards), the procurement officer or delegate who holds the relevant procurement authority retains responsibility for the decision. The AI system's role must be characterised as decision support within the established delegation framework. A procurement decision that is effectively made by an AI system (the procurement officer invariably follows the system's ranking without exercising independent judgment) may be challenged by an unsuccessful vendor on the basis that the decision was not made by a person with the authority to make it. In government procurement, probity requirements presuppose that a human decision-maker is exercising judgment; an AI system that determines the outcome without meaningful human engagement may compromise the probity framework.</w:t>
      </w:r>
    </w:p>
    <w:p>
      <w:pPr>
        <w:spacing w:before="0" w:after="160"/>
      </w:pPr>
      <w:r>
        <w:rPr>
          <w:rFonts w:ascii="Libre Baskerville" w:cs="Libre Baskerville" w:eastAsia="Libre Baskerville" w:hAnsi="Libre Baskerville"/>
          <w:color w:val="0D0D0B"/>
          <w:sz w:val="20"/>
          <w:szCs w:val="20"/>
        </w:rPr>
        <w:t xml:space="preserve">ARAF coverage. D1 (Autonomy Gradient) assesses commitment authority, oversight adequacy, and scope boundary enforcement. The GCI's Authority Adherence component measures whether operational decisions occurred within defined authority boundaries. D1 maps naturally to procurement delegation matrices.</w:t>
      </w:r>
    </w:p>
    <w:p>
      <w:pPr>
        <w:spacing w:before="0" w:after="240"/>
      </w:pPr>
      <w:r>
        <w:rPr>
          <w:rFonts w:ascii="Libre Baskerville" w:cs="Libre Baskerville" w:eastAsia="Libre Baskerville" w:hAnsi="Libre Baskerville"/>
          <w:color w:val="0D0D0B"/>
          <w:sz w:val="20"/>
          <w:szCs w:val="20"/>
        </w:rPr>
        <w:t xml:space="preserve">Procurement team action. Map D1 authority boundaries to the organisation's procurement delegation matrix. For government procurement, ensure the AI system's role is documented in the procurement plan and is consistent with the applicable procurement framework. Where probity requirements apply, ensure the probity advisor is aware of the AI system's role. Document the procurement decision-maker's engagement with the AI system's recommendation for each decision above the organisation's materiality threshold, demonstrating that the decision-maker reviewed the recommendation, considered relevant factors the system may not have captured, and formed an independent view.</w:t>
      </w:r>
    </w:p>
    <w:p>
      <w:pPr>
        <w:spacing w:before="260" w:after="60"/>
      </w:pPr>
      <w:r>
        <w:rPr>
          <w:rFonts w:ascii="Libre Baskerville" w:cs="Libre Baskerville" w:eastAsia="Libre Baskerville" w:hAnsi="Libre Baskerville"/>
          <w:b/>
          <w:bCs/>
          <w:color w:val="0D0D0B"/>
          <w:sz w:val="22"/>
          <w:szCs w:val="22"/>
        </w:rPr>
        <w:t xml:space="preserve">1.2 Ability to Reconstruct the Decision</w:t>
      </w:r>
    </w:p>
    <w:p>
      <w:pPr>
        <w:spacing w:before="0" w:after="160"/>
      </w:pPr>
      <w:r>
        <w:rPr>
          <w:rFonts w:ascii="Libre Baskerville" w:cs="Libre Baskerville" w:eastAsia="Libre Baskerville" w:hAnsi="Libre Baskerville"/>
          <w:color w:val="0D0D0B"/>
          <w:sz w:val="20"/>
          <w:szCs w:val="20"/>
        </w:rPr>
        <w:t xml:space="preserve">Sector obligation. Procurement audit trail requirements are well-established. Most organisations maintain procurement files documenting the evaluation criteria, the evaluation process, the scores assigned, the recommendation, and the approval chain. Government procurement frameworks require comprehensive documentation of the procurement process, including evaluation reports, tender committee minutes, and approval records. Unsuccessful vendors may request debriefing on the reasons for the decision, and in some jurisdictions may seek formal review of the procurement process (Government Procurement Review Board in Australia, Government Accountability Office bid protests in the United States, Procurement Review Body in the United Kingdom). The procurement file must be sufficient to explain the decision to a reviewing authority without requiring post-hoc reconstruction.</w:t>
      </w:r>
    </w:p>
    <w:p>
      <w:pPr>
        <w:spacing w:before="0" w:after="160"/>
      </w:pPr>
      <w:r>
        <w:rPr>
          <w:rFonts w:ascii="Libre Baskerville" w:cs="Libre Baskerville" w:eastAsia="Libre Baskerville" w:hAnsi="Libre Baskerville"/>
          <w:color w:val="0D0D0B"/>
          <w:sz w:val="20"/>
          <w:szCs w:val="20"/>
        </w:rPr>
        <w:t xml:space="preserve">ARAF coverage. EIS-01's reconstructability standard and evidence tier hierarchy provide a classification framework that maps to procurement audit trail requirements. The governance telemetry record captures who authorised the decision, whether oversight operated, and whether the decision chain is recoverable.</w:t>
      </w:r>
    </w:p>
    <w:p>
      <w:pPr>
        <w:spacing w:before="0" w:after="240"/>
      </w:pPr>
      <w:r>
        <w:rPr>
          <w:rFonts w:ascii="Libre Baskerville" w:cs="Libre Baskerville" w:eastAsia="Libre Baskerville" w:hAnsi="Libre Baskerville"/>
          <w:color w:val="0D0D0B"/>
          <w:sz w:val="20"/>
          <w:szCs w:val="20"/>
        </w:rPr>
        <w:t xml:space="preserve">Procurement team action. Integrate AI system outputs (vendor scores, rankings, recommendations) into the standard procurement file alongside human evaluation records. Ensure the procurement file documents the AI system's role: what the system assessed, what criteria it applied, what data it used, and how the procurement decision-maker engaged with its output. For government procurement, ensure the file is sufficient to support a full bid protest or merit review, including identification of the AI system's contribution to the evaluation and the human decision-maker's independent assessment. Target Tier 1 evidence (infrastructure-generated contemporaneous records) for all procurement decisions above the organisation's materiality threshold. Tier 2 evidence (contemporaneous operational documentation) is acceptable for lower-value decisions.</w:t>
      </w:r>
    </w:p>
    <w:p>
      <w:pPr>
        <w:spacing w:before="260" w:after="60"/>
      </w:pPr>
      <w:r>
        <w:rPr>
          <w:rFonts w:ascii="Libre Baskerville" w:cs="Libre Baskerville" w:eastAsia="Libre Baskerville" w:hAnsi="Libre Baskerville"/>
          <w:b/>
          <w:bCs/>
          <w:color w:val="0D0D0B"/>
          <w:sz w:val="22"/>
          <w:szCs w:val="22"/>
        </w:rPr>
        <w:t xml:space="preserve">1.3 Reliability of Evidence</w:t>
      </w:r>
    </w:p>
    <w:p>
      <w:pPr>
        <w:spacing w:before="0" w:after="160"/>
      </w:pPr>
      <w:r>
        <w:rPr>
          <w:rFonts w:ascii="Libre Baskerville" w:cs="Libre Baskerville" w:eastAsia="Libre Baskerville" w:hAnsi="Libre Baskerville"/>
          <w:color w:val="0D0D0B"/>
          <w:sz w:val="20"/>
          <w:szCs w:val="20"/>
        </w:rPr>
        <w:t xml:space="preserve">Sector obligation. Procurement decisions must be based on reliable and relevant evidence. Vendor financial information, performance data, reference data, and qualifications must be accurate and verified. Where AI systems assist in evaluating vendor submissions, the quality of the AI system's assessment depends on the quality of the data it processes. Data quality failures that propagate through procurement AI can produce systematic errors in vendor evaluation, potentially selecting suboptimal vendors or excluding qualified ones. In government procurement, the requirement to consider only relevant evaluation criteria (and to apply those criteria consistently) is enforceable through procurement review mechanisms.</w:t>
      </w:r>
    </w:p>
    <w:p>
      <w:pPr>
        <w:spacing w:before="0" w:after="160"/>
      </w:pPr>
      <w:r>
        <w:rPr>
          <w:rFonts w:ascii="Libre Baskerville" w:cs="Libre Baskerville" w:eastAsia="Libre Baskerville" w:hAnsi="Libre Baskerville"/>
          <w:color w:val="0D0D0B"/>
          <w:sz w:val="20"/>
          <w:szCs w:val="20"/>
        </w:rPr>
        <w:t xml:space="preserve">ARAF coverage. D2 (Data Sensitivity Exposure) assesses operational data sensitivity and training data provenance. The Decision Supply Chain's Data Inputs stage requires data provenance, consent basis, and quality controls. For procurement AI, this includes vendor data, historical performance data, and any third-party data sources the system ingests.</w:t>
      </w:r>
    </w:p>
    <w:p>
      <w:pPr>
        <w:spacing w:before="0" w:after="240"/>
      </w:pPr>
      <w:r>
        <w:rPr>
          <w:rFonts w:ascii="Libre Baskerville" w:cs="Libre Baskerville" w:eastAsia="Libre Baskerville" w:hAnsi="Libre Baskerville"/>
          <w:color w:val="0D0D0B"/>
          <w:sz w:val="20"/>
          <w:szCs w:val="20"/>
        </w:rPr>
        <w:t xml:space="preserve">Procurement team action. Map D2 assessment to the data sources the procurement AI system uses: vendor-submitted information, third-party financial databases, performance registries, and market data. Where the system relies on external data sources (commercial credit databases, industry performance benchmarks, supply chain risk data), document the provenance and reliability assessment of each source. Implement data validation processes that detect when mandatory evaluation data is missing or inconsistent, preventing the system from producing evaluations based on incomplete information. For government procurement, ensure that data inputs are limited to evaluation criteria specified in the tender documentation; the use of additional data not disclosed to vendors as an evaluation factor may constitute a procurement breach.</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2: Obligations ARAF Partially Supports</w:t>
      </w:r>
    </w:p>
    <w:p>
      <w:pPr>
        <w:spacing w:before="260" w:after="60"/>
      </w:pPr>
      <w:r>
        <w:rPr>
          <w:rFonts w:ascii="Libre Baskerville" w:cs="Libre Baskerville" w:eastAsia="Libre Baskerville" w:hAnsi="Libre Baskerville"/>
          <w:b/>
          <w:bCs/>
          <w:color w:val="0D0D0B"/>
          <w:sz w:val="22"/>
          <w:szCs w:val="22"/>
        </w:rPr>
        <w:t xml:space="preserve">2.1 Procedural Fairness</w:t>
      </w:r>
    </w:p>
    <w:p>
      <w:pPr>
        <w:spacing w:before="0" w:after="160"/>
      </w:pPr>
      <w:r>
        <w:rPr>
          <w:rFonts w:ascii="Libre Baskerville" w:cs="Libre Baskerville" w:eastAsia="Libre Baskerville" w:hAnsi="Libre Baskerville"/>
          <w:color w:val="0D0D0B"/>
          <w:sz w:val="20"/>
          <w:szCs w:val="20"/>
        </w:rPr>
        <w:t xml:space="preserve">Sector obligation. Procurement fairness obligations arise from contract law, public procurement law, and natural justice principles. In government procurement, the duty of procedural fairness requires that the procurement process be conducted consistently with the terms of the request for tender, that all vendors be treated fairly and equally, and that the evaluation criteria be applied consistently. A vendor who is treated less favourably than others in the evaluation process, or whose submission is assessed against criteria not disclosed in the tender documentation, may have grounds to challenge the procurement decision. Private sector procurement fairness obligations are less prescriptive but contract law and the implied duty of good faith in some jurisdictions create baseline requirements.</w:t>
      </w:r>
    </w:p>
    <w:p>
      <w:pPr>
        <w:spacing w:before="0" w:after="160"/>
      </w:pPr>
      <w:r>
        <w:rPr>
          <w:rFonts w:ascii="Libre Baskerville" w:cs="Libre Baskerville" w:eastAsia="Libre Baskerville" w:hAnsi="Libre Baskerville"/>
          <w:color w:val="0D0D0B"/>
          <w:sz w:val="20"/>
          <w:szCs w:val="20"/>
        </w:rPr>
        <w:t xml:space="preserve">Where AI assists in vendor evaluation, procedural fairness obligations require that the evaluation criteria the AI system applies are consistent with those disclosed to vendors; that the system does not introduce undisclosed factors into its scoring; and that vendors who receive adverse assessments have an opportunity to understand the basis for the assessment through the debriefing process. Procedural fairness in procurement does not typically require a pre-decision hearing of the kind required in government administrative decisions (Section 2.1 of the Government crosswalk). It does require process consistency and transparency about the evaluation methodology.</w:t>
      </w:r>
    </w:p>
    <w:p>
      <w:pPr>
        <w:spacing w:before="0" w:after="160"/>
      </w:pPr>
      <w:r>
        <w:rPr>
          <w:rFonts w:ascii="Libre Baskerville" w:cs="Libre Baskerville" w:eastAsia="Libre Baskerville" w:hAnsi="Libre Baskerville"/>
          <w:color w:val="0D0D0B"/>
          <w:sz w:val="20"/>
          <w:szCs w:val="20"/>
        </w:rPr>
        <w:t xml:space="preserve">What ARAF covers. D1's oversight adequacy assessment addresses whether the procurement officer retained meaningful human authority over the decision. EIS-01's reconstructability requirements ensure the evaluation can be explained in a debriefing. These support but do not satisfy the full procedural fairness obligation.</w:t>
      </w:r>
    </w:p>
    <w:p>
      <w:pPr>
        <w:spacing w:before="0" w:after="160"/>
      </w:pPr>
      <w:r>
        <w:rPr>
          <w:rFonts w:ascii="Libre Baskerville" w:cs="Libre Baskerville" w:eastAsia="Libre Baskerville" w:hAnsi="Libre Baskerville"/>
          <w:color w:val="0D0D0B"/>
          <w:sz w:val="20"/>
          <w:szCs w:val="20"/>
        </w:rPr>
        <w:t xml:space="preserve">What ARAF does not cover. ARAF does not assess whether the AI system applied evaluation criteria consistently with the tender documentation, whether undisclosed factors were introduced into the evaluation, or whether the debriefing process adequately explained the reasons for the evaluation outcome to the unsuccessful vendor.</w:t>
      </w:r>
    </w:p>
    <w:p>
      <w:pPr>
        <w:spacing w:before="0" w:after="240"/>
      </w:pPr>
      <w:r>
        <w:rPr>
          <w:rFonts w:ascii="Libre Baskerville" w:cs="Libre Baskerville" w:eastAsia="Libre Baskerville" w:hAnsi="Libre Baskerville"/>
          <w:color w:val="0D0D0B"/>
          <w:sz w:val="20"/>
          <w:szCs w:val="20"/>
        </w:rPr>
        <w:t xml:space="preserve">Procurement team action. Map the AI system's evaluation criteria to the evaluation criteria specified in the tender documentation before deployment. Document the mapping and ensure the system does not introduce factors not disclosed to vendors. For the debriefing process, ensure the procurement team can explain the AI system's scoring to unsuccessful vendors in terms that are specific to the vendor's submission, not generic. The EIS-01 governance record provides the evidentiary foundation for this explanation; the procurement team must translate it into a vendor-facing debriefing. For government procurement, ensure the debriefing documentation is sufficient to respond to a formal bid protest or merit review.</w:t>
      </w:r>
    </w:p>
    <w:p>
      <w:pPr>
        <w:spacing w:before="260" w:after="60"/>
      </w:pPr>
      <w:r>
        <w:rPr>
          <w:rFonts w:ascii="Libre Baskerville" w:cs="Libre Baskerville" w:eastAsia="Libre Baskerville" w:hAnsi="Libre Baskerville"/>
          <w:b/>
          <w:bCs/>
          <w:color w:val="0D0D0B"/>
          <w:sz w:val="22"/>
          <w:szCs w:val="22"/>
        </w:rPr>
        <w:t xml:space="preserve">2.2 Transparency and Explainability</w:t>
      </w:r>
    </w:p>
    <w:p>
      <w:pPr>
        <w:spacing w:before="0" w:after="160"/>
      </w:pPr>
      <w:r>
        <w:rPr>
          <w:rFonts w:ascii="Libre Baskerville" w:cs="Libre Baskerville" w:eastAsia="Libre Baskerville" w:hAnsi="Libre Baskerville"/>
          <w:color w:val="0D0D0B"/>
          <w:sz w:val="20"/>
          <w:szCs w:val="20"/>
        </w:rPr>
        <w:t xml:space="preserve">Sector obligation. Procurement transparency obligations require that vendors understand how their submissions will be assessed. This obligation is satisfied pre-decision through the tender documentation (which must specify evaluation criteria, weightings, and methodology) and post-decision through the debriefing process. Where AI assists in evaluation, the transparency obligation extends to disclosing the AI system's role in the evaluation: that AI was used, what it assessed, and how its outputs were incorporated into the final evaluation. Most government procurement frameworks require disclosure of the evaluation methodology; the use of AI in evaluation may be a material element of that methodology that must be disclosed.</w:t>
      </w:r>
    </w:p>
    <w:p>
      <w:pPr>
        <w:spacing w:before="0" w:after="160"/>
      </w:pPr>
      <w:r>
        <w:rPr>
          <w:rFonts w:ascii="Libre Baskerville" w:cs="Libre Baskerville" w:eastAsia="Libre Baskerville" w:hAnsi="Libre Baskerville"/>
          <w:color w:val="0D0D0B"/>
          <w:sz w:val="20"/>
          <w:szCs w:val="20"/>
        </w:rPr>
        <w:t xml:space="preserve">What ARAF covers. EIS-01's reconstructability standard provides the institutional evidence foundation: the procurement team can recover the AI system's inputs, assessment logic, and outputs after the evaluation. This supports post-decision explanation (debriefing) but does not address pre-decision transparency (disclosure of AI use in the tender documentation).</w:t>
      </w:r>
    </w:p>
    <w:p>
      <w:pPr>
        <w:spacing w:before="0" w:after="160"/>
      </w:pPr>
      <w:r>
        <w:rPr>
          <w:rFonts w:ascii="Libre Baskerville" w:cs="Libre Baskerville" w:eastAsia="Libre Baskerville" w:hAnsi="Libre Baskerville"/>
          <w:color w:val="0D0D0B"/>
          <w:sz w:val="20"/>
          <w:szCs w:val="20"/>
        </w:rPr>
        <w:t xml:space="preserve">What ARAF does not cover. ARAF does not assess whether the tender documentation disclosed the AI system's role, whether the evaluation criteria the AI applied were transparent to vendors, or whether debriefing explanations were comprehensible to unsuccessful vendors.</w:t>
      </w:r>
    </w:p>
    <w:p>
      <w:pPr>
        <w:spacing w:before="0" w:after="240"/>
      </w:pPr>
      <w:r>
        <w:rPr>
          <w:rFonts w:ascii="Libre Baskerville" w:cs="Libre Baskerville" w:eastAsia="Libre Baskerville" w:hAnsi="Libre Baskerville"/>
          <w:color w:val="0D0D0B"/>
          <w:sz w:val="20"/>
          <w:szCs w:val="20"/>
        </w:rPr>
        <w:t xml:space="preserve">Procurement team action. Disclose the use of AI in vendor evaluation in the tender documentation. The disclosure should identify: that AI-assisted evaluation tools will be used; the role AI will play (scoring, ranking, shortlisting, or recommendation); and that the final decision will be made by a human procurement authority. Consider whether the AI system's evaluation criteria should be disclosed as part of the evaluation methodology (some frameworks require full disclosure; others permit methodological discretion). Ensure debriefings explain the AI system's contribution to the evaluation in terms the vendor can understand and, where relevant, use to improve future submissions.</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3: Obligations ARAF Does Not Assess</w:t>
      </w:r>
    </w:p>
    <w:p>
      <w:pPr>
        <w:spacing w:before="260" w:after="60"/>
      </w:pPr>
      <w:r>
        <w:rPr>
          <w:rFonts w:ascii="Libre Baskerville" w:cs="Libre Baskerville" w:eastAsia="Libre Baskerville" w:hAnsi="Libre Baskerville"/>
          <w:b/>
          <w:bCs/>
          <w:color w:val="0D0D0B"/>
          <w:sz w:val="22"/>
          <w:szCs w:val="22"/>
        </w:rPr>
        <w:t xml:space="preserve">3.1 Bias and Fair Treatment</w:t>
      </w:r>
    </w:p>
    <w:p>
      <w:pPr>
        <w:spacing w:before="0" w:after="160"/>
      </w:pPr>
      <w:r>
        <w:rPr>
          <w:rFonts w:ascii="Libre Baskerville" w:cs="Libre Baskerville" w:eastAsia="Libre Baskerville" w:hAnsi="Libre Baskerville"/>
          <w:color w:val="0D0D0B"/>
          <w:sz w:val="20"/>
          <w:szCs w:val="20"/>
        </w:rPr>
        <w:t xml:space="preserve">Sector obligation. Procurement decisions must not produce unfair or discriminatory outcomes. Anti-discrimination legislation applies to the provision of goods, services, and facilities in most jurisdictions, including commercial procurement relationships. In government procurement, the obligation extends further. Australian Government procurement policy supports supplier diversity, including engagement with Indigenous businesses through the Indigenous Procurement Policy (IPP) and Supplier Diversity Policy. The United States' Federal Acquisition Regulation contains extensive supplier diversity requirements, including small business set-asides and programs for disadvantaged business enterprises. The UK's Public Sector Equality Duty (s 149 Equality Act 2010) requires public authorities to have due regard to equality considerations in procurement decisions.</w:t>
      </w:r>
    </w:p>
    <w:p>
      <w:pPr>
        <w:spacing w:before="0" w:after="160"/>
      </w:pPr>
      <w:r>
        <w:rPr>
          <w:rFonts w:ascii="Libre Baskerville" w:cs="Libre Baskerville" w:eastAsia="Libre Baskerville" w:hAnsi="Libre Baskerville"/>
          <w:color w:val="0D0D0B"/>
          <w:sz w:val="20"/>
          <w:szCs w:val="20"/>
        </w:rPr>
        <w:t xml:space="preserve">AI systems used in vendor evaluation may exhibit bias in two forms. First, the system may reflect historical procurement patterns that systematically disadvantaged certain supplier categories (small businesses, Indigenous-owned enterprises, businesses owned by women or minority groups). A system trained on historical award data will learn these patterns and reproduce them. Second, the system may use evaluation factors that correlate with supplier characteristics protected by anti-discrimination or supplier diversity frameworks (geographic location correlating with ownership demographics; historical contract value correlating with business scale in ways that systematically disadvantage new entrants).</w:t>
      </w:r>
    </w:p>
    <w:p>
      <w:pPr>
        <w:spacing w:before="0" w:after="160"/>
      </w:pPr>
      <w:r>
        <w:rPr>
          <w:rFonts w:ascii="Libre Baskerville" w:cs="Libre Baskerville" w:eastAsia="Libre Baskerville" w:hAnsi="Libre Baskerville"/>
          <w:color w:val="0D0D0B"/>
          <w:sz w:val="20"/>
          <w:szCs w:val="20"/>
        </w:rPr>
        <w:t xml:space="preserve">What ARAF covers. Nothing directly. D2 assesses data provenance, not disparate impact on vendor populations.</w:t>
      </w:r>
    </w:p>
    <w:p>
      <w:pPr>
        <w:spacing w:before="0" w:after="160"/>
      </w:pPr>
      <w:r>
        <w:rPr>
          <w:rFonts w:ascii="Libre Baskerville" w:cs="Libre Baskerville" w:eastAsia="Libre Baskerville" w:hAnsi="Libre Baskerville"/>
          <w:color w:val="0D0D0B"/>
          <w:sz w:val="20"/>
          <w:szCs w:val="20"/>
        </w:rPr>
        <w:t xml:space="preserve">What this means. ARAF certification cannot be relied upon as evidence that the procurement AI system produces equitable outcomes across vendor categories. A procurement team that uses an AI system to evaluate vendors and relies on ARAF certification as its sole governance assurance may still face procurement challenge, supplier diversity compliance failures, or anti-discrimination complaints if the system's evaluations systematically disadvantage protected vendor categories.</w:t>
      </w:r>
    </w:p>
    <w:p>
      <w:pPr>
        <w:spacing w:before="0" w:after="240"/>
      </w:pPr>
      <w:r>
        <w:rPr>
          <w:rFonts w:ascii="Libre Baskerville" w:cs="Libre Baskerville" w:eastAsia="Libre Baskerville" w:hAnsi="Libre Baskerville"/>
          <w:color w:val="0D0D0B"/>
          <w:sz w:val="20"/>
          <w:szCs w:val="20"/>
        </w:rPr>
        <w:t xml:space="preserve">Procurement team action. Maintain, independently of ARAF governance, a procurement equity programme that includes: pre-deployment assessment of the AI system's training data for historical supplier selection patterns that may reflect past discrimination or structural disadvantage; ongoing monitoring of award distributions across supplier categories (small business, Indigenous-owned, women-owned, regional, new entrant) to detect systematic under-selection; mapping of evaluation factors to supplier diversity requirements to identify criteria that may function as proxies for supplier characteristics protected by diversity policy; and periodic independent review of award outcomes against the organisation's supplier diversity commitments. For Australian government procurement, assess the AI system's compatibility with the Indigenous Procurement Policy and Supplier Diversity Policy and document any adjustments made to ensure compliance.</w:t>
      </w:r>
    </w:p>
    <w:p>
      <w:pPr>
        <w:spacing w:before="260" w:after="60"/>
      </w:pPr>
      <w:r>
        <w:rPr>
          <w:rFonts w:ascii="Libre Baskerville" w:cs="Libre Baskerville" w:eastAsia="Libre Baskerville" w:hAnsi="Libre Baskerville"/>
          <w:b/>
          <w:bCs/>
          <w:color w:val="0D0D0B"/>
          <w:sz w:val="22"/>
          <w:szCs w:val="22"/>
        </w:rPr>
        <w:t xml:space="preserve">3.2 Reasonableness of the Decision</w:t>
      </w:r>
    </w:p>
    <w:p>
      <w:pPr>
        <w:spacing w:before="0" w:after="160"/>
      </w:pPr>
      <w:r>
        <w:rPr>
          <w:rFonts w:ascii="Libre Baskerville" w:cs="Libre Baskerville" w:eastAsia="Libre Baskerville" w:hAnsi="Libre Baskerville"/>
          <w:color w:val="0D0D0B"/>
          <w:sz w:val="20"/>
          <w:szCs w:val="20"/>
        </w:rPr>
        <w:t xml:space="preserve">Sector obligation. Procurement decisions must be consistent with the disclosed evaluation criteria and with the evidence in the vendor submissions. A procurement decision that cannot be explained by reference to the evaluation criteria, or that produces an award inconsistent with the comparative evaluation of vendor submissions, is vulnerable to challenge. In government procurement, the applicable procurement review body will examine whether the evaluation was conducted consistently with the tender documentation and whether the award decision was supported by the evaluation. In private procurement, an unsuccessful vendor may challenge a decision on the basis of breach of the implied terms of the tender process or breach of duty of good faith.</w:t>
      </w:r>
    </w:p>
    <w:p>
      <w:pPr>
        <w:spacing w:before="0" w:after="160"/>
      </w:pPr>
      <w:r>
        <w:rPr>
          <w:rFonts w:ascii="Libre Baskerville" w:cs="Libre Baskerville" w:eastAsia="Libre Baskerville" w:hAnsi="Libre Baskerville"/>
          <w:color w:val="0D0D0B"/>
          <w:sz w:val="20"/>
          <w:szCs w:val="20"/>
        </w:rPr>
        <w:t xml:space="preserve">What ARAF covers. Nothing directly. ARAF does not evaluate whether the AI system's evaluation outputs are substantively consistent with the evaluation criteria or with the content of the vendor submissions.</w:t>
      </w:r>
    </w:p>
    <w:p>
      <w:pPr>
        <w:spacing w:before="0" w:after="160"/>
      </w:pPr>
      <w:r>
        <w:rPr>
          <w:rFonts w:ascii="Libre Baskerville" w:cs="Libre Baskerville" w:eastAsia="Libre Baskerville" w:hAnsi="Libre Baskerville"/>
          <w:color w:val="0D0D0B"/>
          <w:sz w:val="20"/>
          <w:szCs w:val="20"/>
        </w:rPr>
        <w:t xml:space="preserve">What this means. An ARAF-certified procurement AI system may produce evaluation scores or rankings that are inconsistent with the disclosed criteria, that weight irrelevant factors, or that do not reflect the content of vendor submissions. ARAF certification does not protect the procurement team from a challenge that the evaluation was unreasonable or inconsistent with the tender process.</w:t>
      </w:r>
    </w:p>
    <w:p>
      <w:pPr>
        <w:spacing w:before="0" w:after="240"/>
      </w:pPr>
      <w:r>
        <w:rPr>
          <w:rFonts w:ascii="Libre Baskerville" w:cs="Libre Baskerville" w:eastAsia="Libre Baskerville" w:hAnsi="Libre Baskerville"/>
          <w:color w:val="0D0D0B"/>
          <w:sz w:val="20"/>
          <w:szCs w:val="20"/>
        </w:rPr>
        <w:t xml:space="preserve">Procurement team action. Pair ARAF governance infrastructure with substantive evaluation quality processes: a documented human review step in which the evaluation panel assesses whether the AI system's scores and rankings are consistent with the vendor submissions and the evaluation criteria, identifying and correcting anomalies before the award decision is finalised; periodic testing of evaluation consistency by comparing the AI system's scores against independent human evaluations of the same submissions to identify systematic divergences; and post-award review of evaluation outcomes to detect patterns of inconsistency (for example, the system consistently over-scoring or under-scoring submissions with particular characteristics). Where the human evaluation panel departs from the AI system's ranking, document the reasons. This record demonstrates that independent judgment was exercised and protects the procurement team in a bid protest or merit review.</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4: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Borders>
              <w:top w:val="single" w:color="A88644" w:sz="6"/>
              <w:left w:val="single" w:color="A88644" w:sz="6"/>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Legal Principle</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ARAF Dimension</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Coverage</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Procurement Team's Independent Obligation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Proper use of decision-making powers</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D1, GCI Authority Adherence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Addressed</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Map D1 to procurement delegation matrix. Document decision-maker's independent engagement. For government procurement: confirm AI role is consistent with probity framework and procurement rules.</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Ability to reconstruct the decision</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EIS-01, governance telemetry</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Addressed</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Integrate AI outputs into procurement file. Target Tier 1 evidence for decisions above materiality threshold. Ensure file supports bid protest or merit review.</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Reliability of evidence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D2, Decision Supply Chain Data Inputs</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Addressed</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Map D2 to procurement data sources. Document provenance of third-party data. Implement validation for incomplete evaluation data. Limit inputs to disclosed evaluation criteria for government procurement.</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Procedural fairness</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D1 (partial), EIS-01 (partial)</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Partially supported</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Map AI evaluation criteria to tender documentation. Ensure debriefings explain AI scoring in vendor-specific terms. For government procurement: ensure file supports formal bid protest response.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Transparency and explainability</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EIS-01 (partial)</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Partially supported</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Disclose AI use in tender documentation. Explain AI contribution to evaluation in debriefings. Consider whether evaluation methodology requires disclosure of AI criteria.</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Bias and fair treatment</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None</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Not assessed</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Maintain procurement equity programme: historical pattern assessment, award distribution monitoring, supplier diversity compliance, proxy factor analysis. Assess compatibility with Indigenous Procurement Policy and equivalent frameworks.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Reasonableness of the decision</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None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 Not assessed</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Maintain evaluation consistency review: human panel check of AI scores against submissions, periodic consistency testing, post-award outcome review, documentation of departures from AI ranking.</w:t>
            </w:r>
          </w:p>
        </w:tc>
      </w:tr>
    </w:tbl>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5: ARAF as a Procurement Condition for AI Vendors</w:t>
      </w:r>
    </w:p>
    <w:p>
      <w:pPr>
        <w:spacing w:before="0" w:after="160"/>
      </w:pPr>
      <w:r>
        <w:rPr>
          <w:rFonts w:ascii="Libre Baskerville" w:cs="Libre Baskerville" w:eastAsia="Libre Baskerville" w:hAnsi="Libre Baskerville"/>
          <w:color w:val="0D0D0B"/>
          <w:sz w:val="20"/>
          <w:szCs w:val="20"/>
        </w:rPr>
        <w:t xml:space="preserve">The second context this crosswalk addresses is procurement teams evaluating AI vendors and requiring governance certification as a vendor qualification condition. This is the context in which ARAF has the most direct procurement value: a governance signal that enterprise buyers can specify, vendors can pursue to preserve market access, and procurement teams can assess alongside SOC 2 and ISO 27001.</w:t>
      </w:r>
    </w:p>
    <w:p>
      <w:pPr>
        <w:spacing w:before="0" w:after="160"/>
      </w:pPr>
      <w:r>
        <w:rPr>
          <w:rFonts w:ascii="Libre Baskerville" w:cs="Libre Baskerville" w:eastAsia="Libre Baskerville" w:hAnsi="Libre Baskerville"/>
          <w:color w:val="0D0D0B"/>
          <w:sz w:val="20"/>
          <w:szCs w:val="20"/>
        </w:rPr>
        <w:t xml:space="preserve">The dynamics parallel the SOC 2 precedent precisely. Before SOC 2 became a standard procurement condition for cloud vendors, enterprise buyers conducted their own security assessments for each vendor engagement, repeating the same diligence across thousands of vendors. Once SOC 2 became a market standard, vendors pursued certification proactively to avoid losing procurement opportunities, buyers specified it as a condition rather than conducting bespoke assessments, and the standardised signal reduced friction across the entire market. ARAF operates at the governance layer as SOC 2 operates at the security layer.</w:t>
      </w:r>
    </w:p>
    <w:p>
      <w:pPr>
        <w:spacing w:before="0" w:after="160"/>
      </w:pPr>
      <w:r>
        <w:rPr>
          <w:rFonts w:ascii="Libre Baskerville" w:cs="Libre Baskerville" w:eastAsia="Libre Baskerville" w:hAnsi="Libre Baskerville"/>
          <w:color w:val="0D0D0B"/>
          <w:sz w:val="20"/>
          <w:szCs w:val="20"/>
        </w:rPr>
        <w:t xml:space="preserve">Procurement condition language. The following language can be incorporated into vendor qualification requirements, request for proposal documentation, and vendor agreement terms for AI system procurements:</w:t>
      </w:r>
    </w:p>
    <w:p>
      <w:pPr>
        <w:spacing w:before="80" w:after="80"/>
        <w:ind w:left="600" w:right="600"/>
      </w:pPr>
      <w:r>
        <w:rPr>
          <w:rFonts w:ascii="DM Mono" w:cs="DM Mono" w:eastAsia="DM Mono" w:hAnsi="DM Mono"/>
          <w:color w:val="0D0D0B"/>
          <w:sz w:val="17"/>
          <w:szCs w:val="17"/>
        </w:rPr>
        <w:t xml:space="preserve">"AI vendors deploying systems that produce or materially contribute to consequential organisational decisions must provide a current ARAF assessment report with a GBI score at or below 2.50 (ARAF Compliant) conducted by an assessor accredited by the Institute for Autonomous Governance. The assessment report, dimensional profile, GCI status, and evidence tier classification must be provided at tender submission or contract commencement, and at each annual renewal. Material changes to the GBI score, certification status, or dimensional profile must be notified to the buyer within the canonical 60-day notification period. Vendors unable to provide a current assessment may be required to undergo assessment as a condition of contract award or commencement, with assessment costs allocated as agreed in the procurement terms."</w:t>
      </w:r>
    </w:p>
    <w:p>
      <w:pPr>
        <w:spacing w:before="0" w:after="160"/>
      </w:pPr>
      <w:r>
        <w:rPr>
          <w:rFonts w:ascii="Libre Baskerville" w:cs="Libre Baskerville" w:eastAsia="Libre Baskerville" w:hAnsi="Libre Baskerville"/>
          <w:color w:val="0D0D0B"/>
          <w:sz w:val="20"/>
          <w:szCs w:val="20"/>
        </w:rPr>
        <w:t xml:space="preserve">This language: specifies the governance standard (ARAF Compliant); defines the scope (consequential decision systems, not all AI tools); requires independent assessment (accredited assessor); establishes ongoing obligations (renewal, notification); and creates a practical mechanism for governance assurance without requiring the buyer to conduct bespoke diligence for each vendor engagement.</w:t>
      </w:r>
    </w:p>
    <w:p>
      <w:pPr>
        <w:spacing w:before="0" w:after="160"/>
      </w:pPr>
      <w:r>
        <w:rPr>
          <w:rFonts w:ascii="Libre Baskerville" w:cs="Libre Baskerville" w:eastAsia="Libre Baskerville" w:hAnsi="Libre Baskerville"/>
          <w:color w:val="0D0D0B"/>
          <w:sz w:val="20"/>
          <w:szCs w:val="20"/>
        </w:rPr>
        <w:t xml:space="preserve">Mapping to existing procurement requirements. The ARAF assessment report complements rather than replaces existing vendor assurance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Borders>
              <w:top w:val="single" w:color="A88644" w:sz="6"/>
              <w:left w:val="single" w:color="A88644" w:sz="6"/>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Existing Requirement</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What It Covers</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What ARAF Adds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SOC 2 Type II</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Operational controls (security, availability, processing integrity, confidentiality, privacy)</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Governance architecture for the decision system: who authorised it, what authority it has, whether oversight operates, whether the decision chain is reconstructable</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ISO 27001</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Information security management system</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Governance architecture for autonomous action consequences, liability allocation, and commercial dependency (D4, D3, D5) — not addressed by ISO 27001</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ISO 42001</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AI management system</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Operational evidence that governance controls are exercised (GCI) and dimensional governance posture assessment; ISO 42001 addresses management system design, ARAF addresses decision system governance adequacy</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Vendor security questionnaire</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Bespoke security and operational risk questions</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Standardised, independently assessed governance signal that replaces or supplements bespoke governance diligence across multiple vendor engagements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Financial and legal due diligence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Financial stability, contract terms, liability, insurance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D3 (Contract Infrastructure) and D4 (Liability Architecture) assessments directly supplement contract and liability diligence; D5 (Commercial Leverage) identifies lock-in and exit risk</w:t>
            </w:r>
          </w:p>
        </w:tc>
      </w:tr>
    </w:tbl>
    <w:p>
      <w:pPr>
        <w:spacing w:before="0" w:after="240"/>
      </w:pPr>
      <w:r>
        <w:rPr>
          <w:rFonts w:ascii="Libre Baskerville" w:cs="Libre Baskerville" w:eastAsia="Libre Baskerville" w:hAnsi="Libre Baskerville"/>
          <w:color w:val="0D0D0B"/>
          <w:sz w:val="20"/>
          <w:szCs w:val="20"/>
        </w:rPr>
        <w:t xml:space="preserve">For each dimension of the ARAF assessment, procurement teams can use the dimensional profile to target their remaining due diligence on deployment-specific conditions (their data environment, authority boundaries, and liability requirements) rather than reconstructing the vendor's governance architecture from scratch.</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6: Litigation Defensibility</w:t>
      </w:r>
    </w:p>
    <w:p>
      <w:pPr>
        <w:spacing w:before="0" w:after="160"/>
      </w:pPr>
      <w:r>
        <w:rPr>
          <w:rFonts w:ascii="Libre Baskerville" w:cs="Libre Baskerville" w:eastAsia="Libre Baskerville" w:hAnsi="Libre Baskerville"/>
          <w:color w:val="0D0D0B"/>
          <w:sz w:val="20"/>
          <w:szCs w:val="20"/>
        </w:rPr>
        <w:t xml:space="preserve">Procurement decisions are challenged through bid protests, merit review, contract disputes, and (in government contexts) ombudsman and audit office investigation. The standard of scrutiny varies by jurisdiction and procurement type but consistently focuses on three questions that mirror the litigation test identified in the whitepaper: can the decision be explained, was the evaluation reasonable and consistent with the disclosed criteria, and was the process fair.</w:t>
      </w:r>
    </w:p>
    <w:p>
      <w:pPr>
        <w:spacing w:before="0" w:after="160"/>
      </w:pPr>
      <w:r>
        <w:rPr>
          <w:rFonts w:ascii="Libre Baskerville" w:cs="Libre Baskerville" w:eastAsia="Libre Baskerville" w:hAnsi="Libre Baskerville"/>
          <w:color w:val="0D0D0B"/>
          <w:sz w:val="20"/>
          <w:szCs w:val="20"/>
        </w:rPr>
        <w:t xml:space="preserve">ARAF's value in procurement disputes. The governance evidence record ARAF produces provides the procurement team with contemporaneous documentation of the governance conditions under which the AI-assisted evaluation operated. In a bid protest, this record can demonstrate that the AI system applied defined evaluation criteria within defined authority boundaries, that human decision-maker oversight operated, and that the evaluation chain is reconstructable. The whitepaper's key principle applies: "Building governance infrastructure before deployment is governance. Reconstructing it afterwards is litigation."</w:t>
      </w:r>
    </w:p>
    <w:p>
      <w:pPr>
        <w:spacing w:before="0" w:after="160"/>
      </w:pPr>
      <w:r>
        <w:rPr>
          <w:rFonts w:ascii="Libre Baskerville" w:cs="Libre Baskerville" w:eastAsia="Libre Baskerville" w:hAnsi="Libre Baskerville"/>
          <w:color w:val="0D0D0B"/>
          <w:sz w:val="20"/>
          <w:szCs w:val="20"/>
        </w:rPr>
        <w:t xml:space="preserve">What ARAF does not provide for procurement disputes. ARAF does not provide evidence that the evaluation was consistent with the tender documentation, that the criteria the AI system applied matched those disclosed to vendors, or that the evaluation outcome was reasonable. These are the elements that reviewing bodies will examine, and the procurement team must evidence them through the procurement file and evaluation records.</w:t>
      </w:r>
    </w:p>
    <w:p>
      <w:pPr>
        <w:spacing w:before="0" w:after="160"/>
      </w:pPr>
      <w:r>
        <w:rPr>
          <w:rFonts w:ascii="Libre Baskerville" w:cs="Libre Baskerville" w:eastAsia="Libre Baskerville" w:hAnsi="Libre Baskerville"/>
          <w:color w:val="0D0D0B"/>
          <w:sz w:val="20"/>
          <w:szCs w:val="20"/>
        </w:rPr>
        <w:t xml:space="preserve">The strongest procurement dispute position combines both: ARAF governance evidence demonstrating that the evaluation system was governed at the institutional level (who authorised it, whether oversight operated, whether the evaluation chain is reconstructable), paired with procurement file evidence demonstrating that the individual evaluation was consistent with the disclosed criteria, applied fairly across all vendors, and reached by a human decision-maker who exercised independent judgment.</w:t>
      </w:r>
    </w:p>
    <w:p>
      <w:pPr>
        <w:spacing w:before="100" w:after="60"/>
      </w:pPr>
      <w:r>
        <w:rPr>
          <w:rFonts w:ascii="Libre Baskerville" w:cs="Libre Baskerville" w:eastAsia="Libre Baskerville" w:hAnsi="Libre Baskerville"/>
          <w:b/>
          <w:bCs/>
          <w:color w:val="0D0D0B"/>
          <w:sz w:val="20"/>
          <w:szCs w:val="20"/>
        </w:rPr>
        <w:t xml:space="preserve">Global judicial context.</w:t>
      </w:r>
    </w:p>
    <w:p>
      <w:pPr>
        <w:spacing w:before="0" w:after="240"/>
      </w:pPr>
      <w:r>
        <w:rPr>
          <w:rFonts w:ascii="Libre Baskerville" w:cs="Libre Baskerville" w:eastAsia="Libre Baskerville" w:hAnsi="Libre Baskerville"/>
          <w:color w:val="0D0D0B"/>
          <w:sz w:val="20"/>
          <w:szCs w:val="20"/>
        </w:rPr>
        <w:t xml:space="preserve">The judicial AI governance frameworks converging globally (detailed in the whitepaper, Section VIII) establish accountability expectations that apply when AI-assisted procurement decisions are challenged in court. The principle that the human decision-maker retains full accountability for decisions informed by AI outputs applies to procurement decisions as it applies to any other consequential institutional decision. Procurement review bodies will increasingly expect disclosure of AI use in evaluation processes, consistent with the transparency obligations judicial frameworks are establishing for AI use in court proceedings. Procurement teams should treat judicial expectations as a leading indicator of the scrutiny their AI-assisted evaluations will face in formal review processes.</w:t>
      </w:r>
    </w:p>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7: Gap Severity Summary</w:t>
      </w:r>
    </w:p>
    <w:p>
      <w:pPr>
        <w:spacing w:before="0" w:after="160"/>
      </w:pPr>
      <w:r>
        <w:rPr>
          <w:rFonts w:ascii="Libre Baskerville" w:cs="Libre Baskerville" w:eastAsia="Libre Baskerville" w:hAnsi="Libre Baskerville"/>
          <w:color w:val="0D0D0B"/>
          <w:sz w:val="20"/>
          <w:szCs w:val="20"/>
        </w:rPr>
        <w:t xml:space="preserve">Procurement has the lowest overall gap intensity of any sector covered by the ARAF Institutional Crosswalk Series. The table below summarises gap severity and the primary reason for each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Borders>
              <w:top w:val="single" w:color="A88644" w:sz="6"/>
              <w:left w:val="single" w:color="A88644" w:sz="6"/>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Gap</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Severity for Procurement</w:t>
            </w:r>
          </w:p>
        </w:tc>
        <w:tc>
          <w:tcPr>
            <w:tcBorders>
              <w:top w:val="single" w:color="A88644" w:sz="6"/>
              <w:left w:val="single" w:color="CCCCCC" w:sz="4"/>
              <w:bottom w:val="single" w:color="A88644" w:sz="6"/>
              <w:right w:val="single" w:color="CCCCCC" w:sz="4"/>
            </w:tcBorders>
            <w:shd w:fill="A88644" w:val="clear"/>
            <w:tcMar>
              <w:top w:type="dxa" w:w="80"/>
              <w:left w:type="dxa" w:w="120"/>
              <w:bottom w:type="dxa" w:w="80"/>
              <w:right w:type="dxa" w:w="120"/>
            </w:tcMar>
            <w:vAlign w:val="top"/>
          </w:tcPr>
          <w:p>
            <w:pPr>
              <w:spacing w:after="0"/>
            </w:pPr>
            <w:r>
              <w:rPr>
                <w:rFonts w:ascii="Libre Baskerville" w:cs="Libre Baskerville" w:eastAsia="Libre Baskerville" w:hAnsi="Libre Baskerville"/>
                <w:b/>
                <w:bCs/>
                <w:color w:val="FFFFFF"/>
                <w:sz w:val="18"/>
                <w:szCs w:val="18"/>
              </w:rPr>
              <w:t xml:space="preserve">Why</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Proper delegation</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Low</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Procurement delegation matrices are well-established in most organisations. D1 maps directly to existing procurement authority frameworks. The governance gap is typically smaller than in other sectors because authority limits are already documented.</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Reconstructability</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Low</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Procurement audit trail requirements are standard and well-understood. EIS-01 aligns well with existing procurement file documentation obligations. The main addition is ensuring AI system outputs are integrated into the procurement file rather than maintained separately.</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Evidence reliability</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Low</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Procurement data quality expectations are established. D2 maps to vendor data governance with minimal sector-specific addition beyond ensuring inputs are limited to disclosed evaluation criteria in government procurement.</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Procedural fairness</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Moderate</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The fairness obligation in procurement is process-level (consistent application of disclosed criteria) rather than individual-rights-level (right to be heard before an adverse decision). AI introduces the risk of undisclosed evaluation factors. The gap is manageable through criteria mapping and transparent tender documentation.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Transparency and explainability</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Moderate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Procurement transparency obligations require disclosure of evaluation methodology. AI use in evaluation is a material element of methodology. The gap is addressed by proactive disclosure in tender documentation and vendor-specific debriefing.</w:t>
            </w:r>
          </w:p>
        </w:tc>
      </w:tr>
      <w:tr>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Bias and fair treatment</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Moderate</w:t>
            </w:r>
          </w:p>
        </w:tc>
        <w:tc>
          <w:tcPr>
            <w:gridSpan w:val="1"/>
            <w:tcBorders>
              <w:top w:val="single" w:color="CCCCCC" w:sz="4"/>
              <w:left w:val="single" w:color="CCCCCC" w:sz="4"/>
              <w:bottom w:val="single" w:color="CCCCCC" w:sz="4"/>
              <w:right w:val="single" w:color="CCCCCC" w:sz="4"/>
            </w:tcBorders>
            <w:shd w:fill="F3EDE0"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Supplier diversity requirements and anti-discrimination obligations apply. The historical pattern problem (AI trained on awards data that reflects past discrimination) is real but less acute than in financial services or healthcare because procurement datasets are smaller and more transparent. The Indigenous Procurement Policy and equivalent frameworks create specific compliance obligations for Australian government procurement.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Reasonableness</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Moderate</w:t>
            </w:r>
          </w:p>
        </w:tc>
        <w:tc>
          <w:tcPr>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Libre Baskerville" w:cs="Libre Baskerville" w:eastAsia="Libre Baskerville" w:hAnsi="Libre Baskerville"/>
                <w:b w:val="false"/>
                <w:bCs w:val="false"/>
                <w:i w:val="false"/>
                <w:iCs w:val="false"/>
                <w:color w:val="0D0D0B"/>
                <w:sz w:val="17"/>
                <w:szCs w:val="17"/>
              </w:rPr>
              <w:t xml:space="preserve">Procurement reasonableness is evaluated against the disclosed criteria, which are typically more explicit than the reasonableness standards in other sectors. The gap is addressed by human panel review of AI scores before award and documentation of departures from AI ranking.</w:t>
            </w:r>
          </w:p>
        </w:tc>
      </w:tr>
    </w:tbl>
    <w:p>
      <w:pPr>
        <w:pBdr>
          <w:bottom w:val="single" w:color="A88644" w:sz="6" w:space="1"/>
        </w:pBdr>
        <w:spacing w:before="280" w:after="280"/>
      </w:pPr>
    </w:p>
    <w:p>
      <w:pPr>
        <w:spacing w:before="320" w:after="100"/>
      </w:pPr>
      <w:r>
        <w:rPr>
          <w:rFonts w:ascii="Libre Baskerville" w:cs="Libre Baskerville" w:eastAsia="Libre Baskerville" w:hAnsi="Libre Baskerville"/>
          <w:b/>
          <w:bCs/>
          <w:color w:val="0D0D0B"/>
          <w:sz w:val="28"/>
          <w:szCs w:val="28"/>
        </w:rPr>
        <w:t xml:space="preserve">Section 8: Relationship Between ARAF Certification and Procurement Compliance</w:t>
      </w:r>
    </w:p>
    <w:p>
      <w:pPr>
        <w:spacing w:before="0" w:after="160"/>
      </w:pPr>
      <w:r>
        <w:rPr>
          <w:rFonts w:ascii="Libre Baskerville" w:cs="Libre Baskerville" w:eastAsia="Libre Baskerville" w:hAnsi="Libre Baskerville"/>
          <w:color w:val="0D0D0B"/>
          <w:sz w:val="20"/>
          <w:szCs w:val="20"/>
        </w:rPr>
        <w:t xml:space="preserve">ARAF certification and procurement compliance operate at different layers. ARAF certifies that the governance architecture of the AI-assisted evaluation system satisfies institutional reliance standards. Procurement compliance requires that the evaluation itself was consistent with the disclosed criteria, applied fairly, and reached by a human decision-maker exercising independent authority.</w:t>
      </w:r>
    </w:p>
    <w:p>
      <w:pPr>
        <w:spacing w:before="0" w:after="160"/>
      </w:pPr>
      <w:r>
        <w:rPr>
          <w:rFonts w:ascii="Libre Baskerville" w:cs="Libre Baskerville" w:eastAsia="Libre Baskerville" w:hAnsi="Libre Baskerville"/>
          <w:color w:val="0D0D0B"/>
          <w:sz w:val="20"/>
          <w:szCs w:val="20"/>
        </w:rPr>
        <w:t xml:space="preserve">The compliance programme a procurement team should build treats ARAF governance infrastructure as the institutional accountability layer (who authorised the system, whether oversight operated, whether the evaluation chain is reconstructable) and the seven legal principles in this crosswalk as the process-level obligations that must be satisfied at the individual evaluation level.</w:t>
      </w:r>
    </w:p>
    <w:p>
      <w:pPr>
        <w:spacing w:before="0" w:after="160"/>
      </w:pPr>
      <w:r>
        <w:rPr>
          <w:rFonts w:ascii="Libre Baskerville" w:cs="Libre Baskerville" w:eastAsia="Libre Baskerville" w:hAnsi="Libre Baskerville"/>
          <w:color w:val="0D0D0B"/>
          <w:sz w:val="20"/>
          <w:szCs w:val="20"/>
        </w:rPr>
        <w:t xml:space="preserve">For AI vendor procurement, ARAF certification is the governance signal that procurement teams can require, assess, and rely upon as a standardised baseline. It does not replace deployment-specific diligence on the vendor's system in the buyer's specific operational context, but it eliminates the need to reconstruct the vendor's governance architecture from first principles for each engagement. That elimination of redundant diligence burden is the procurement value of a market-standard governance certification.</w:t>
      </w:r>
    </w:p>
    <w:p>
      <w:pPr>
        <w:pBdr>
          <w:top w:val="single" w:color="CCCCCC" w:sz="4" w:space="1"/>
        </w:pBdr>
        <w:spacing w:before="320" w:after="80"/>
      </w:pPr>
      <w:r>
        <w:rPr>
          <w:rFonts w:ascii="DM Mono" w:cs="DM Mono" w:eastAsia="DM Mono" w:hAnsi="DM Mono"/>
          <w:color w:val="888888"/>
          <w:sz w:val="14"/>
          <w:szCs w:val="14"/>
        </w:rPr>
        <w:t xml:space="preserve">Martin, Carly. Agentic Risk Architecture Framework (ARAF), Version 2.1. Institute for Autonomous Governance Pty Ltd, 2026.  |  araf-standard.org  |  carlymartin@araf-standard.org</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color w:val="0D0D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2026-03-15T10:51:14.634Z</dcterms:created>
  <dcterms:modified xsi:type="dcterms:W3CDTF">2026-03-15T10:51:14.635Z</dcterms:modified>
</cp:coreProperties>
</file>

<file path=docProps/custom.xml><?xml version="1.0" encoding="utf-8"?>
<Properties xmlns="http://schemas.openxmlformats.org/officeDocument/2006/custom-properties" xmlns:vt="http://schemas.openxmlformats.org/officeDocument/2006/docPropsVTypes"/>
</file>