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Courier New" w:cs="Courier New" w:eastAsia="Courier New" w:hAnsi="Courier New"/>
          <w:caps/>
          <w:color w:val="A88644"/>
          <w:sz w:val="18"/>
          <w:szCs w:val="18"/>
        </w:rPr>
        <w:t xml:space="preserve">INSTITUTE FOR AUTONOMOUS GOVERNANCE</w:t>
      </w:r>
    </w:p>
    <w:p>
      <w:pPr>
        <w:spacing w:before="0" w:after="80"/>
      </w:pPr>
      <w:r>
        <w:rPr>
          <w:rFonts w:ascii="Georgia" w:cs="Georgia" w:eastAsia="Georgia" w:hAnsi="Georgia"/>
          <w:b/>
          <w:bCs/>
          <w:color w:val="0D0D0B"/>
          <w:sz w:val="52"/>
          <w:szCs w:val="52"/>
        </w:rPr>
        <w:t xml:space="preserve">Decision Infrastructure Governance:</w:t>
      </w:r>
    </w:p>
    <w:p>
      <w:pPr>
        <w:spacing w:before="0" w:after="560"/>
      </w:pPr>
      <w:r>
        <w:rPr>
          <w:rFonts w:ascii="Georgia" w:cs="Georgia" w:eastAsia="Georgia" w:hAnsi="Georgia"/>
          <w:color w:val="3A3A35"/>
          <w:sz w:val="36"/>
          <w:szCs w:val="36"/>
        </w:rPr>
        <w:t xml:space="preserve">The Institutional Case for Trust Architecture</w:t>
      </w:r>
    </w:p>
    <w:p>
      <w:pPr>
        <w:pBdr>
          <w:bottom w:val="single" w:color="D4D0C8" w:sz="2" w:space="1"/>
        </w:pBdr>
        <w:spacing w:before="240" w:after="240"/>
      </w:pPr>
    </w:p>
    <w:p>
      <w:pPr>
        <w:spacing w:before="320" w:after="80"/>
      </w:pPr>
      <w:r>
        <w:rPr>
          <w:rFonts w:ascii="Georgia" w:cs="Georgia" w:eastAsia="Georgia" w:hAnsi="Georgia"/>
          <w:b/>
          <w:bCs/>
          <w:color w:val="0D0D0B"/>
          <w:sz w:val="24"/>
          <w:szCs w:val="24"/>
        </w:rPr>
        <w:t xml:space="preserve">Carly Martin</w:t>
      </w:r>
    </w:p>
    <w:p>
      <w:pPr>
        <w:spacing w:before="0" w:after="60"/>
      </w:pPr>
      <w:r>
        <w:rPr>
          <w:rFonts w:ascii="Courier New" w:cs="Courier New" w:eastAsia="Courier New" w:hAnsi="Courier New"/>
          <w:color w:val="7A7A72"/>
          <w:sz w:val="18"/>
          <w:szCs w:val="18"/>
        </w:rPr>
        <w:t xml:space="preserve">Founder, Institute for Autonomous Governance Pty Ltd</w:t>
      </w:r>
    </w:p>
    <w:p>
      <w:pPr>
        <w:spacing w:before="0" w:after="240"/>
      </w:pPr>
      <w:r>
        <w:rPr>
          <w:rFonts w:ascii="Courier New" w:cs="Courier New" w:eastAsia="Courier New" w:hAnsi="Courier New"/>
          <w:i/>
          <w:iCs/>
          <w:color w:val="7A7A72"/>
          <w:sz w:val="18"/>
          <w:szCs w:val="18"/>
        </w:rPr>
        <w:t xml:space="preserve">Author, Trust Architecture: Making Autonomous Systems Bankable (forthcoming)</w:t>
      </w:r>
    </w:p>
    <w:p>
      <w:pPr>
        <w:spacing w:before="0" w:after="60"/>
      </w:pPr>
      <w:r>
        <w:rPr>
          <w:rFonts w:ascii="Courier New" w:cs="Courier New" w:eastAsia="Courier New" w:hAnsi="Courier New"/>
          <w:color w:val="7A7A72"/>
          <w:sz w:val="17"/>
          <w:szCs w:val="17"/>
        </w:rPr>
        <w:t xml:space="preserve">© 2026 Institute for Autonomous Governance Pty Ltd (ACN 696 112 277). All rights reserved.</w:t>
      </w:r>
    </w:p>
    <w:p>
      <w:pPr>
        <w:spacing w:before="0" w:after="0"/>
      </w:pPr>
      <w:r>
        <w:rPr>
          <w:rFonts w:ascii="Courier New" w:cs="Courier New" w:eastAsia="Courier New" w:hAnsi="Courier New"/>
          <w:color w:val="A88644"/>
          <w:sz w:val="17"/>
          <w:szCs w:val="17"/>
        </w:rPr>
        <w:t xml:space="preserve">araf-standard.org · carlymartin@araf-standard.org</w:t>
      </w:r>
    </w:p>
    <w:p>
      <w:r>
        <w:br w:type="page"/>
      </w:r>
    </w:p>
    <w:p>
      <w:pPr>
        <w:pBdr>
          <w:bottom w:val="single" w:color="A88644" w:sz="4" w:space="6"/>
        </w:pBdr>
        <w:spacing w:before="480" w:after="200"/>
      </w:pPr>
      <w:r>
        <w:rPr>
          <w:rFonts w:ascii="Georgia" w:cs="Georgia" w:eastAsia="Georgia" w:hAnsi="Georgia"/>
          <w:b/>
          <w:bCs/>
          <w:color w:val="0D0D0B"/>
          <w:sz w:val="36"/>
          <w:szCs w:val="36"/>
        </w:rPr>
        <w:t xml:space="preserve">Executive Summary</w:t>
      </w:r>
    </w:p>
    <w:p>
      <w:pPr>
        <w:spacing w:before="240" w:after="120"/>
      </w:pPr>
      <w:r>
        <w:rPr>
          <w:rFonts w:ascii="Courier New" w:cs="Courier New" w:eastAsia="Courier New" w:hAnsi="Courier New"/>
          <w:b/>
          <w:bCs/>
          <w:caps/>
          <w:color w:val="A88644"/>
          <w:sz w:val="22"/>
          <w:szCs w:val="22"/>
        </w:rPr>
        <w:t xml:space="preserve">Four Propositions</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This paper advances four propositions. First, the governance test that courts and regulators apply to consequential decisions — who was responsible, what did they know, what did they do — cannot be satisfied by organisations whose autonomous systems produce decisions through distributed infrastructure that no governance framework currently governs.</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Second, the decision system layer between model-level assessments and organisational management systems is ungoverned by any widely adopted framework: this is the classification gap. Third, the absence of governance architecture at this layer produces a threshold problem: autonomous systems cannot be classified, measured, governed, or insured at the institutional scale that markets require.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Fourth, Trust Architecture, operationalised through the Agentic Risk Architecture Framework (ARAF), is the governance infrastructure that closes this gap.</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paper is addressed to institutional actors (boards, insurers, investors, regulators, and enterprise procurement functions) who must make decisions about autonomous systems they did not build and cannot assess through existing means. It argues that the governance infrastructure required for institutions to rely on autonomous systems does not yet exist in the form that institutional reliance requires; and that building it is an economic and legal imperative, not an ethical preference.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Agentic Risk Architecture Framework (ARAF) is published by the Institute for Autonomous Governance Pty Ltd and available in full at araf-standard.org.</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I	</w:t>
      </w:r>
      <w:r>
        <w:rPr>
          <w:rFonts w:ascii="Georgia" w:cs="Georgia" w:eastAsia="Georgia" w:hAnsi="Georgia"/>
          <w:b/>
          <w:bCs/>
          <w:color w:val="0D0D0B"/>
          <w:sz w:val="36"/>
          <w:szCs w:val="36"/>
        </w:rPr>
        <w:t xml:space="preserve">The Accountability Test</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Corporate governance ultimately reduces to a simple test. When a consequential decision produces harm, institutions must be able to answer three questions: who was responsible, what did they know, and what did they do.</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On 5 March 2026, Justice Michael Lee of the Federal Court of Australia applied exactly that test in ASIC v Bekier [2026] FCA 196, civil penalty proceedings against eleven executives and directors of a major listed entertainment group. Two officers were found to have breached their statutory duty of care under section 180(1) of the Corporations Act 2001 (Cth): the CEO, on four of seven alleged contraventions, and the General Counsel, on all three. Seven non-executive directors were found not liable; the Court held that management had not surfaced the risk information that would have triggered a duty to inquire further.</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judgment's significance was not in its outcome. It was in what it found: governance structures that existed on paper, risk information that had reached the board, and directors who still could not answer the three questions persuasively under cross-examination.</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Justice Lee made one further observation directly relevant to the governance of autonomous systems. In addressing an argument that voluminous board materials made substantive engagement impractical, the Court noted that while artificial intelligence "may assist comprehension, it cannot displace judgment. The statutory obligation imposed by s 180(1) remains personal, and it requires informed human judgment."</w:t>
      </w:r>
    </w:p>
    <w:p>
      <w:pPr>
        <w:pBdr>
          <w:left w:val="single" w:color="A88644" w:sz="12" w:space="12"/>
        </w:pBdr>
        <w:spacing w:before="160" w:after="160"/>
        <w:ind w:left="720" w:right="720"/>
      </w:pPr>
      <w:r>
        <w:rPr>
          <w:rFonts w:ascii="Georgia" w:cs="Georgia" w:eastAsia="Georgia" w:hAnsi="Georgia"/>
          <w:i/>
          <w:iCs/>
          <w:color w:val="3A3A35"/>
          <w:sz w:val="20"/>
          <w:szCs w:val="20"/>
        </w:rPr>
        <w:t xml:space="preserve">The governance infrastructure this paper describes is designed to produce the information that informed human judgment requires, not to replace the judgment itself.</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three questions (who was responsible, what did they know, what did they do) are a synthesis of the principles established across this line of authority: Healey's requirement for substantive engagement, Cassimatis's requirement for independent verification, and Bekier's application of both to governance structures that existed but could not be activated. This paper refers to them as the institutional accountability test. They are governance questions, not questions of technology or jurisdiction.</w:t>
      </w:r>
    </w:p>
    <w:p>
      <w:pPr>
        <w:spacing w:before="240" w:after="120"/>
      </w:pPr>
      <w:r>
        <w:rPr>
          <w:rFonts w:ascii="Courier New" w:cs="Courier New" w:eastAsia="Courier New" w:hAnsi="Courier New"/>
          <w:b/>
          <w:bCs/>
          <w:caps/>
          <w:color w:val="A88644"/>
          <w:sz w:val="22"/>
          <w:szCs w:val="22"/>
        </w:rPr>
        <w:t xml:space="preserve">The Stakes</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ASIC v Bekier concerned a conventional, human-governed organisation. The governance failure it identified — structures on paper, judgment not exercised — is the default condition of autonomous system governance in most organisations today.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Boards are receiving management assurances that AI systems are performing well. They are not receiving governance information that would allow them to verify those assurances independently, apply judgment to what the information discloses, and act on what they find.</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II	</w:t>
      </w:r>
      <w:r>
        <w:rPr>
          <w:rFonts w:ascii="Georgia" w:cs="Georgia" w:eastAsia="Georgia" w:hAnsi="Georgia"/>
          <w:b/>
          <w:bCs/>
          <w:color w:val="0D0D0B"/>
          <w:sz w:val="36"/>
          <w:szCs w:val="36"/>
        </w:rPr>
        <w:t xml:space="preserve">The Delegation Gap</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Autonomous systems complicate the institutional accountability test in a way no existing governance infrastructure was designed to handle. Organisations are increasingly delegating consequential operational decisions — credit assessments, procurement authorisations, customer-facing determinations, compliance enforcement — to systems that generate outputs and trigger actions without producing a clear accountability trail.</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This is not a future risk. It is the current operating condition of a growing proportion of enterprise AI deployment.</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Anthropic Economic Index's March 2026 analysis identified that AI is being used in computer and mathematical occupations at a rate of theoretical capability suggesting 94.3 per cent exposure, but with observed deployment reaching only 35.8 per cent. The gap between the two is not a capability gap. It is an institutional readiness gap.</w:t>
      </w:r>
    </w:p>
    <w:p>
      <w:pPr>
        <w:spacing w:before="240" w:after="120"/>
      </w:pPr>
      <w:r>
        <w:rPr>
          <w:rFonts w:ascii="Courier New" w:cs="Courier New" w:eastAsia="Courier New" w:hAnsi="Courier New"/>
          <w:b/>
          <w:bCs/>
          <w:caps/>
          <w:color w:val="A88644"/>
          <w:sz w:val="22"/>
          <w:szCs w:val="22"/>
        </w:rPr>
        <w:t xml:space="preserve">Engineering Telemetry vs Governance Telemetry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There is a distinction that matters here: the difference between engineering telemetry and governance telemetry. Engineering telemetry records what a system did; whether it performed as designed, within operational parameters, without technical error. Governance telemetry records whether governance was exercised; who granted authority, whether oversight operated at the required cadence, whether escalation pathways were tested, whether the deployment remained within its authorised scope.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Most enterprise AI deployments produce the first. Very few produce the second. The practical consequence is a condition that defines the current state of agentic deployment in most organisations: a system that is technically compliant and institutionally ungoverned.</w:t>
      </w:r>
    </w:p>
    <w:p>
      <w:pPr>
        <w:pBdr>
          <w:left w:val="single" w:color="A88644" w:sz="12" w:space="12"/>
        </w:pBdr>
        <w:spacing w:before="160" w:after="160"/>
        <w:ind w:left="720" w:right="720"/>
      </w:pPr>
      <w:r>
        <w:rPr>
          <w:rFonts w:ascii="Georgia" w:cs="Georgia" w:eastAsia="Georgia" w:hAnsi="Georgia"/>
          <w:i/>
          <w:iCs/>
          <w:color w:val="3A3A35"/>
          <w:sz w:val="20"/>
          <w:szCs w:val="20"/>
        </w:rPr>
        <w:t xml:space="preserve">The agent is operating within its parameters. The oversight committee has not met in four months. The policy review cycle has lapsed. The escalation pathway has never been tested. No engineering signal flags any of this. The governance programme has stopped running while the system has continued operating.</w:t>
      </w:r>
    </w:p>
    <w:p>
      <w:pPr>
        <w:spacing w:before="240" w:after="120"/>
      </w:pPr>
      <w:r>
        <w:rPr>
          <w:rFonts w:ascii="Courier New" w:cs="Courier New" w:eastAsia="Courier New" w:hAnsi="Courier New"/>
          <w:b/>
          <w:bCs/>
          <w:caps/>
          <w:color w:val="A88644"/>
          <w:sz w:val="22"/>
          <w:szCs w:val="22"/>
        </w:rPr>
        <w:t xml:space="preserve">The Pattern</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This pattern is not unprecedented. The internet required security infrastructure before e-commerce could scale institutionally. Digital payments required compliance infrastructure before regulated financial institutions could commit capital to them at scale. Cloud computing required audit infrastructure before regulated industries could deploy it with confidence.</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Technology Category</w:t>
            </w:r>
          </w:p>
        </w:tc>
        <w:tc>
          <w:tcPr>
            <w:tcW w:type="dxa" w:w="36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Governance Infrastructure Required</w:t>
            </w:r>
          </w:p>
        </w:tc>
        <w:tc>
          <w:tcPr>
            <w:tcW w:type="dxa" w:w="35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Enabling Standard</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Internet / e-commerce</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Information security management</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ISO 27001</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Digital payments</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Payment security compliance</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PCI DSS</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Cloud computing</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Operational assurance</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SOC 2</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Autonomous systems</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Decision infrastructure governance</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ARAF</w:t>
            </w:r>
          </w:p>
        </w:tc>
      </w:tr>
    </w:tbl>
    <w:p>
      <w:pPr>
        <w:spacing w:before="120" w:after="0"/>
      </w:pP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III	</w:t>
      </w:r>
      <w:r>
        <w:rPr>
          <w:rFonts w:ascii="Georgia" w:cs="Georgia" w:eastAsia="Georgia" w:hAnsi="Georgia"/>
          <w:b/>
          <w:bCs/>
          <w:color w:val="0D0D0B"/>
          <w:sz w:val="36"/>
          <w:szCs w:val="36"/>
        </w:rPr>
        <w:t xml:space="preserve">Distributed Decision Infrastructure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governance problem is structural, not incidental. A consequential decision produced through contemporary AI-enabled infrastructure may involve an autonomous model generating an output, an offshore analyst reviewing the result, a fractional executive authorising the action, and a cloud platform executing the transaction; each in a different jurisdiction, under a different contractual relationship, with no single actor holding a complete record of the decision chain.</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This architecture can be understood as Distributed Decision Infrastructure (DDI): the network of technical systems, human actors, data infrastructure, and external service providers through which organisations now produce decisions that were previously the product of identifiable individuals in definable roles.</w:t>
      </w:r>
    </w:p>
    <w:p>
      <w:pPr>
        <w:spacing w:before="240" w:after="120"/>
      </w:pPr>
      <w:r>
        <w:rPr>
          <w:rFonts w:ascii="Courier New" w:cs="Courier New" w:eastAsia="Courier New" w:hAnsi="Courier New"/>
          <w:b/>
          <w:bCs/>
          <w:caps/>
          <w:color w:val="A88644"/>
          <w:sz w:val="22"/>
          <w:szCs w:val="22"/>
        </w:rPr>
        <w:t xml:space="preserve">The Decision Supply Chain</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Decision Supply Chain is the sequence of stages through which a consequential decision is produced. It extends from the data inputs that inform the decision, through model processing and decision formation, to the execution infrastructure that implements it, and the institutional exposure that results. Governance must operate within the chain at each stage; not only at the point of output.</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Stage</w:t>
            </w:r>
          </w:p>
        </w:tc>
        <w:tc>
          <w:tcPr>
            <w:tcW w:type="dxa" w:w="36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What Occurs</w:t>
            </w:r>
          </w:p>
        </w:tc>
        <w:tc>
          <w:tcPr>
            <w:tcW w:type="dxa" w:w="35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Governance Requirement</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Data Inputs</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Training and operational data assembled and processed</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Data provenance, consent basis, quality controls</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Model Processing</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Foundation model and fine-tuning layer produce outputs</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Autonomy classification, version control, oversight adequacy</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Decision Formation</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Output translated into a specific organisational decision</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Scope boundaries, authority limits, override mechanisms</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Execution</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Decision committed and acted upon</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Commitment authority limits, audit trail, rollback capacity</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Institutional Exposure</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Consequences attributed to the deploying organisation</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Liability architecture, insurance coverage, accountability records</w:t>
            </w:r>
          </w:p>
        </w:tc>
      </w:tr>
    </w:tbl>
    <w:p>
      <w:pPr>
        <w:spacing w:before="120" w:after="0"/>
      </w:pPr>
    </w:p>
    <w:p>
      <w:pPr>
        <w:pBdr>
          <w:left w:val="single" w:color="A88644" w:sz="12" w:space="12"/>
        </w:pBdr>
        <w:spacing w:before="160" w:after="160"/>
        <w:ind w:left="720" w:right="720"/>
      </w:pPr>
      <w:r>
        <w:rPr>
          <w:rFonts w:ascii="Georgia" w:cs="Georgia" w:eastAsia="Georgia" w:hAnsi="Georgia"/>
          <w:i/>
          <w:iCs/>
          <w:color w:val="3A3A35"/>
          <w:sz w:val="20"/>
          <w:szCs w:val="20"/>
        </w:rPr>
        <w:t xml:space="preserve">The chain is only as governable as its least governed link. Most organisations' governance operates at the policy and reporting layers; outside the decision chain entirely.</w:t>
      </w:r>
    </w:p>
    <w:p>
      <w:pPr>
        <w:shd w:fill="EDE9E0" w:val="clear"/>
        <w:spacing w:before="160" w:after="80"/>
      </w:pPr>
      <w:r>
        <w:rPr>
          <w:rFonts w:ascii="Courier New" w:cs="Courier New" w:eastAsia="Courier New" w:hAnsi="Courier New"/>
          <w:b/>
          <w:bCs/>
          <w:color w:val="A88644"/>
          <w:sz w:val="18"/>
          <w:szCs w:val="18"/>
        </w:rPr>
        <w:t xml:space="preserve">[Figure 1] </w:t>
      </w:r>
      <w:r>
        <w:rPr>
          <w:rFonts w:ascii="Courier New" w:cs="Courier New" w:eastAsia="Courier New" w:hAnsi="Courier New"/>
          <w:i/>
          <w:iCs/>
          <w:color w:val="7A7A72"/>
          <w:sz w:val="18"/>
          <w:szCs w:val="18"/>
        </w:rPr>
        <w:t xml:space="preserve">Decision Infrastructure Pipeline — the operational sequence through which autonomous systems produce consequential organisational decisions.</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IV	</w:t>
      </w:r>
      <w:r>
        <w:rPr>
          <w:rFonts w:ascii="Georgia" w:cs="Georgia" w:eastAsia="Georgia" w:hAnsi="Georgia"/>
          <w:b/>
          <w:bCs/>
          <w:color w:val="0D0D0B"/>
          <w:sz w:val="36"/>
          <w:szCs w:val="36"/>
        </w:rPr>
        <w:t xml:space="preserve">The Classification Gap</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Two categories of governance framework are currently available to organisations deploying autonomous systems, and neither addresses the governance problem created by Distributed Decision Infrastructure.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Technology-level assessments (model cards, red-team evaluations, safety benchmarks) evaluate the behaviour of the autonomous system in isolation from the institutional context in which it operates. Organisation-level management system frameworks (ISO 42001, the NIST AI Risk Management Framework) assess whether an organisation has adequate policies and governance structures in place for its AI programme broadly.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Between these two layers sits the decision system itself: the operational chain through which a model's output becomes a consequential action in the world. That layer — the decision system governance layer — is currently addressed by no widely adopted framework that produces a comparable institutional signal for the governance posture of a specific decision system. The absence of that signal is the classification gap.</w:t>
      </w:r>
    </w:p>
    <w:p>
      <w:pPr>
        <w:shd w:fill="EDE9E0" w:val="clear"/>
        <w:spacing w:before="160" w:after="80"/>
      </w:pPr>
      <w:r>
        <w:rPr>
          <w:rFonts w:ascii="Courier New" w:cs="Courier New" w:eastAsia="Courier New" w:hAnsi="Courier New"/>
          <w:b/>
          <w:bCs/>
          <w:color w:val="A88644"/>
          <w:sz w:val="18"/>
          <w:szCs w:val="18"/>
        </w:rPr>
        <w:t xml:space="preserve">[Figure IV.1] </w:t>
      </w:r>
      <w:r>
        <w:rPr>
          <w:rFonts w:ascii="Courier New" w:cs="Courier New" w:eastAsia="Courier New" w:hAnsi="Courier New"/>
          <w:i/>
          <w:iCs/>
          <w:color w:val="7A7A72"/>
          <w:sz w:val="18"/>
          <w:szCs w:val="18"/>
        </w:rPr>
        <w:t xml:space="preserve">Three-layer governance architecture — ARAF occupies the decision system layer that neither technical model assurance nor organisational management frameworks address.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Framework</w:t>
            </w:r>
          </w:p>
        </w:tc>
        <w:tc>
          <w:tcPr>
            <w:tcW w:type="dxa" w:w="63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What It Evaluates</w:t>
            </w:r>
          </w:p>
        </w:tc>
      </w:tr>
      <w:tr>
        <w:tc>
          <w:tcPr>
            <w:tcW w:type="dxa" w:w="30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ISO 42001</w:t>
            </w:r>
          </w:p>
        </w:tc>
        <w:tc>
          <w:tcPr>
            <w:tcW w:type="dxa" w:w="63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Organisational AI management system</w:t>
            </w:r>
          </w:p>
        </w:tc>
      </w:tr>
      <w:tr>
        <w:tc>
          <w:tcPr>
            <w:tcW w:type="dxa" w:w="30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NIST AI RMF</w:t>
            </w:r>
          </w:p>
        </w:tc>
        <w:tc>
          <w:tcPr>
            <w:tcW w:type="dxa" w:w="63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Organisational risk management process</w:t>
            </w:r>
          </w:p>
        </w:tc>
      </w:tr>
      <w:tr>
        <w:tc>
          <w:tcPr>
            <w:tcW w:type="dxa" w:w="30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EU AI Act</w:t>
            </w:r>
          </w:p>
        </w:tc>
        <w:tc>
          <w:tcPr>
            <w:tcW w:type="dxa" w:w="63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Regulatory compliance at provider/deployer level</w:t>
            </w:r>
          </w:p>
        </w:tc>
      </w:tr>
      <w:tr>
        <w:tc>
          <w:tcPr>
            <w:tcW w:type="dxa" w:w="30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SOC 2</w:t>
            </w:r>
          </w:p>
        </w:tc>
        <w:tc>
          <w:tcPr>
            <w:tcW w:type="dxa" w:w="63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Operational controls of a service organisation</w:t>
            </w:r>
          </w:p>
        </w:tc>
      </w:tr>
      <w:tr>
        <w:tc>
          <w:tcPr>
            <w:tcW w:type="dxa" w:w="30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AI system assurance certifications</w:t>
            </w:r>
          </w:p>
        </w:tc>
        <w:tc>
          <w:tcPr>
            <w:tcW w:type="dxa" w:w="63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Technical safety, security, and reliability controls of the AI system itself</w:t>
            </w:r>
          </w:p>
        </w:tc>
      </w:tr>
      <w:tr>
        <w:tc>
          <w:tcPr>
            <w:tcW w:type="dxa" w:w="30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ARAF</w:t>
            </w:r>
          </w:p>
        </w:tc>
        <w:tc>
          <w:tcPr>
            <w:tcW w:type="dxa" w:w="63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Governance architecture of the specific decision system</w:t>
            </w:r>
          </w:p>
        </w:tc>
      </w:tr>
    </w:tbl>
    <w:p>
      <w:pPr>
        <w:spacing w:before="120" w:after="0"/>
      </w:pPr>
    </w:p>
    <w:p>
      <w:pPr>
        <w:shd w:fill="EDE9E0" w:val="clear"/>
        <w:spacing w:before="160" w:after="80"/>
      </w:pPr>
      <w:r>
        <w:rPr>
          <w:rFonts w:ascii="Courier New" w:cs="Courier New" w:eastAsia="Courier New" w:hAnsi="Courier New"/>
          <w:b/>
          <w:bCs/>
          <w:color w:val="A88644"/>
          <w:sz w:val="18"/>
          <w:szCs w:val="18"/>
        </w:rPr>
        <w:t xml:space="preserve">[Figure 2] </w:t>
      </w:r>
      <w:r>
        <w:rPr>
          <w:rFonts w:ascii="Courier New" w:cs="Courier New" w:eastAsia="Courier New" w:hAnsi="Courier New"/>
          <w:i/>
          <w:iCs/>
          <w:color w:val="7A7A72"/>
          <w:sz w:val="18"/>
          <w:szCs w:val="18"/>
        </w:rPr>
        <w:t xml:space="preserve">The Classification Gap — three layers of AI governance: technology-level assessment, decision system governance (ungoverned), and organisational management systems.</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V	</w:t>
      </w:r>
      <w:r>
        <w:rPr>
          <w:rFonts w:ascii="Georgia" w:cs="Georgia" w:eastAsia="Georgia" w:hAnsi="Georgia"/>
          <w:b/>
          <w:bCs/>
          <w:color w:val="0D0D0B"/>
          <w:sz w:val="36"/>
          <w:szCs w:val="36"/>
        </w:rPr>
        <w:t xml:space="preserve">The Four Conditions of Agentic Bankability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classification gap produces a threshold problem for institutional reliance. Before boards can exercise oversight, insurers can assess coverage, investors can conduct diligence, or regulators can determine compliance, an autonomous system must satisfy four conditions. These conditions define Agentic Bankability: the threshold at which an autonomous system crosses from technical capability into institutional deployability.</w:t>
      </w:r>
    </w:p>
    <w:p>
      <w:pPr>
        <w:spacing w:before="240" w:after="120"/>
      </w:pPr>
      <w:r>
        <w:rPr>
          <w:rFonts w:ascii="Courier New" w:cs="Courier New" w:eastAsia="Courier New" w:hAnsi="Courier New"/>
          <w:b/>
          <w:bCs/>
          <w:caps/>
          <w:color w:val="A88644"/>
          <w:sz w:val="22"/>
          <w:szCs w:val="22"/>
        </w:rPr>
        <w:t xml:space="preserve">Condition One: Identifiability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Institutions cannot govern what they cannot classify. Before a board can exercise oversight of an autonomous system, the system must be identifiable as a defined risk object: a system with a known autonomy level, a defined deployment scope, a documented data exposure, and a classified governance posture.</w:t>
      </w:r>
    </w:p>
    <w:p>
      <w:pPr>
        <w:spacing w:before="240" w:after="120"/>
      </w:pPr>
      <w:r>
        <w:rPr>
          <w:rFonts w:ascii="Courier New" w:cs="Courier New" w:eastAsia="Courier New" w:hAnsi="Courier New"/>
          <w:b/>
          <w:bCs/>
          <w:caps/>
          <w:color w:val="A88644"/>
          <w:sz w:val="22"/>
          <w:szCs w:val="22"/>
        </w:rPr>
        <w:t xml:space="preserve">Condition Two: Measurability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Institutions cannot price what they cannot measure. Insurers need a governance signal that allows them to distinguish between well-governed and poorly-governed deployments. The absence of a comparable governance signal is the primary reason AI insurance markets have not developed adequate coverage for autonomous system deployments.</w:t>
      </w:r>
    </w:p>
    <w:p>
      <w:pPr>
        <w:spacing w:before="240" w:after="120"/>
      </w:pPr>
      <w:r>
        <w:rPr>
          <w:rFonts w:ascii="Courier New" w:cs="Courier New" w:eastAsia="Courier New" w:hAnsi="Courier New"/>
          <w:b/>
          <w:bCs/>
          <w:caps/>
          <w:color w:val="A88644"/>
          <w:sz w:val="22"/>
          <w:szCs w:val="22"/>
        </w:rPr>
        <w:t xml:space="preserve">Condition Three: Governability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Institutions cannot enforce accountability for what is not governed. Governability requires that operational controls demonstrably influence system behaviour and that the exercise of those controls is evidenced. The Bekier standard applies directly: governance documentation that exists but cannot be traced to demonstrable action does not satisfy the governance obligation.</w:t>
      </w:r>
    </w:p>
    <w:p>
      <w:pPr>
        <w:spacing w:before="240" w:after="120"/>
      </w:pPr>
      <w:r>
        <w:rPr>
          <w:rFonts w:ascii="Courier New" w:cs="Courier New" w:eastAsia="Courier New" w:hAnsi="Courier New"/>
          <w:b/>
          <w:bCs/>
          <w:caps/>
          <w:color w:val="A88644"/>
          <w:sz w:val="22"/>
          <w:szCs w:val="22"/>
        </w:rPr>
        <w:t xml:space="preserve">Condition Four: Insurability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Institutions cannot finance at scale what they cannot insure. Insurability requires that liability exposure can be bounded and priced. The Lloyd's Market Association's January 2026 survey is the most direct evidence of the current gap: the LMA resorted to a market opinion survey because the actuarial data that standard loss modelling requires does not yet exist for AI exposures.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Condition</w:t>
            </w:r>
          </w:p>
        </w:tc>
        <w:tc>
          <w:tcPr>
            <w:tcW w:type="dxa" w:w="63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Infrastructure Required</w:t>
            </w:r>
          </w:p>
        </w:tc>
      </w:tr>
      <w:tr>
        <w:tc>
          <w:tcPr>
            <w:tcW w:type="dxa" w:w="30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Identifiability</w:t>
            </w:r>
          </w:p>
        </w:tc>
        <w:tc>
          <w:tcPr>
            <w:tcW w:type="dxa" w:w="63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Classification framework; ARAF dimensional assessment</w:t>
            </w:r>
          </w:p>
        </w:tc>
      </w:tr>
      <w:tr>
        <w:tc>
          <w:tcPr>
            <w:tcW w:type="dxa" w:w="30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Measurability</w:t>
            </w:r>
          </w:p>
        </w:tc>
        <w:tc>
          <w:tcPr>
            <w:tcW w:type="dxa" w:w="63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Comparable scoring methodology and evidence standard; GBI plus evidentiary requirements</w:t>
            </w:r>
          </w:p>
        </w:tc>
      </w:tr>
      <w:tr>
        <w:tc>
          <w:tcPr>
            <w:tcW w:type="dxa" w:w="30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Governability</w:t>
            </w:r>
          </w:p>
        </w:tc>
        <w:tc>
          <w:tcPr>
            <w:tcW w:type="dxa" w:w="63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Accountability architecture and coherence assessment; GCI and operational evidence</w:t>
            </w:r>
          </w:p>
        </w:tc>
      </w:tr>
      <w:tr>
        <w:tc>
          <w:tcPr>
            <w:tcW w:type="dxa" w:w="30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Insurability</w:t>
            </w:r>
          </w:p>
        </w:tc>
        <w:tc>
          <w:tcPr>
            <w:tcW w:type="dxa" w:w="63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Certification signal supported by classification, measurement, and coherence evidence</w:t>
            </w:r>
          </w:p>
        </w:tc>
      </w:tr>
    </w:tbl>
    <w:p>
      <w:pPr>
        <w:spacing w:before="120" w:after="0"/>
      </w:pP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VI	</w:t>
      </w:r>
      <w:r>
        <w:rPr>
          <w:rFonts w:ascii="Georgia" w:cs="Georgia" w:eastAsia="Georgia" w:hAnsi="Georgia"/>
          <w:b/>
          <w:bCs/>
          <w:color w:val="0D0D0B"/>
          <w:sz w:val="36"/>
          <w:szCs w:val="36"/>
        </w:rPr>
        <w:t xml:space="preserve">Decision Infrastructure Governance and Trust Architecture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No existing governance regime has been designed to govern the decision infrastructure layer at the level the institutional accountability test now requires.</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Model governance is the responsibility of the developer. Organisational management system governance is the responsibility of the enterprise broadly. Decision infrastructure governance is the responsibility of the organisation that has deployed the system and that is accountable for the decisions it produces.</w:t>
      </w:r>
    </w:p>
    <w:p>
      <w:pPr>
        <w:spacing w:before="240" w:after="120"/>
      </w:pPr>
      <w:r>
        <w:rPr>
          <w:rFonts w:ascii="Courier New" w:cs="Courier New" w:eastAsia="Courier New" w:hAnsi="Courier New"/>
          <w:b/>
          <w:bCs/>
          <w:caps/>
          <w:color w:val="A88644"/>
          <w:sz w:val="22"/>
          <w:szCs w:val="22"/>
        </w:rPr>
        <w:t xml:space="preserve">Trust Architecture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Trust Architecture is the governance infrastructure required to close the decision infrastructure governance gap. It defines the structures through which decision systems become identifiable, measurable, governable, and insurable; through which the three questions from the Bekier judgment can be answered in advance, with evidence produced contemporaneously and independently.</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Trust Architecture comprises four components, each corresponding to one of the four bankability conditions. Classification frameworks satisfy identifiability. Evidence standards satisfy measurability. Accountability architecture satisfies governability. Certification systems satisfy insurability.</w:t>
      </w:r>
    </w:p>
    <w:p>
      <w:pPr>
        <w:spacing w:before="240" w:after="120"/>
      </w:pPr>
      <w:r>
        <w:rPr>
          <w:rFonts w:ascii="Courier New" w:cs="Courier New" w:eastAsia="Courier New" w:hAnsi="Courier New"/>
          <w:b/>
          <w:bCs/>
          <w:caps/>
          <w:color w:val="A88644"/>
          <w:sz w:val="22"/>
          <w:szCs w:val="22"/>
        </w:rPr>
        <w:t xml:space="preserve">The Governance Investment Timing Argument</w:t>
      </w:r>
    </w:p>
    <w:p>
      <w:pPr>
        <w:pBdr>
          <w:left w:val="single" w:color="A88644" w:sz="12" w:space="12"/>
        </w:pBdr>
        <w:spacing w:before="160" w:after="160"/>
        <w:ind w:left="720" w:right="720"/>
      </w:pPr>
      <w:r>
        <w:rPr>
          <w:rFonts w:ascii="Georgia" w:cs="Georgia" w:eastAsia="Georgia" w:hAnsi="Georgia"/>
          <w:i/>
          <w:iCs/>
          <w:color w:val="3A3A35"/>
          <w:sz w:val="20"/>
          <w:szCs w:val="20"/>
        </w:rPr>
        <w:t xml:space="preserve">Building governance infrastructure before deployment is governance. Reconstructing it afterwards is litigation. Litigation is the most expensive form of governance ever invented. Uncontrolled decision artefacts are the raw material litigation works with.</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Trust Architecture, once built, produces institutional value that compounds over time: a governance evidence record, a certification history, an operational accountability infrastructure. That value is greatest when built proactively; before institutional pressure arrives, at a pace and sequence the organisation controls, with governance evidence that is contemporaneous rather than reconstructed.</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VII	</w:t>
      </w:r>
      <w:r>
        <w:rPr>
          <w:rFonts w:ascii="Georgia" w:cs="Georgia" w:eastAsia="Georgia" w:hAnsi="Georgia"/>
          <w:b/>
          <w:bCs/>
          <w:color w:val="0D0D0B"/>
          <w:sz w:val="36"/>
          <w:szCs w:val="36"/>
        </w:rPr>
        <w:t xml:space="preserve">The ARAF Architecture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Agentic Risk Architecture Framework (ARAF) operationalises Trust Architecture as an assessable standard. Published by the Institute for Autonomous Governance Pty Ltd, ARAF is available in full at araf-standard.org.</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ARAF does not require autonomous systems to be risk-free. It requires governance posture to be measurable and accountable. The framework is not a checklist of governance best practices. It is a classification and measurement system that produces a comparable institutional signal — the Governance Benchmark Index — that boards, insurers, investors, and regulators can rely upon without conducting the underlying assessment themselves.</w:t>
      </w:r>
    </w:p>
    <w:p>
      <w:pPr>
        <w:spacing w:before="240" w:after="120"/>
      </w:pPr>
      <w:r>
        <w:rPr>
          <w:rFonts w:ascii="Courier New" w:cs="Courier New" w:eastAsia="Courier New" w:hAnsi="Courier New"/>
          <w:b/>
          <w:bCs/>
          <w:caps/>
          <w:color w:val="A88644"/>
          <w:sz w:val="22"/>
          <w:szCs w:val="22"/>
        </w:rPr>
        <w:t xml:space="preserve">The Six Dimensions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Dimension</w:t>
            </w:r>
          </w:p>
        </w:tc>
        <w:tc>
          <w:tcPr>
            <w:tcW w:type="dxa" w:w="36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What It Assesses</w:t>
            </w:r>
          </w:p>
        </w:tc>
        <w:tc>
          <w:tcPr>
            <w:tcW w:type="dxa" w:w="35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Supply Chain Stage</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D1: Autonomy Gradient</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Operational autonomy level, commitment authority, oversight adequacy, scope boundary enforcement</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Model Processing</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D2: Data Sensitivity Exposure</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Operational data sensitivity and training data provenance; two distinct risk categories assessed separately</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Data Inputs</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D3: Contract Infrastructure</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Customer, vendor, and data processing agreements; liability provisions across the deployment chain</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Execution</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D4: Liability Architecture</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Autonomous action consequences (AE3), liability caps, carve-out structure, insurance coverage adequacy</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Decision Formation</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D5: Commercial Leverage</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Operational dependency, revenue concentration, remediation commercial resistance, lock-in dynamics</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Institutional Exposure</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D6: Adaptive Stability</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Governance maintenance capacity as the system evolves: update governance, change triggers, monitoring architecture</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Chain Lifecycle</w:t>
            </w:r>
          </w:p>
        </w:tc>
      </w:tr>
    </w:tbl>
    <w:p>
      <w:pPr>
        <w:spacing w:before="120" w:after="0"/>
      </w:pPr>
    </w:p>
    <w:p>
      <w:pPr>
        <w:shd w:fill="EDE9E0" w:val="clear"/>
        <w:spacing w:before="160" w:after="80"/>
      </w:pPr>
      <w:r>
        <w:rPr>
          <w:rFonts w:ascii="Courier New" w:cs="Courier New" w:eastAsia="Courier New" w:hAnsi="Courier New"/>
          <w:b/>
          <w:bCs/>
          <w:color w:val="A88644"/>
          <w:sz w:val="18"/>
          <w:szCs w:val="18"/>
        </w:rPr>
        <w:t xml:space="preserve">[Figure 3] </w:t>
      </w:r>
      <w:r>
        <w:rPr>
          <w:rFonts w:ascii="Courier New" w:cs="Courier New" w:eastAsia="Courier New" w:hAnsi="Courier New"/>
          <w:i/>
          <w:iCs/>
          <w:color w:val="7A7A72"/>
          <w:sz w:val="18"/>
          <w:szCs w:val="18"/>
        </w:rPr>
        <w:t xml:space="preserve">ARAF Governance Classification Pipeline — the four-stage governance classification process: dimensional assessment, weighted composite calculation, multiplier logic, and institutional signal produced.</w:t>
      </w:r>
    </w:p>
    <w:p>
      <w:pPr>
        <w:spacing w:before="240" w:after="120"/>
      </w:pPr>
      <w:r>
        <w:rPr>
          <w:rFonts w:ascii="Courier New" w:cs="Courier New" w:eastAsia="Courier New" w:hAnsi="Courier New"/>
          <w:b/>
          <w:bCs/>
          <w:caps/>
          <w:color w:val="A88644"/>
          <w:sz w:val="22"/>
          <w:szCs w:val="22"/>
        </w:rPr>
        <w:t xml:space="preserve">The Governance Benchmark Index</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Dimensional scores are combined through the GBI methodology to produce a composite score on an inverted 1.0 to 5.0 scale, where lower scores indicate stronger governance posture. One score produces four institutional outputs simultaneously: a governance mandate for the board, an underwriting basis for the insurer, a diligence and valuation signal for the investor, and an accountability record for the regulator.</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GBI Score</w:t>
            </w:r>
          </w:p>
        </w:tc>
        <w:tc>
          <w:tcPr>
            <w:tcW w:type="dxa" w:w="36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Certification Tier</w:t>
            </w:r>
          </w:p>
        </w:tc>
        <w:tc>
          <w:tcPr>
            <w:tcW w:type="dxa" w:w="35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Institutional Implication</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Score at or below 1.75</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ARAF Certified</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Strong governance posture. Supports institutional reliance. 24-month validity with mandatory 12-month interim surveillance assessment.</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Score at or below 2.50</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ARAF Compliant</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Adequate governance posture with conditions. Enhanced monitoring requirements. 12-month validity.</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Score above 2.50</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Not ARAF Compliant</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Remediation required before institutional reliance. Governance liability identified.</w:t>
            </w:r>
          </w:p>
        </w:tc>
      </w:tr>
    </w:tbl>
    <w:p>
      <w:pPr>
        <w:spacing w:before="120" w:after="0"/>
      </w:pPr>
    </w:p>
    <w:p>
      <w:pPr>
        <w:spacing w:before="240" w:after="120"/>
      </w:pPr>
      <w:r>
        <w:rPr>
          <w:rFonts w:ascii="Courier New" w:cs="Courier New" w:eastAsia="Courier New" w:hAnsi="Courier New"/>
          <w:b/>
          <w:bCs/>
          <w:caps/>
          <w:color w:val="A88644"/>
          <w:sz w:val="22"/>
          <w:szCs w:val="22"/>
        </w:rPr>
        <w:t xml:space="preserve">Governance Coherence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GBI assesses governance architecture: whether the right structures are in place. The Governance Coherence Index (GCI) assesses whether those structures actually operate. This distinction mirrors the SOC 2 Type I/Type II framework: the GBI is the design adequacy assessment; the GCI is the operational effectiveness assessment.</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GCI measures three components: Authority Adherence (whether operational decisions occurred within defined authority boundaries), Control Exercise (whether specified governance controls were performed at the required cadence and depth), and Drift Detection (whether the autonomous system has evolved away from the governance assumptions made at deployment).</w:t>
      </w:r>
    </w:p>
    <w:p>
      <w:pPr>
        <w:spacing w:before="240" w:after="120"/>
      </w:pPr>
      <w:r>
        <w:rPr>
          <w:rFonts w:ascii="Courier New" w:cs="Courier New" w:eastAsia="Courier New" w:hAnsi="Courier New"/>
          <w:b/>
          <w:bCs/>
          <w:caps/>
          <w:color w:val="A88644"/>
          <w:sz w:val="22"/>
          <w:szCs w:val="22"/>
        </w:rPr>
        <w:t xml:space="preserve">Evidence Infrastructure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Evidence Infrastructure Standard (EIS-01) defines the evidentiary requirements that ensure consequential decisions remain reconstructable after the fact. Evidence is categorised by source and independence: infrastructure-generated records (Tier 1) are the most reliable because they are contemporaneous and cannot be retrospectively assembled; contemporaneous operational documentation (Tier 2) supports Compliant-tier certification; reconstructed documentation (Tier 3) may support assessment but cannot support certification. Management representations without independent corroboration are excluded from all certification tiers.</w:t>
      </w:r>
    </w:p>
    <w:p>
      <w:pPr>
        <w:shd w:fill="EDE9E0" w:val="clear"/>
        <w:spacing w:before="160" w:after="80"/>
      </w:pPr>
      <w:r>
        <w:rPr>
          <w:rFonts w:ascii="Courier New" w:cs="Courier New" w:eastAsia="Courier New" w:hAnsi="Courier New"/>
          <w:b/>
          <w:bCs/>
          <w:color w:val="A88644"/>
          <w:sz w:val="18"/>
          <w:szCs w:val="18"/>
        </w:rPr>
        <w:t xml:space="preserve">[Figure 4] </w:t>
      </w:r>
      <w:r>
        <w:rPr>
          <w:rFonts w:ascii="Courier New" w:cs="Courier New" w:eastAsia="Courier New" w:hAnsi="Courier New"/>
          <w:i/>
          <w:iCs/>
          <w:color w:val="7A7A72"/>
          <w:sz w:val="18"/>
          <w:szCs w:val="18"/>
        </w:rPr>
        <w:t xml:space="preserve">ARAF Certification Lifecycle — the five-stage certification lifecycle: assessment, GBI classification, certification tier, reliance period, and reassessment.</w:t>
      </w:r>
    </w:p>
    <w:p>
      <w:r>
        <w:br w:type="page"/>
      </w:r>
    </w:p>
    <w:p>
      <w:pPr>
        <w:pBdr>
          <w:bottom w:val="single" w:color="A88644" w:sz="4" w:space="6"/>
        </w:pBdr>
        <w:spacing w:before="480" w:after="200"/>
      </w:pPr>
      <w:r>
        <w:rPr>
          <w:rFonts w:ascii="Georgia" w:cs="Georgia" w:eastAsia="Georgia" w:hAnsi="Georgia"/>
          <w:b/>
          <w:bCs/>
          <w:color w:val="0D0D0B"/>
          <w:sz w:val="36"/>
          <w:szCs w:val="36"/>
        </w:rPr>
        <w:t xml:space="preserve">Illustrative Assessment</w:t>
      </w:r>
    </w:p>
    <w:p>
      <w:pPr>
        <w:spacing w:before="360" w:after="160"/>
      </w:pPr>
      <w:r>
        <w:rPr>
          <w:rFonts w:ascii="Georgia" w:cs="Georgia" w:eastAsia="Georgia" w:hAnsi="Georgia"/>
          <w:b/>
          <w:bCs/>
          <w:color w:val="0D0D0B"/>
          <w:sz w:val="28"/>
          <w:szCs w:val="28"/>
        </w:rPr>
        <w:t xml:space="preserve">ARAF in Practice: Agentic Coding Tool Deployment at Scale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following illustrative assessment applies the ARAF framework to a publicly reported pattern of large-scale agentic coding tool deployment at a major technology organisation. It is drawn entirely from publicly available information and is presented to demonstrate how governance architecture assessment operates in practice.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Note on public record: following initial media reporting, the organisation subsequently published a correction (aboutamazon.com, March 2026) clarifying that only one of the relevant incidents involved AI tooling, and that AI-written code did not cause the outages as initially reported. The assessment has been updated to reflect the corrected public record in the D6 basis. The analytical conclusions are unchanged: the governance failure identified is at the design link, not the incident characterisation layer.</w:t>
      </w:r>
    </w:p>
    <w:p>
      <w:pPr>
        <w:spacing w:before="240" w:after="120"/>
      </w:pPr>
      <w:r>
        <w:rPr>
          <w:rFonts w:ascii="Courier New" w:cs="Courier New" w:eastAsia="Courier New" w:hAnsi="Courier New"/>
          <w:b/>
          <w:bCs/>
          <w:caps/>
          <w:color w:val="A88644"/>
          <w:sz w:val="22"/>
          <w:szCs w:val="22"/>
        </w:rPr>
        <w:t xml:space="preserve">Scenario</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A major technology organisation mandates adoption of an agentic coding tool across an engineering organisation of more than 20,000 engineers. An 80 per cent weekly usage target is established as a corporate OKR and tracked at the organisational level. Third-party AI coding tools previously in use are discontinued. The tool is deployed with operator-level permissions in production environments. No mandatory peer review requirement is established at the point of mandate.</w:t>
      </w:r>
    </w:p>
    <w:p>
      <w:pPr>
        <w:spacing w:before="240" w:after="120"/>
      </w:pPr>
      <w:r>
        <w:rPr>
          <w:rFonts w:ascii="Courier New" w:cs="Courier New" w:eastAsia="Courier New" w:hAnsi="Courier New"/>
          <w:b/>
          <w:bCs/>
          <w:caps/>
          <w:color w:val="A88644"/>
          <w:sz w:val="22"/>
          <w:szCs w:val="22"/>
        </w:rPr>
        <w:t xml:space="preserve">Dimensional Assessment</w:t>
      </w:r>
    </w:p>
    <w:p>
      <w:pPr>
        <w:spacing w:before="200"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1600"/>
        <w:gridCol w:w="4000"/>
      </w:tblGrid>
      <w:tr>
        <w:tc>
          <w:tcPr>
            <w:tcW w:type="dxa" w:w="1400"/>
            <w:tcBorders>
              <w:top w:val="single" w:color="D4D0C8" w:sz="1"/>
              <w:left w:val="single" w:color="D4D0C8" w:sz="1"/>
              <w:bottom w:val="single" w:color="D4D0C8" w:sz="1"/>
              <w:right w:val="single" w:color="D4D0C8" w:sz="1"/>
            </w:tcBorders>
            <w:shd w:fill="0D0D0B"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Dimension</w:t>
            </w:r>
          </w:p>
        </w:tc>
        <w:tc>
          <w:tcPr>
            <w:tcW w:type="dxa" w:w="1400"/>
            <w:tcBorders>
              <w:top w:val="single" w:color="D4D0C8" w:sz="1"/>
              <w:left w:val="single" w:color="D4D0C8" w:sz="1"/>
              <w:bottom w:val="single" w:color="D4D0C8" w:sz="1"/>
              <w:right w:val="single" w:color="D4D0C8" w:sz="1"/>
            </w:tcBorders>
            <w:shd w:fill="0D0D0B"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Label</w:t>
            </w:r>
          </w:p>
        </w:tc>
        <w:tc>
          <w:tcPr>
            <w:tcW w:type="dxa" w:w="1000"/>
            <w:tcBorders>
              <w:top w:val="single" w:color="D4D0C8" w:sz="1"/>
              <w:left w:val="single" w:color="D4D0C8" w:sz="1"/>
              <w:bottom w:val="single" w:color="D4D0C8" w:sz="1"/>
              <w:right w:val="single" w:color="D4D0C8" w:sz="1"/>
            </w:tcBorders>
            <w:shd w:fill="0D0D0B"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Score</w:t>
            </w:r>
          </w:p>
        </w:tc>
        <w:tc>
          <w:tcPr>
            <w:tcW w:type="dxa" w:w="1600"/>
            <w:tcBorders>
              <w:top w:val="single" w:color="D4D0C8" w:sz="1"/>
              <w:left w:val="single" w:color="D4D0C8" w:sz="1"/>
              <w:bottom w:val="single" w:color="D4D0C8" w:sz="1"/>
              <w:right w:val="single" w:color="D4D0C8" w:sz="1"/>
            </w:tcBorders>
            <w:shd w:fill="0D0D0B"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Multiplier</w:t>
            </w:r>
          </w:p>
        </w:tc>
        <w:tc>
          <w:tcPr>
            <w:tcW w:type="dxa" w:w="4000"/>
            <w:tcBorders>
              <w:top w:val="single" w:color="D4D0C8" w:sz="1"/>
              <w:left w:val="single" w:color="D4D0C8" w:sz="1"/>
              <w:bottom w:val="single" w:color="D4D0C8" w:sz="1"/>
              <w:right w:val="single" w:color="D4D0C8" w:sz="1"/>
            </w:tcBorders>
            <w:shd w:fill="0D0D0B" w:val="clear"/>
            <w:tcMar>
              <w:top w:type="dxa" w:w="80"/>
              <w:left w:type="dxa" w:w="100"/>
              <w:bottom w:type="dxa" w:w="80"/>
              <w:right w:type="dxa" w:w="100"/>
            </w:tcMar>
          </w:tcPr>
          <w:p>
            <w:r>
              <w:rPr>
                <w:rFonts w:ascii="Courier New" w:cs="Courier New" w:eastAsia="Courier New" w:hAnsi="Courier New"/>
                <w:b/>
                <w:bCs/>
                <w:caps/>
                <w:color w:val="FFFFFF"/>
                <w:sz w:val="16"/>
                <w:szCs w:val="16"/>
              </w:rPr>
              <w:t xml:space="preserve">Basis</w:t>
            </w:r>
          </w:p>
        </w:tc>
      </w:tr>
      <w:tr>
        <w:tc>
          <w:tcPr>
            <w:tcW w:type="dxa" w:w="14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D1</w:t>
            </w:r>
          </w:p>
        </w:tc>
        <w:tc>
          <w:tcPr>
            <w:tcW w:type="dxa" w:w="14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Autonomy Gradient</w:t>
            </w:r>
          </w:p>
        </w:tc>
        <w:tc>
          <w:tcPr>
            <w:tcW w:type="dxa" w:w="10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bCs/>
                <w:color w:val="A88644"/>
                <w:sz w:val="16"/>
                <w:szCs w:val="16"/>
              </w:rPr>
              <w:t xml:space="preserve">4.0</w:t>
            </w:r>
          </w:p>
        </w:tc>
        <w:tc>
          <w:tcPr>
            <w:tcW w:type="dxa" w:w="16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Systemic Escalation; Infrastructure Collapse</w:t>
            </w:r>
          </w:p>
        </w:tc>
        <w:tc>
          <w:tcPr>
            <w:tcW w:type="dxa" w:w="40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Operator-level permissions in production. No mandatory peer review at mandate. Human approval gates downstream of autonomous action rather than upstream of it.</w:t>
            </w:r>
          </w:p>
        </w:tc>
      </w:tr>
      <w:tr>
        <w:tc>
          <w:tcPr>
            <w:tcW w:type="dxa" w:w="14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D2</w:t>
            </w:r>
          </w:p>
        </w:tc>
        <w:tc>
          <w:tcPr>
            <w:tcW w:type="dxa" w:w="14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Data Sensitivity Exposure</w:t>
            </w:r>
          </w:p>
        </w:tc>
        <w:tc>
          <w:tcPr>
            <w:tcW w:type="dxa" w:w="10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bCs/>
                <w:color w:val="A88644"/>
                <w:sz w:val="16"/>
                <w:szCs w:val="16"/>
              </w:rPr>
              <w:t xml:space="preserve">2.5</w:t>
            </w:r>
          </w:p>
        </w:tc>
        <w:tc>
          <w:tcPr>
            <w:tcW w:type="dxa" w:w="16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w:t>
            </w:r>
          </w:p>
        </w:tc>
        <w:tc>
          <w:tcPr>
            <w:tcW w:type="dxa" w:w="40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Source code, architecture documentation, system configuration, infrastructure credentials within scope. No personal data at primary exposure layer.</w:t>
            </w:r>
          </w:p>
        </w:tc>
      </w:tr>
      <w:tr>
        <w:tc>
          <w:tcPr>
            <w:tcW w:type="dxa" w:w="14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D3</w:t>
            </w:r>
          </w:p>
        </w:tc>
        <w:tc>
          <w:tcPr>
            <w:tcW w:type="dxa" w:w="14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Contract Infrastructure</w:t>
            </w:r>
          </w:p>
        </w:tc>
        <w:tc>
          <w:tcPr>
            <w:tcW w:type="dxa" w:w="10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bCs/>
                <w:color w:val="A88644"/>
                <w:sz w:val="16"/>
                <w:szCs w:val="16"/>
              </w:rPr>
              <w:t xml:space="preserve">4.0</w:t>
            </w:r>
          </w:p>
        </w:tc>
        <w:tc>
          <w:tcPr>
            <w:tcW w:type="dxa" w:w="16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Infrastructure Collapse</w:t>
            </w:r>
          </w:p>
        </w:tc>
        <w:tc>
          <w:tcPr>
            <w:tcW w:type="dxa" w:w="40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Standard enterprise licensing. Vendor liability allocation for production incidents caused by tool-generated code not publicly established. Third-party alternatives discontinued.</w:t>
            </w:r>
          </w:p>
        </w:tc>
      </w:tr>
      <w:tr>
        <w:tc>
          <w:tcPr>
            <w:tcW w:type="dxa" w:w="14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D4</w:t>
            </w:r>
          </w:p>
        </w:tc>
        <w:tc>
          <w:tcPr>
            <w:tcW w:type="dxa" w:w="14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Liability Architecture</w:t>
            </w:r>
          </w:p>
        </w:tc>
        <w:tc>
          <w:tcPr>
            <w:tcW w:type="dxa" w:w="10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bCs/>
                <w:color w:val="A88644"/>
                <w:sz w:val="16"/>
                <w:szCs w:val="16"/>
              </w:rPr>
              <w:t xml:space="preserve">4.0</w:t>
            </w:r>
          </w:p>
        </w:tc>
        <w:tc>
          <w:tcPr>
            <w:tcW w:type="dxa" w:w="16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Systemic Escalation</w:t>
            </w:r>
          </w:p>
        </w:tc>
        <w:tc>
          <w:tcPr>
            <w:tcW w:type="dxa" w:w="40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No publicly available evidence of formal liability architecture for the adoption mandate. Mandate issued as OKR, not as a governed deployment decision with explicit accountability assignment.</w:t>
            </w:r>
          </w:p>
        </w:tc>
      </w:tr>
      <w:tr>
        <w:tc>
          <w:tcPr>
            <w:tcW w:type="dxa" w:w="14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D5</w:t>
            </w:r>
          </w:p>
        </w:tc>
        <w:tc>
          <w:tcPr>
            <w:tcW w:type="dxa" w:w="14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Commercial Leverage</w:t>
            </w:r>
          </w:p>
        </w:tc>
        <w:tc>
          <w:tcPr>
            <w:tcW w:type="dxa" w:w="10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bCs/>
                <w:color w:val="A88644"/>
                <w:sz w:val="16"/>
                <w:szCs w:val="16"/>
              </w:rPr>
              <w:t xml:space="preserve">3.0</w:t>
            </w:r>
          </w:p>
        </w:tc>
        <w:tc>
          <w:tcPr>
            <w:tcW w:type="dxa" w:w="16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w:t>
            </w:r>
          </w:p>
        </w:tc>
        <w:tc>
          <w:tcPr>
            <w:tcW w:type="dxa" w:w="4000"/>
            <w:tcBorders>
              <w:top w:val="single" w:color="D4D0C8" w:sz="1"/>
              <w:left w:val="single" w:color="D4D0C8" w:sz="1"/>
              <w:bottom w:val="single" w:color="D4D0C8" w:sz="1"/>
              <w:right w:val="single" w:color="D4D0C8" w:sz="1"/>
            </w:tcBorders>
            <w:shd w:fill="FFFFFF"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80% OKR creates operational dependency. Third-party alternatives discontinued, concentrating adoption in a single vendor.</w:t>
            </w:r>
          </w:p>
        </w:tc>
      </w:tr>
      <w:tr>
        <w:tc>
          <w:tcPr>
            <w:tcW w:type="dxa" w:w="14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D6</w:t>
            </w:r>
          </w:p>
        </w:tc>
        <w:tc>
          <w:tcPr>
            <w:tcW w:type="dxa" w:w="14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Adaptive Stability</w:t>
            </w:r>
          </w:p>
        </w:tc>
        <w:tc>
          <w:tcPr>
            <w:tcW w:type="dxa" w:w="10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bCs/>
                <w:color w:val="A88644"/>
                <w:sz w:val="16"/>
                <w:szCs w:val="16"/>
              </w:rPr>
              <w:t xml:space="preserve">3.5</w:t>
            </w:r>
          </w:p>
        </w:tc>
        <w:tc>
          <w:tcPr>
            <w:tcW w:type="dxa" w:w="16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w:t>
            </w:r>
          </w:p>
        </w:tc>
        <w:tc>
          <w:tcPr>
            <w:tcW w:type="dxa" w:w="4000"/>
            <w:tcBorders>
              <w:top w:val="single" w:color="D4D0C8" w:sz="1"/>
              <w:left w:val="single" w:color="D4D0C8" w:sz="1"/>
              <w:bottom w:val="single" w:color="D4D0C8" w:sz="1"/>
              <w:right w:val="single" w:color="D4D0C8" w:sz="1"/>
            </w:tcBorders>
            <w:shd w:fill="F7F5F0" w:val="clear"/>
            <w:tcMar>
              <w:top w:type="dxa" w:w="80"/>
              <w:left w:type="dxa" w:w="100"/>
              <w:bottom w:type="dxa" w:w="80"/>
              <w:right w:type="dxa" w:w="100"/>
            </w:tcMar>
          </w:tcPr>
          <w:p>
            <w:r>
              <w:rPr>
                <w:rFonts w:ascii="Courier New" w:cs="Courier New" w:eastAsia="Courier New" w:hAnsi="Courier New"/>
                <w:b w:val="false"/>
                <w:bCs w:val="false"/>
                <w:color w:val="0D0D0B"/>
                <w:sz w:val="16"/>
                <w:szCs w:val="16"/>
              </w:rPr>
              <w:t xml:space="preserve">No publicly available evidence of governance reassessment protocol triggered by incident accumulation.</w:t>
            </w:r>
          </w:p>
        </w:tc>
      </w:tr>
    </w:tbl>
    <w:p>
      <w:pPr>
        <w:spacing w:before="120" w:after="0"/>
      </w:pPr>
    </w:p>
    <w:p>
      <w:pPr>
        <w:spacing w:before="160" w:after="80"/>
      </w:pPr>
      <w:r>
        <w:rPr>
          <w:rFonts w:ascii="Courier New" w:cs="Courier New" w:eastAsia="Courier New" w:hAnsi="Courier New"/>
          <w:b/>
          <w:bCs/>
          <w:color w:val="0D0D0B"/>
          <w:sz w:val="20"/>
          <w:szCs w:val="20"/>
        </w:rPr>
        <w:t xml:space="preserve">GBI Composite: </w:t>
      </w:r>
      <w:r>
        <w:rPr>
          <w:rFonts w:ascii="Courier New" w:cs="Courier New" w:eastAsia="Courier New" w:hAnsi="Courier New"/>
          <w:b/>
          <w:bCs/>
          <w:color w:val="A88644"/>
          <w:sz w:val="20"/>
          <w:szCs w:val="20"/>
        </w:rPr>
        <w:t xml:space="preserve">3.50 — NOT ARAF COMPLIANT</w:t>
      </w:r>
      <w:r>
        <w:rPr>
          <w:rFonts w:ascii="Courier New" w:cs="Courier New" w:eastAsia="Courier New" w:hAnsi="Courier New"/>
          <w:color w:val="0D0D0B"/>
          <w:sz w:val="20"/>
          <w:szCs w:val="20"/>
        </w:rPr>
        <w:t xml:space="preserve"> | Systemic Escalation and Infrastructure Collapse multipliers active.</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VIII	</w:t>
      </w:r>
      <w:r>
        <w:rPr>
          <w:rFonts w:ascii="Georgia" w:cs="Georgia" w:eastAsia="Georgia" w:hAnsi="Georgia"/>
          <w:b/>
          <w:bCs/>
          <w:color w:val="0D0D0B"/>
          <w:sz w:val="36"/>
          <w:szCs w:val="36"/>
        </w:rPr>
        <w:t xml:space="preserve">The Adoption Signal</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market is beginning to converge on the decision infrastructure governance problem from multiple directions simultaneously. These signals emerge from corporate enforcement, insurance underwriting, prudential regulation, and technical standardisation; pointing toward the same structural requirement from different institutional vantage points.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Signal</w:t>
            </w:r>
          </w:p>
        </w:tc>
        <w:tc>
          <w:tcPr>
            <w:tcW w:type="dxa" w:w="36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Source</w:t>
            </w:r>
          </w:p>
        </w:tc>
        <w:tc>
          <w:tcPr>
            <w:tcW w:type="dxa" w:w="35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Implication</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ASIC REP 798 (Oct 2024)</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Corporate enforcement</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Governance systematically lagging AI deployment across 624 use cases reviewed by Australia's largest financial regulator.</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LMA Understanding AI Exposures (Jan 2026)</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Insurance underwriting</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Survey conducted in absence of actuarial data. Market cannot price AI exposure without governance measurement infrastructure.</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APRA CPS 230 (eff. Jul 2025)</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Prudential regulation</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Service provider risk management obligations extend explicitly to AI deployment chains. Contract compliance deadline 1 July 2026.</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NIST AI Agent Standards Initiative (Feb 2026)</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Technical standardisation</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Accelerating from voluntary to procurement-mandatory standards in US federal contexts.</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Gartner Top Trends 2026</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Analyst signal</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"Reducing GenAI Risk With Decision Governance" — decision system governance identified as the emerging institutional requirement.</w:t>
            </w:r>
          </w:p>
        </w:tc>
      </w:tr>
    </w:tbl>
    <w:p>
      <w:pPr>
        <w:spacing w:before="120" w:after="0"/>
      </w:pPr>
    </w:p>
    <w:p>
      <w:pPr>
        <w:shd w:fill="EDE9E0" w:val="clear"/>
        <w:spacing w:before="160" w:after="80"/>
      </w:pPr>
      <w:r>
        <w:rPr>
          <w:rFonts w:ascii="Courier New" w:cs="Courier New" w:eastAsia="Courier New" w:hAnsi="Courier New"/>
          <w:b/>
          <w:bCs/>
          <w:color w:val="A88644"/>
          <w:sz w:val="18"/>
          <w:szCs w:val="18"/>
        </w:rPr>
        <w:t xml:space="preserve">[Figure VIII.1] </w:t>
      </w:r>
      <w:r>
        <w:rPr>
          <w:rFonts w:ascii="Courier New" w:cs="Courier New" w:eastAsia="Courier New" w:hAnsi="Courier New"/>
          <w:i/>
          <w:iCs/>
          <w:color w:val="7A7A72"/>
          <w:sz w:val="18"/>
          <w:szCs w:val="18"/>
        </w:rPr>
        <w:t xml:space="preserve">Governance signal propagation mechanism — the four-stage self-reinforcing loop through which a governance standard becomes market infrastructure.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propagation mechanism in each case followed a consistent four-stage structure: insurers condition coverage on governance certification; buyers embed that condition in procurement; vendors pursue certification to preserve market access; registry density then deepens the signal's institutional value.</w:t>
      </w:r>
    </w:p>
    <w:p>
      <w:r>
        <w:br w:type="page"/>
      </w:r>
    </w:p>
    <w:p>
      <w:pPr>
        <w:pBdr>
          <w:bottom w:val="single" w:color="A88644" w:sz="4" w:space="6"/>
        </w:pBdr>
        <w:spacing w:before="560" w:after="200"/>
      </w:pPr>
      <w:r>
        <w:rPr>
          <w:rFonts w:ascii="Courier New" w:cs="Courier New" w:eastAsia="Courier New" w:hAnsi="Courier New"/>
          <w:color w:val="A88644"/>
          <w:sz w:val="28"/>
          <w:szCs w:val="28"/>
        </w:rPr>
        <w:t xml:space="preserve">IX	</w:t>
      </w:r>
      <w:r>
        <w:rPr>
          <w:rFonts w:ascii="Georgia" w:cs="Georgia" w:eastAsia="Georgia" w:hAnsi="Georgia"/>
          <w:b/>
          <w:bCs/>
          <w:color w:val="0D0D0B"/>
          <w:sz w:val="36"/>
          <w:szCs w:val="36"/>
        </w:rPr>
        <w:t xml:space="preserve">Conclusion</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Autonomous systems are already embedded in consequential decisions across financial services, healthcare, infrastructure, and enterprise operations. As these systems assume greater operational authority, the institutions that rely upon them — boards, insurers, investors, regulators — require governance infrastructure capable of classifying the decision systems that produce those outcomes, measuring their governance posture in a comparable form, demonstrating that governance controls operate in practice, and communicating governance adequacy in terms that institutional audiences can act upon.</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The distinction that determines whether the Bekier accountability test can be satisfied is not the distinction between AI deployment and no AI deployment. It is the distinction between governance telemetry and engineering telemetry. Most organisations deploying autonomous systems today have the first and lack the second. They know their systems are working. They cannot demonstrate that their systems are governed.</w:t>
      </w:r>
    </w:p>
    <w:p>
      <w:pPr>
        <w:pBdr>
          <w:left w:val="single" w:color="A88644" w:sz="12" w:space="12"/>
        </w:pBdr>
        <w:spacing w:before="160" w:after="160"/>
        <w:ind w:left="720" w:right="720"/>
      </w:pPr>
      <w:r>
        <w:rPr>
          <w:rFonts w:ascii="Georgia" w:cs="Georgia" w:eastAsia="Georgia" w:hAnsi="Georgia"/>
          <w:i/>
          <w:iCs/>
          <w:color w:val="3A3A35"/>
          <w:sz w:val="20"/>
          <w:szCs w:val="20"/>
        </w:rPr>
        <w:t xml:space="preserve">The market is not waiting for perfect governance. It is waiting for measurable governance.</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As with financial reporting standards, cybersecurity frameworks, and operational assurance certifications before it, governance measurement infrastructure for decision systems will not remain optional indefinitely. The organisations that build it now will answer the institutional accountability test with evidence they controlled. The organisations that defer will reconstruct their answer under scrutiny, at a cost that deferral will have compounded.</w:t>
      </w:r>
    </w:p>
    <w:p>
      <w:pPr>
        <w:spacing w:line="280" w:before="0" w:after="140"/>
        <w:jc w:val="both"/>
      </w:pPr>
      <w:r>
        <w:rPr>
          <w:rFonts w:ascii="Courier New" w:cs="Courier New" w:eastAsia="Courier New" w:hAnsi="Courier New"/>
          <w:b w:val="false"/>
          <w:bCs w:val="false"/>
          <w:i w:val="false"/>
          <w:iCs w:val="false"/>
          <w:color w:val="0D0D0B"/>
          <w:sz w:val="20"/>
          <w:szCs w:val="20"/>
        </w:rPr>
        <w:t xml:space="preserve">Organisations seeking to establish governance architecture for their autonomous decision systems can begin with an ARAF assessment of their highest-autonomy deployment. The Institute for Autonomous Governance can be contacted at araf-standard.org.</w:t>
      </w:r>
    </w:p>
    <w:p>
      <w:r>
        <w:br w:type="page"/>
      </w:r>
    </w:p>
    <w:p>
      <w:pPr>
        <w:pBdr>
          <w:bottom w:val="single" w:color="A88644" w:sz="4" w:space="6"/>
        </w:pBdr>
        <w:spacing w:before="480" w:after="200"/>
      </w:pPr>
      <w:r>
        <w:rPr>
          <w:rFonts w:ascii="Georgia" w:cs="Georgia" w:eastAsia="Georgia" w:hAnsi="Georgia"/>
          <w:b/>
          <w:bCs/>
          <w:color w:val="0D0D0B"/>
          <w:sz w:val="36"/>
          <w:szCs w:val="36"/>
        </w:rPr>
        <w:t xml:space="preserve">The Trust Architecture Document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Document</w:t>
            </w:r>
          </w:p>
        </w:tc>
        <w:tc>
          <w:tcPr>
            <w:tcW w:type="dxa" w:w="360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Function</w:t>
            </w:r>
          </w:p>
        </w:tc>
        <w:tc>
          <w:tcPr>
            <w:tcW w:type="dxa" w:w="3560"/>
            <w:tcBorders>
              <w:top w:val="single" w:color="D4D0C8" w:sz="1"/>
              <w:left w:val="single" w:color="D4D0C8" w:sz="1"/>
              <w:bottom w:val="single" w:color="D4D0C8" w:sz="1"/>
              <w:right w:val="single" w:color="D4D0C8" w:sz="1"/>
            </w:tcBorders>
            <w:shd w:fill="0D0D0B" w:val="clear"/>
            <w:tcMar>
              <w:top w:type="dxa" w:w="80"/>
              <w:left w:type="dxa" w:w="120"/>
              <w:bottom w:type="dxa" w:w="80"/>
              <w:right w:type="dxa" w:w="120"/>
            </w:tcMar>
          </w:tcPr>
          <w:p>
            <w:r>
              <w:rPr>
                <w:rFonts w:ascii="Courier New" w:cs="Courier New" w:eastAsia="Courier New" w:hAnsi="Courier New"/>
                <w:b/>
                <w:bCs/>
                <w:caps/>
                <w:color w:val="FFFFFF"/>
                <w:sz w:val="17"/>
                <w:szCs w:val="17"/>
              </w:rPr>
              <w:t xml:space="preserve">URL</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ARAF Standard v3.0</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Complete governance assessment methodology across six dimensions</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araf-standard.org/standard/architecture-specification/</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Certification Framework v1.0</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Certification tiers, lifecycle, assessor accreditation</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araf-standard.org/certification/certification-framework/</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Governance Benchmark Index (GBI)</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Scoring methodology, dimensional profile, certification tier specification</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araf-standard.org/certification/governance-benchmark-index/</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Governance Coherence Addendum (GCA) v1.0.1</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Operational conformance assessment, GCI methodology, 180-day evidence window</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araf-standard.org/certification/governance-coherence-addendum/</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Evidence Infrastructure Standard (EIS-01)</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Evidence tier requirements, chain-of-custody standards, reconstructability</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araf-standard.org/evidence/evidence-infrastructure-standard/</w:t>
            </w:r>
          </w:p>
        </w:tc>
      </w:tr>
      <w:tr>
        <w:tc>
          <w:tcPr>
            <w:tcW w:type="dxa" w:w="22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Institutional Crosswalk Series</w:t>
            </w:r>
          </w:p>
        </w:tc>
        <w:tc>
          <w:tcPr>
            <w:tcW w:type="dxa" w:w="360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Audience-specific mappings for Boards, Insurers, Investors, Regulators</w:t>
            </w:r>
          </w:p>
        </w:tc>
        <w:tc>
          <w:tcPr>
            <w:tcW w:type="dxa" w:w="3560"/>
            <w:tcBorders>
              <w:top w:val="single" w:color="D4D0C8" w:sz="1"/>
              <w:left w:val="single" w:color="D4D0C8" w:sz="1"/>
              <w:bottom w:val="single" w:color="D4D0C8" w:sz="1"/>
              <w:right w:val="single" w:color="D4D0C8" w:sz="1"/>
            </w:tcBorders>
            <w:shd w:fill="F7F5F0"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araf-standard.org/institutional/</w:t>
            </w:r>
          </w:p>
        </w:tc>
      </w:tr>
      <w:tr>
        <w:tc>
          <w:tcPr>
            <w:tcW w:type="dxa" w:w="22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Trust Architecture (forthcoming)</w:t>
            </w:r>
          </w:p>
        </w:tc>
        <w:tc>
          <w:tcPr>
            <w:tcW w:type="dxa" w:w="360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Institutional theory of decision infrastructure governance</w:t>
            </w:r>
          </w:p>
        </w:tc>
        <w:tc>
          <w:tcPr>
            <w:tcW w:type="dxa" w:w="3560"/>
            <w:tcBorders>
              <w:top w:val="single" w:color="D4D0C8" w:sz="1"/>
              <w:left w:val="single" w:color="D4D0C8" w:sz="1"/>
              <w:bottom w:val="single" w:color="D4D0C8" w:sz="1"/>
              <w:right w:val="single" w:color="D4D0C8" w:sz="1"/>
            </w:tcBorders>
            <w:shd w:fill="FFFFFF" w:val="clear"/>
            <w:tcMar>
              <w:top w:type="dxa" w:w="80"/>
              <w:left w:type="dxa" w:w="120"/>
              <w:bottom w:type="dxa" w:w="80"/>
              <w:right w:type="dxa" w:w="120"/>
            </w:tcMar>
          </w:tcPr>
          <w:p>
            <w:r>
              <w:rPr>
                <w:rFonts w:ascii="Courier New" w:cs="Courier New" w:eastAsia="Courier New" w:hAnsi="Courier New"/>
                <w:color w:val="0D0D0B"/>
                <w:sz w:val="18"/>
                <w:szCs w:val="18"/>
              </w:rPr>
              <w:t xml:space="preserve">araf-standard.org</w:t>
            </w:r>
          </w:p>
        </w:tc>
      </w:tr>
    </w:tbl>
    <w:p>
      <w:r>
        <w:br w:type="page"/>
      </w:r>
    </w:p>
    <w:p>
      <w:pPr>
        <w:spacing w:before="240" w:after="120"/>
      </w:pPr>
      <w:r>
        <w:rPr>
          <w:rFonts w:ascii="Courier New" w:cs="Courier New" w:eastAsia="Courier New" w:hAnsi="Courier New"/>
          <w:b/>
          <w:bCs/>
          <w:caps/>
          <w:color w:val="A88644"/>
          <w:sz w:val="22"/>
          <w:szCs w:val="22"/>
        </w:rPr>
        <w:t xml:space="preserve">About the Author</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Carly Martin is the founder of the Institute for Autonomous Governance Pty Ltd and the creator of the Agentic Risk Architecture Framework. She is the author of Trust Architecture: Making Autonomous Systems Bankable (forthcoming). Her background includes eight years in legal practice and senior roles at Amazon, Audible, and Wondery, including Global Expansion Counsel and Head of Expansion Operations.</w:t>
      </w:r>
    </w:p>
    <w:p>
      <w:pPr>
        <w:spacing w:before="80" w:after="0"/>
      </w:pPr>
      <w:r>
        <w:rPr>
          <w:rFonts w:ascii="Courier New" w:cs="Courier New" w:eastAsia="Courier New" w:hAnsi="Courier New"/>
          <w:color w:val="A88644"/>
          <w:sz w:val="18"/>
          <w:szCs w:val="18"/>
        </w:rPr>
        <w:t xml:space="preserve">carlymartin@araf-standard.org · araf-standard.org</w:t>
      </w:r>
    </w:p>
    <w:p>
      <w:pPr>
        <w:pBdr>
          <w:bottom w:val="single" w:color="D4D0C8" w:sz="2" w:space="1"/>
        </w:pBdr>
        <w:spacing w:before="240" w:after="240"/>
      </w:pPr>
    </w:p>
    <w:p>
      <w:pPr>
        <w:spacing w:before="240" w:after="120"/>
      </w:pPr>
      <w:r>
        <w:rPr>
          <w:rFonts w:ascii="Courier New" w:cs="Courier New" w:eastAsia="Courier New" w:hAnsi="Courier New"/>
          <w:b/>
          <w:bCs/>
          <w:caps/>
          <w:color w:val="A88644"/>
          <w:sz w:val="22"/>
          <w:szCs w:val="22"/>
        </w:rPr>
        <w:t xml:space="preserve">Canonical Citation</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Martin, Carly. Decision Infrastructure Governance: The Institutional Case for Trust Architecture. Institute for Autonomous Governance Pty Ltd, 2026.</w:t>
      </w:r>
    </w:p>
    <w:p>
      <w:pPr>
        <w:pBdr>
          <w:bottom w:val="single" w:color="D4D0C8" w:sz="2" w:space="1"/>
        </w:pBdr>
        <w:spacing w:before="240" w:after="240"/>
      </w:pPr>
    </w:p>
    <w:p>
      <w:pPr>
        <w:spacing w:before="240" w:after="120"/>
      </w:pPr>
      <w:r>
        <w:rPr>
          <w:rFonts w:ascii="Courier New" w:cs="Courier New" w:eastAsia="Courier New" w:hAnsi="Courier New"/>
          <w:b/>
          <w:bCs/>
          <w:caps/>
          <w:color w:val="A88644"/>
          <w:sz w:val="22"/>
          <w:szCs w:val="22"/>
        </w:rPr>
        <w:t xml:space="preserve">Key Sources</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ASIC v Bekier [2026] FCA 196 (Federal Court of Australia, Lee J, 5 March 2026)</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ASIC v Healey [2011] FCA 717 (Centro case)</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ASIC v Cassimatis (No 8) [2016] FCA 1023</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In re Caremark International Inc. Derivative Litigation, 698 A.2d 959 (Del. Ch. 1996)</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Corporations Act 2001 (Cth) s 180(1)</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EU AI Act, Regulation (EU) 2024/1689</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APRA Prudential Standard CPS 230: Operational Risk Management (effective 1 July 2025)</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Lloyd's Market Association, Understanding AI Exposures (January 2026)</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Anthropic Economic Index: Labor Market Impacts of AI (March 2026)</w:t>
      </w:r>
    </w:p>
    <w:p>
      <w:pPr>
        <w:spacing w:line="280" w:before="0" w:after="140"/>
        <w:jc w:val="left"/>
      </w:pPr>
      <w:r>
        <w:rPr>
          <w:rFonts w:ascii="Courier New" w:cs="Courier New" w:eastAsia="Courier New" w:hAnsi="Courier New"/>
          <w:b w:val="false"/>
          <w:bCs w:val="false"/>
          <w:i w:val="false"/>
          <w:iCs w:val="false"/>
          <w:color w:val="0D0D0B"/>
          <w:sz w:val="20"/>
          <w:szCs w:val="20"/>
        </w:rPr>
        <w:t xml:space="preserve">Gartner, Top Strategic Technology Trends 2026; Top Trends in Data and Analytics 2026</w:t>
      </w:r>
    </w:p>
    <w:p>
      <w:pPr>
        <w:pBdr>
          <w:bottom w:val="single" w:color="D4D0C8" w:sz="2" w:space="1"/>
        </w:pBdr>
        <w:spacing w:before="240" w:after="240"/>
      </w:pPr>
    </w:p>
    <w:p>
      <w:pPr>
        <w:spacing w:before="80" w:after="0"/>
      </w:pPr>
      <w:r>
        <w:rPr>
          <w:rFonts w:ascii="Courier New" w:cs="Courier New" w:eastAsia="Courier New" w:hAnsi="Courier New"/>
          <w:color w:val="7A7A72"/>
          <w:sz w:val="17"/>
          <w:szCs w:val="17"/>
        </w:rPr>
        <w:t xml:space="preserve">© 2026 Institute for Autonomous Governance Pty Ltd (ACN 696 112 277). All rights reserved.  araf-standard.org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2026-03-15T07:57:11.975Z</dcterms:created>
  <dcterms:modified xsi:type="dcterms:W3CDTF">2026-03-15T07:57:11.976Z</dcterms:modified>
</cp:coreProperties>
</file>

<file path=docProps/custom.xml><?xml version="1.0" encoding="utf-8"?>
<Properties xmlns="http://schemas.openxmlformats.org/officeDocument/2006/custom-properties" xmlns:vt="http://schemas.openxmlformats.org/officeDocument/2006/docPropsVTypes"/>
</file>