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6181" w14:textId="77777777" w:rsidR="00FE7F08" w:rsidRPr="00F735E7" w:rsidRDefault="00FE7F08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hr-HR" w:eastAsia="en-IE"/>
        </w:rPr>
      </w:pPr>
    </w:p>
    <w:p w14:paraId="3A26512E" w14:textId="0C03B203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B0517D7" w14:textId="77777777" w:rsidR="00C10D05" w:rsidRPr="00F735E7" w:rsidRDefault="00C10D05" w:rsidP="00C10D05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FA65E73" w14:textId="77777777" w:rsidR="00CB5FCA" w:rsidRPr="004131B8" w:rsidRDefault="00CB5FCA" w:rsidP="00CB5FC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4131B8">
        <w:rPr>
          <w:rFonts w:ascii="Times New Roman" w:hAnsi="Times New Roman" w:cs="Times New Roman"/>
          <w:b/>
          <w:bCs/>
          <w:i/>
          <w:iCs/>
          <w:sz w:val="56"/>
          <w:szCs w:val="56"/>
        </w:rPr>
        <w:t>Analysis of the transfers impact assessment of personal data to third countries</w:t>
      </w:r>
    </w:p>
    <w:p w14:paraId="264058C8" w14:textId="5A8BF7CE" w:rsidR="00F735E7" w:rsidRPr="000C6E36" w:rsidRDefault="00F735E7" w:rsidP="00F735E7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</w:pPr>
      <w:r w:rsidRPr="00F735E7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  <w:t xml:space="preserve"> </w:t>
      </w:r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Transfer </w:t>
      </w:r>
      <w:proofErr w:type="spellStart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>Impact</w:t>
      </w:r>
      <w:proofErr w:type="spellEnd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 Assessment (TIA) </w:t>
      </w:r>
    </w:p>
    <w:p w14:paraId="22E70E6A" w14:textId="0D9AC002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1520B7E6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3BBFA8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6346659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4747C3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098DF1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3B3CB6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8FEC69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6D73D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390247C4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787EE51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4CE512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1A0CE439" w14:textId="77777777" w:rsidR="00C10D05" w:rsidRPr="00F735E7" w:rsidRDefault="00C10D05" w:rsidP="00C07835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CAC0FAC" w14:textId="77777777" w:rsidR="00C07835" w:rsidRDefault="00C07835" w:rsidP="00C07835">
      <w:pPr>
        <w:spacing w:after="60" w:line="240" w:lineRule="auto"/>
        <w:ind w:left="57" w:right="57"/>
        <w:rPr>
          <w:rFonts w:ascii="Times New Roman" w:hAnsi="Times New Roman" w:cs="Times New Roman"/>
          <w:sz w:val="24"/>
          <w:szCs w:val="24"/>
          <w:lang w:val="hr-HR"/>
        </w:rPr>
      </w:pPr>
    </w:p>
    <w:p w14:paraId="4D77FBD1" w14:textId="77777777" w:rsidR="003C1F04" w:rsidRPr="00F735E7" w:rsidRDefault="003C1F04" w:rsidP="003E7AFA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5238"/>
      </w:tblGrid>
      <w:tr w:rsidR="006231C2" w:rsidRPr="00F735E7" w14:paraId="703C5055" w14:textId="77777777" w:rsidTr="00B77706">
        <w:tc>
          <w:tcPr>
            <w:tcW w:w="846" w:type="dxa"/>
            <w:shd w:val="clear" w:color="auto" w:fill="9CC2E5" w:themeFill="accent1" w:themeFillTint="99"/>
          </w:tcPr>
          <w:p w14:paraId="75E2CE90" w14:textId="77777777" w:rsidR="006231C2" w:rsidRPr="00F735E7" w:rsidRDefault="006231C2" w:rsidP="003C7917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91B6B7E" w14:textId="77777777" w:rsidR="006231C2" w:rsidRPr="00F735E7" w:rsidRDefault="006231C2" w:rsidP="003C7917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1.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4BF779F1" w14:textId="77777777" w:rsidR="006231C2" w:rsidRPr="00F735E7" w:rsidRDefault="006231C2" w:rsidP="006231C2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700E0317" w14:textId="570CE976" w:rsidR="006231C2" w:rsidRPr="00F735E7" w:rsidRDefault="00CB5FCA" w:rsidP="006231C2">
            <w:pPr>
              <w:rPr>
                <w:rFonts w:ascii="Times New Roman" w:hAnsi="Times New Roman" w:cs="Times New Roman"/>
                <w:b/>
                <w:color w:val="C5E0B3" w:themeColor="accent6" w:themeTint="66"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Contracting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parties</w:t>
            </w:r>
            <w:proofErr w:type="spellEnd"/>
          </w:p>
          <w:p w14:paraId="649982D0" w14:textId="77777777" w:rsidR="006231C2" w:rsidRPr="00F735E7" w:rsidRDefault="006231C2" w:rsidP="006231C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C7917" w:rsidRPr="00F735E7" w14:paraId="420D8C36" w14:textId="77777777" w:rsidTr="00CB5FCA">
        <w:trPr>
          <w:trHeight w:val="430"/>
        </w:trPr>
        <w:tc>
          <w:tcPr>
            <w:tcW w:w="846" w:type="dxa"/>
          </w:tcPr>
          <w:p w14:paraId="54E2C6DC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1.1</w:t>
            </w:r>
          </w:p>
        </w:tc>
        <w:tc>
          <w:tcPr>
            <w:tcW w:w="4678" w:type="dxa"/>
          </w:tcPr>
          <w:p w14:paraId="1AF3DB0A" w14:textId="530F73C9" w:rsidR="00175F51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name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</w:tc>
        <w:tc>
          <w:tcPr>
            <w:tcW w:w="5238" w:type="dxa"/>
          </w:tcPr>
          <w:p w14:paraId="2164A42F" w14:textId="371EA0AC" w:rsidR="003C7917" w:rsidRPr="00345034" w:rsidRDefault="00345034" w:rsidP="003C7917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${TIA-1.1}</w:t>
            </w:r>
          </w:p>
          <w:p w14:paraId="2CFB5C38" w14:textId="77777777" w:rsidR="00B63701" w:rsidRPr="00345034" w:rsidRDefault="00B63701" w:rsidP="00332730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26F738A2" w14:textId="77777777" w:rsidTr="003C7917">
        <w:tc>
          <w:tcPr>
            <w:tcW w:w="846" w:type="dxa"/>
          </w:tcPr>
          <w:p w14:paraId="1CC8D27B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1.2</w:t>
            </w:r>
          </w:p>
        </w:tc>
        <w:tc>
          <w:tcPr>
            <w:tcW w:w="4678" w:type="dxa"/>
          </w:tcPr>
          <w:p w14:paraId="3296A2E7" w14:textId="77777777" w:rsidR="00175F51" w:rsidRDefault="00CB5FCA" w:rsidP="00CB5FCA">
            <w:p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role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joint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)?</w:t>
            </w:r>
          </w:p>
          <w:p w14:paraId="5F3F6A82" w14:textId="7F322C47" w:rsidR="00CB5FCA" w:rsidRPr="00F735E7" w:rsidRDefault="00CB5FCA" w:rsidP="00CB5FCA">
            <w:p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529B32C3" w14:textId="44ED41E8" w:rsidR="00175F51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${TIA-1.2}</w:t>
            </w:r>
          </w:p>
        </w:tc>
      </w:tr>
      <w:tr w:rsidR="003C7917" w:rsidRPr="00F735E7" w14:paraId="16971D1A" w14:textId="77777777" w:rsidTr="00175F51">
        <w:trPr>
          <w:trHeight w:val="645"/>
        </w:trPr>
        <w:tc>
          <w:tcPr>
            <w:tcW w:w="846" w:type="dxa"/>
          </w:tcPr>
          <w:p w14:paraId="754477DD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1.3</w:t>
            </w:r>
          </w:p>
        </w:tc>
        <w:tc>
          <w:tcPr>
            <w:tcW w:w="4678" w:type="dxa"/>
          </w:tcPr>
          <w:p w14:paraId="5EB75165" w14:textId="6B9A69A0" w:rsidR="003C7917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name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</w:tc>
        <w:tc>
          <w:tcPr>
            <w:tcW w:w="5238" w:type="dxa"/>
          </w:tcPr>
          <w:p w14:paraId="5D063A38" w14:textId="0E95EB6E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${TIA-1.3}</w:t>
            </w:r>
          </w:p>
          <w:p w14:paraId="15C73709" w14:textId="77777777" w:rsidR="00B63701" w:rsidRPr="00345034" w:rsidRDefault="00B63701" w:rsidP="00B63701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5732E5FE" w14:textId="77777777" w:rsidTr="00175F51">
        <w:trPr>
          <w:trHeight w:val="475"/>
        </w:trPr>
        <w:tc>
          <w:tcPr>
            <w:tcW w:w="846" w:type="dxa"/>
          </w:tcPr>
          <w:p w14:paraId="3E443733" w14:textId="77777777" w:rsidR="00197118" w:rsidRPr="00F735E7" w:rsidRDefault="00197118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1.4 </w:t>
            </w:r>
          </w:p>
        </w:tc>
        <w:tc>
          <w:tcPr>
            <w:tcW w:w="4678" w:type="dxa"/>
          </w:tcPr>
          <w:p w14:paraId="5A0687AD" w14:textId="23B58CB7" w:rsidR="00197118" w:rsidRPr="00F735E7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</w:p>
        </w:tc>
        <w:tc>
          <w:tcPr>
            <w:tcW w:w="5238" w:type="dxa"/>
          </w:tcPr>
          <w:p w14:paraId="762F3ECB" w14:textId="099E2A55" w:rsidR="00CD4F5C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${TIA-1.4}</w:t>
            </w:r>
          </w:p>
          <w:p w14:paraId="0D88E12B" w14:textId="77777777" w:rsidR="00B63701" w:rsidRPr="00345034" w:rsidRDefault="00B63701" w:rsidP="00197118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4BAC0BD6" w14:textId="77777777" w:rsidTr="003C7917">
        <w:tc>
          <w:tcPr>
            <w:tcW w:w="846" w:type="dxa"/>
          </w:tcPr>
          <w:p w14:paraId="56AE2407" w14:textId="77777777" w:rsidR="003C7917" w:rsidRPr="00F735E7" w:rsidRDefault="00D01DC5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1.5</w:t>
            </w:r>
          </w:p>
        </w:tc>
        <w:tc>
          <w:tcPr>
            <w:tcW w:w="4678" w:type="dxa"/>
          </w:tcPr>
          <w:p w14:paraId="44661EA7" w14:textId="77777777" w:rsidR="003C791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Role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joint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)?</w:t>
            </w:r>
          </w:p>
          <w:p w14:paraId="71A909D1" w14:textId="30A08491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CAB102" w14:textId="5FC2771F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${TIA-1.5}</w:t>
            </w:r>
          </w:p>
          <w:p w14:paraId="6FD7FA59" w14:textId="77777777" w:rsidR="00B63701" w:rsidRPr="00345034" w:rsidRDefault="00B63701" w:rsidP="00345034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0BE279D1" w14:textId="77777777" w:rsidTr="00345034">
        <w:trPr>
          <w:trHeight w:val="671"/>
        </w:trPr>
        <w:tc>
          <w:tcPr>
            <w:tcW w:w="846" w:type="dxa"/>
          </w:tcPr>
          <w:p w14:paraId="0C1B5B85" w14:textId="7A227326" w:rsidR="00197118" w:rsidRPr="00F735E7" w:rsidRDefault="00B63701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</w:t>
            </w:r>
            <w:r w:rsidR="002D41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</w:p>
        </w:tc>
        <w:tc>
          <w:tcPr>
            <w:tcW w:w="4678" w:type="dxa"/>
          </w:tcPr>
          <w:p w14:paraId="6A0C6B09" w14:textId="77777777" w:rsidR="00197118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Date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commencement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1092AC00" w14:textId="7641D4C5" w:rsidR="00CB5FCA" w:rsidRPr="00F735E7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B663A97" w14:textId="40306FA7" w:rsidR="00533B19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${TIA-1.6}</w:t>
            </w:r>
          </w:p>
        </w:tc>
      </w:tr>
      <w:tr w:rsidR="00B63701" w:rsidRPr="00F735E7" w14:paraId="79C96BAF" w14:textId="77777777" w:rsidTr="00A07881">
        <w:tc>
          <w:tcPr>
            <w:tcW w:w="846" w:type="dxa"/>
            <w:shd w:val="clear" w:color="auto" w:fill="9CC2E5" w:themeFill="accent1" w:themeFillTint="99"/>
          </w:tcPr>
          <w:p w14:paraId="681E3275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6982988E" w14:textId="77777777" w:rsidR="00B63701" w:rsidRPr="000826E5" w:rsidRDefault="00B63701" w:rsidP="00B63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2.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5223688F" w14:textId="77777777" w:rsidR="00B63701" w:rsidRPr="00F735E7" w:rsidRDefault="00B63701" w:rsidP="00B63701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36F2226" w14:textId="624FD1DB" w:rsidR="00B63701" w:rsidRPr="00F735E7" w:rsidRDefault="00CE63E6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Third </w:t>
            </w:r>
            <w:proofErr w:type="spellStart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country</w:t>
            </w:r>
            <w:proofErr w:type="spellEnd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details</w:t>
            </w:r>
            <w:proofErr w:type="spellEnd"/>
          </w:p>
          <w:p w14:paraId="497DCA5F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</w:tc>
      </w:tr>
      <w:tr w:rsidR="00197118" w:rsidRPr="00F735E7" w14:paraId="70389D56" w14:textId="77777777" w:rsidTr="00345034">
        <w:trPr>
          <w:trHeight w:val="561"/>
        </w:trPr>
        <w:tc>
          <w:tcPr>
            <w:tcW w:w="846" w:type="dxa"/>
            <w:shd w:val="clear" w:color="auto" w:fill="auto"/>
          </w:tcPr>
          <w:p w14:paraId="3F351C39" w14:textId="77777777" w:rsidR="00197118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2.1</w:t>
            </w:r>
          </w:p>
        </w:tc>
        <w:tc>
          <w:tcPr>
            <w:tcW w:w="4678" w:type="dxa"/>
            <w:shd w:val="clear" w:color="auto" w:fill="auto"/>
          </w:tcPr>
          <w:p w14:paraId="577FE519" w14:textId="77777777" w:rsidR="00197118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are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3889617" w14:textId="056B463C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  <w:shd w:val="clear" w:color="auto" w:fill="auto"/>
          </w:tcPr>
          <w:p w14:paraId="539402B4" w14:textId="6E9A9881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45034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${TIA-2.1}</w:t>
            </w:r>
          </w:p>
        </w:tc>
      </w:tr>
      <w:tr w:rsidR="00CD4F5C" w:rsidRPr="00F735E7" w14:paraId="5CCDFB95" w14:textId="77777777" w:rsidTr="003C7917">
        <w:tc>
          <w:tcPr>
            <w:tcW w:w="846" w:type="dxa"/>
          </w:tcPr>
          <w:p w14:paraId="46F8E64D" w14:textId="77777777" w:rsidR="00CD4F5C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2.2</w:t>
            </w:r>
          </w:p>
        </w:tc>
        <w:tc>
          <w:tcPr>
            <w:tcW w:w="4678" w:type="dxa"/>
          </w:tcPr>
          <w:p w14:paraId="23CB098E" w14:textId="77777777" w:rsidR="006B19BC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mechanism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Art. 46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GDPR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used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</w:t>
            </w:r>
          </w:p>
          <w:p w14:paraId="55A7EDC4" w14:textId="0501580B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B689B7" w14:textId="3B33CC55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${TIA-2.2}</w:t>
            </w:r>
          </w:p>
        </w:tc>
      </w:tr>
      <w:tr w:rsidR="00A302E4" w:rsidRPr="00F735E7" w14:paraId="186E551C" w14:textId="77777777" w:rsidTr="003C7917">
        <w:tc>
          <w:tcPr>
            <w:tcW w:w="846" w:type="dxa"/>
          </w:tcPr>
          <w:p w14:paraId="2F1DC648" w14:textId="5DE3ECC6" w:rsidR="00A302E4" w:rsidRPr="00F735E7" w:rsidRDefault="00A302E4" w:rsidP="00A302E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</w:t>
            </w:r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7EF6005A" w14:textId="77777777" w:rsidR="00175F51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Will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further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transfer.</w:t>
            </w:r>
          </w:p>
          <w:p w14:paraId="244C83E9" w14:textId="0B98A2DF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BD012CF" w14:textId="62FBF146" w:rsidR="00EC71B2" w:rsidRPr="00345034" w:rsidRDefault="00345034" w:rsidP="00A302E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${TIA-2.3}</w:t>
            </w:r>
          </w:p>
        </w:tc>
      </w:tr>
      <w:tr w:rsidR="002E1F44" w:rsidRPr="00F735E7" w14:paraId="6A95C122" w14:textId="77777777" w:rsidTr="00260E6A">
        <w:tc>
          <w:tcPr>
            <w:tcW w:w="846" w:type="dxa"/>
            <w:shd w:val="clear" w:color="auto" w:fill="9CC2E5" w:themeFill="accent1" w:themeFillTint="99"/>
          </w:tcPr>
          <w:p w14:paraId="5BC3D8B4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035D60D0" w14:textId="77777777" w:rsidR="002E1F44" w:rsidRPr="000826E5" w:rsidRDefault="002E1F44" w:rsidP="002E1F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3.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057C2DC" w14:textId="77777777" w:rsidR="002E1F44" w:rsidRPr="00F735E7" w:rsidRDefault="002E1F44" w:rsidP="002E1F44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1DB4DB6" w14:textId="59C424C1" w:rsidR="002E1F44" w:rsidRPr="00F735E7" w:rsidRDefault="00CE63E6" w:rsidP="002E1F44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on transfer data</w:t>
            </w:r>
          </w:p>
          <w:p w14:paraId="45410626" w14:textId="77777777" w:rsidR="002E1F44" w:rsidRPr="00F735E7" w:rsidRDefault="002E1F44" w:rsidP="002E1F4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2E1F44" w:rsidRPr="00F735E7" w14:paraId="4C6B2903" w14:textId="77777777" w:rsidTr="00345034">
        <w:trPr>
          <w:trHeight w:val="565"/>
        </w:trPr>
        <w:tc>
          <w:tcPr>
            <w:tcW w:w="846" w:type="dxa"/>
          </w:tcPr>
          <w:p w14:paraId="0E1F33AF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3.1</w:t>
            </w:r>
          </w:p>
        </w:tc>
        <w:tc>
          <w:tcPr>
            <w:tcW w:w="4678" w:type="dxa"/>
          </w:tcPr>
          <w:p w14:paraId="5E0E7D7D" w14:textId="0D6A69C1" w:rsidR="002E1F44" w:rsidRPr="00F735E7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purpose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transfer?</w:t>
            </w:r>
          </w:p>
        </w:tc>
        <w:tc>
          <w:tcPr>
            <w:tcW w:w="5238" w:type="dxa"/>
          </w:tcPr>
          <w:p w14:paraId="3E1F28C0" w14:textId="538002B6" w:rsidR="002E1F44" w:rsidRPr="00345034" w:rsidRDefault="00B03FA9" w:rsidP="002E1F4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${TIA-3.1}</w:t>
            </w:r>
          </w:p>
        </w:tc>
      </w:tr>
      <w:tr w:rsidR="00533B19" w:rsidRPr="00F735E7" w14:paraId="07AB0568" w14:textId="77777777" w:rsidTr="003C7917">
        <w:tc>
          <w:tcPr>
            <w:tcW w:w="846" w:type="dxa"/>
          </w:tcPr>
          <w:p w14:paraId="4BFD5F5A" w14:textId="7CB10F84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1B248C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78" w:type="dxa"/>
          </w:tcPr>
          <w:p w14:paraId="2358B089" w14:textId="77777777" w:rsidR="00175F51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their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children's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information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criminal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convictions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transmitted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concerned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523FEF6A" w14:textId="1AE30F54" w:rsidR="00CB5FCA" w:rsidRPr="00F735E7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58F5B37" w14:textId="531CB0D6" w:rsidR="00C07835" w:rsidRPr="00345034" w:rsidRDefault="00B03FA9" w:rsidP="001B248C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${TIA-3.2}</w:t>
            </w:r>
          </w:p>
        </w:tc>
      </w:tr>
      <w:tr w:rsidR="00533B19" w:rsidRPr="00F735E7" w14:paraId="6C3CDD44" w14:textId="77777777" w:rsidTr="003C7917">
        <w:tc>
          <w:tcPr>
            <w:tcW w:w="846" w:type="dxa"/>
          </w:tcPr>
          <w:p w14:paraId="0BCEE4E3" w14:textId="44492101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36360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6CD599DA" w14:textId="77777777" w:rsidR="00175F51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about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through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Policy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please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method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notification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1B2F98C2" w14:textId="1074049E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E42301F" w14:textId="07A997B5" w:rsidR="00C07835" w:rsidRPr="00345034" w:rsidRDefault="00B03FA9" w:rsidP="009D782A">
            <w:pPr>
              <w:spacing w:after="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  <w:t>${TIA-3.3}</w:t>
            </w:r>
          </w:p>
        </w:tc>
      </w:tr>
      <w:tr w:rsidR="007E0FDE" w:rsidRPr="00F735E7" w14:paraId="34D822AC" w14:textId="77777777" w:rsidTr="003C7917">
        <w:tc>
          <w:tcPr>
            <w:tcW w:w="846" w:type="dxa"/>
          </w:tcPr>
          <w:p w14:paraId="3E312B87" w14:textId="3310FBAA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82271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78" w:type="dxa"/>
          </w:tcPr>
          <w:p w14:paraId="340B0D78" w14:textId="77777777" w:rsidR="00822718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basis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Art. 6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General Data Protection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Regulation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5FB7B3" w14:textId="3F5BE33F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768058B6" w14:textId="3C774752" w:rsidR="007E0FDE" w:rsidRPr="00B03FA9" w:rsidRDefault="00B03FA9" w:rsidP="007E0FDE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 w:rsidRPr="00B03FA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${TIA-3.4}</w:t>
            </w:r>
          </w:p>
        </w:tc>
      </w:tr>
      <w:tr w:rsidR="007E0FDE" w:rsidRPr="00F735E7" w14:paraId="5A6D4A91" w14:textId="77777777" w:rsidTr="00260E6A">
        <w:tc>
          <w:tcPr>
            <w:tcW w:w="846" w:type="dxa"/>
            <w:shd w:val="clear" w:color="auto" w:fill="9CC2E5" w:themeFill="accent1" w:themeFillTint="99"/>
          </w:tcPr>
          <w:p w14:paraId="095189D1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820C23D" w14:textId="77777777" w:rsidR="007E0FDE" w:rsidRPr="000826E5" w:rsidRDefault="007E0FDE" w:rsidP="007E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4.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BC85130" w14:textId="77777777" w:rsidR="007E0FDE" w:rsidRPr="00F735E7" w:rsidRDefault="007E0FDE" w:rsidP="007E0FDE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1E8724CE" w14:textId="35269048" w:rsidR="007E0FDE" w:rsidRDefault="00CE63E6" w:rsidP="00260E6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Safeguards</w:t>
            </w:r>
            <w:proofErr w:type="spellEnd"/>
          </w:p>
          <w:p w14:paraId="2C588183" w14:textId="3B3CA873" w:rsidR="00260E6A" w:rsidRPr="00F735E7" w:rsidRDefault="00260E6A" w:rsidP="00260E6A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7E0FDE" w:rsidRPr="00F735E7" w14:paraId="3DCD5158" w14:textId="77777777" w:rsidTr="003C7917">
        <w:tc>
          <w:tcPr>
            <w:tcW w:w="846" w:type="dxa"/>
          </w:tcPr>
          <w:p w14:paraId="2DD27D8F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4.1</w:t>
            </w:r>
          </w:p>
        </w:tc>
        <w:tc>
          <w:tcPr>
            <w:tcW w:w="4678" w:type="dxa"/>
          </w:tcPr>
          <w:p w14:paraId="25FA39AF" w14:textId="77777777" w:rsidR="00D642A0" w:rsidRDefault="00CB5FCA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In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form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will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27AB77" w14:textId="11244174" w:rsidR="00CB5FCA" w:rsidRPr="00F735E7" w:rsidRDefault="00CB5FCA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0B28F861" w14:textId="1DB930B0" w:rsidR="007E0FDE" w:rsidRPr="00F735E7" w:rsidRDefault="00AC6DC3" w:rsidP="007E0FDE">
            <w:pPr>
              <w:spacing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${TIA-4.1}</w:t>
            </w:r>
          </w:p>
        </w:tc>
      </w:tr>
      <w:tr w:rsidR="007E0FDE" w:rsidRPr="00F735E7" w14:paraId="07392B7C" w14:textId="77777777" w:rsidTr="003C7917">
        <w:tc>
          <w:tcPr>
            <w:tcW w:w="846" w:type="dxa"/>
          </w:tcPr>
          <w:p w14:paraId="5FF20E9C" w14:textId="236C6385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4.</w:t>
            </w:r>
            <w:r w:rsidR="00E3522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78" w:type="dxa"/>
          </w:tcPr>
          <w:p w14:paraId="16583F09" w14:textId="77777777" w:rsidR="00E35223" w:rsidRDefault="00CB5FCA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safeguards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data?</w:t>
            </w:r>
          </w:p>
          <w:p w14:paraId="642768A3" w14:textId="62B59DDF" w:rsidR="00CB5FCA" w:rsidRPr="00F735E7" w:rsidRDefault="00CB5FCA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6F6EC2EF" w14:textId="2212B92C" w:rsidR="007E0FDE" w:rsidRPr="00F735E7" w:rsidRDefault="00AC6DC3" w:rsidP="00E35223">
            <w:pPr>
              <w:spacing w:after="60"/>
              <w:rPr>
                <w:rFonts w:ascii="Segoe UI Symbol" w:hAnsi="Segoe UI Symbol" w:cs="Segoe UI Symbol"/>
                <w:sz w:val="24"/>
                <w:szCs w:val="24"/>
                <w:lang w:val="hr-HR"/>
              </w:rPr>
            </w:pP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2</w:t>
            </w: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}</w:t>
            </w:r>
          </w:p>
        </w:tc>
      </w:tr>
    </w:tbl>
    <w:p w14:paraId="79C85574" w14:textId="77777777" w:rsidR="00D01DC5" w:rsidRPr="00F735E7" w:rsidRDefault="00D01DC5" w:rsidP="003C7917">
      <w:pPr>
        <w:tabs>
          <w:tab w:val="left" w:pos="4215"/>
        </w:tabs>
        <w:rPr>
          <w:sz w:val="8"/>
          <w:szCs w:val="8"/>
          <w:lang w:val="hr-HR"/>
        </w:rPr>
      </w:pPr>
    </w:p>
    <w:tbl>
      <w:tblPr>
        <w:tblStyle w:val="Reetkatablice"/>
        <w:tblW w:w="10768" w:type="dxa"/>
        <w:tblLook w:val="04A0" w:firstRow="1" w:lastRow="0" w:firstColumn="1" w:lastColumn="0" w:noHBand="0" w:noVBand="1"/>
      </w:tblPr>
      <w:tblGrid>
        <w:gridCol w:w="843"/>
        <w:gridCol w:w="4681"/>
        <w:gridCol w:w="5244"/>
      </w:tblGrid>
      <w:tr w:rsidR="00DB0628" w:rsidRPr="00F735E7" w14:paraId="2A772178" w14:textId="77777777" w:rsidTr="000C6E36">
        <w:tc>
          <w:tcPr>
            <w:tcW w:w="843" w:type="dxa"/>
            <w:shd w:val="clear" w:color="auto" w:fill="9CC2E5" w:themeFill="accent1" w:themeFillTint="99"/>
          </w:tcPr>
          <w:p w14:paraId="76A2AB6F" w14:textId="09821E71" w:rsidR="00E20FCC" w:rsidRPr="00F735E7" w:rsidRDefault="00E72FC1" w:rsidP="00E20FCC">
            <w:pPr>
              <w:pStyle w:val="Level1"/>
              <w:numPr>
                <w:ilvl w:val="0"/>
                <w:numId w:val="0"/>
              </w:numPr>
              <w:spacing w:before="120" w:after="120"/>
              <w:ind w:left="850" w:hanging="85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5</w:t>
            </w:r>
            <w:r w:rsidR="00E20FCC"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. </w:t>
            </w:r>
          </w:p>
        </w:tc>
        <w:tc>
          <w:tcPr>
            <w:tcW w:w="9925" w:type="dxa"/>
            <w:gridSpan w:val="2"/>
            <w:shd w:val="clear" w:color="auto" w:fill="9CC2E5" w:themeFill="accent1" w:themeFillTint="99"/>
          </w:tcPr>
          <w:p w14:paraId="5997AA8F" w14:textId="00387621" w:rsidR="00E20FCC" w:rsidRPr="00F735E7" w:rsidRDefault="00CE63E6" w:rsidP="008459D6">
            <w:pPr>
              <w:pStyle w:val="Level1"/>
              <w:numPr>
                <w:ilvl w:val="0"/>
                <w:numId w:val="0"/>
              </w:numPr>
              <w:spacing w:before="120" w:after="120"/>
              <w:ind w:left="57" w:right="74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</w:pPr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Personal data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protection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laws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and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practices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in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third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countries</w:t>
            </w:r>
            <w:proofErr w:type="spellEnd"/>
          </w:p>
        </w:tc>
      </w:tr>
      <w:tr w:rsidR="00DB0628" w:rsidRPr="00F735E7" w14:paraId="5634F34E" w14:textId="77777777" w:rsidTr="00093526">
        <w:trPr>
          <w:trHeight w:val="1256"/>
        </w:trPr>
        <w:tc>
          <w:tcPr>
            <w:tcW w:w="843" w:type="dxa"/>
          </w:tcPr>
          <w:p w14:paraId="20A1A5AE" w14:textId="26DF76A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</w:t>
            </w:r>
          </w:p>
        </w:tc>
        <w:tc>
          <w:tcPr>
            <w:tcW w:w="4681" w:type="dxa"/>
          </w:tcPr>
          <w:p w14:paraId="4F9DF016" w14:textId="43032A23" w:rsidR="000C6E36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Does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law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must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</w:tc>
        <w:tc>
          <w:tcPr>
            <w:tcW w:w="5244" w:type="dxa"/>
          </w:tcPr>
          <w:p w14:paraId="79104B0A" w14:textId="2EB7AAF4" w:rsidR="000C6E36" w:rsidRPr="00282505" w:rsidRDefault="00282505" w:rsidP="00CB5FCA">
            <w:pPr>
              <w:pStyle w:val="Level1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${TIA-5.1}</w:t>
            </w:r>
          </w:p>
        </w:tc>
      </w:tr>
      <w:tr w:rsidR="00DB0628" w:rsidRPr="00F735E7" w14:paraId="3F2B63ED" w14:textId="77777777" w:rsidTr="00093526">
        <w:tc>
          <w:tcPr>
            <w:tcW w:w="843" w:type="dxa"/>
          </w:tcPr>
          <w:p w14:paraId="368041C2" w14:textId="75BDBCF5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5.2</w:t>
            </w:r>
          </w:p>
        </w:tc>
        <w:tc>
          <w:tcPr>
            <w:tcW w:w="4681" w:type="dxa"/>
          </w:tcPr>
          <w:p w14:paraId="6C44FD09" w14:textId="77777777" w:rsidR="00E2099F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rectify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etc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.?</w:t>
            </w:r>
          </w:p>
          <w:p w14:paraId="2CCC516F" w14:textId="32C22366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5CE139" w14:textId="741717AD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2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2308998" w14:textId="77777777" w:rsidTr="00093526">
        <w:tc>
          <w:tcPr>
            <w:tcW w:w="843" w:type="dxa"/>
          </w:tcPr>
          <w:p w14:paraId="180A2505" w14:textId="4EBF35C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5.3</w:t>
            </w:r>
          </w:p>
        </w:tc>
        <w:tc>
          <w:tcPr>
            <w:tcW w:w="4681" w:type="dxa"/>
          </w:tcPr>
          <w:p w14:paraId="3BC659F2" w14:textId="77777777" w:rsidR="00CB5FCA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independent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</w:t>
            </w:r>
          </w:p>
          <w:p w14:paraId="2E4C4C7F" w14:textId="76873342" w:rsidR="000C6E36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5244" w:type="dxa"/>
          </w:tcPr>
          <w:p w14:paraId="401F80F9" w14:textId="3A96D3E7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3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30982C9F" w14:textId="77777777" w:rsidTr="00093526">
        <w:tc>
          <w:tcPr>
            <w:tcW w:w="843" w:type="dxa"/>
          </w:tcPr>
          <w:p w14:paraId="5B1B648F" w14:textId="3B80941F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5.4</w:t>
            </w:r>
          </w:p>
        </w:tc>
        <w:tc>
          <w:tcPr>
            <w:tcW w:w="4681" w:type="dxa"/>
          </w:tcPr>
          <w:p w14:paraId="2862EF68" w14:textId="77777777" w:rsidR="000C6E36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contact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court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 </w:t>
            </w:r>
          </w:p>
          <w:p w14:paraId="6B617BD6" w14:textId="3E805130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5D8ADD7" w14:textId="574C3645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4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3A7B88" w14:textId="77777777" w:rsidTr="00093526">
        <w:tc>
          <w:tcPr>
            <w:tcW w:w="843" w:type="dxa"/>
          </w:tcPr>
          <w:p w14:paraId="58F4AB2C" w14:textId="338AB719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5.5</w:t>
            </w:r>
          </w:p>
        </w:tc>
        <w:tc>
          <w:tcPr>
            <w:tcW w:w="4681" w:type="dxa"/>
          </w:tcPr>
          <w:p w14:paraId="5F651F4B" w14:textId="77777777" w:rsidR="000C6E36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breaches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result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judicial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financial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penalty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66D1187D" w14:textId="0BF3D415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7EA56FDD" w14:textId="221A2ADE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5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728F8DFA" w14:textId="77777777" w:rsidTr="00093526">
        <w:tc>
          <w:tcPr>
            <w:tcW w:w="843" w:type="dxa"/>
          </w:tcPr>
          <w:p w14:paraId="28A71564" w14:textId="49EBA2D9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5.6</w:t>
            </w:r>
          </w:p>
        </w:tc>
        <w:tc>
          <w:tcPr>
            <w:tcW w:w="4681" w:type="dxa"/>
          </w:tcPr>
          <w:p w14:paraId="57A20525" w14:textId="77777777" w:rsidR="000C6E36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their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specific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laws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field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national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security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must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constitute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obstacle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GDPR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standard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contractual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clauses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approved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European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Commission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039F4116" w14:textId="419A5A3E" w:rsidR="00CB5FCA" w:rsidRPr="00F735E7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0F90980D" w14:textId="38BF4D4F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6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87550B2" w14:textId="77777777" w:rsidTr="00093526">
        <w:tc>
          <w:tcPr>
            <w:tcW w:w="843" w:type="dxa"/>
          </w:tcPr>
          <w:p w14:paraId="6BBAC80D" w14:textId="244356ED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5.7</w:t>
            </w:r>
          </w:p>
        </w:tc>
        <w:tc>
          <w:tcPr>
            <w:tcW w:w="4681" w:type="dxa"/>
          </w:tcPr>
          <w:p w14:paraId="60D745E0" w14:textId="77777777" w:rsidR="000C6E36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conditions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third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services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require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589A61B5" w14:textId="22C5EBD6" w:rsidR="00CB5FCA" w:rsidRPr="00F735E7" w:rsidRDefault="00CB5FCA" w:rsidP="00CB5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A34FC5" w14:textId="6FABAC42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7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0D341CC" w14:textId="77777777" w:rsidTr="00093526">
        <w:tc>
          <w:tcPr>
            <w:tcW w:w="843" w:type="dxa"/>
          </w:tcPr>
          <w:p w14:paraId="4A965395" w14:textId="532D09AF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5.8</w:t>
            </w:r>
          </w:p>
        </w:tc>
        <w:tc>
          <w:tcPr>
            <w:tcW w:w="4681" w:type="dxa"/>
          </w:tcPr>
          <w:p w14:paraId="30DBBDDF" w14:textId="77777777" w:rsidR="000C6E36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individuals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court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similar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review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practices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26BC2DDD" w14:textId="22A244B8" w:rsidR="00CB5FCA" w:rsidRPr="00F735E7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C384583" w14:textId="57832091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8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447746" w14:textId="77777777" w:rsidTr="00093526">
        <w:tc>
          <w:tcPr>
            <w:tcW w:w="843" w:type="dxa"/>
          </w:tcPr>
          <w:p w14:paraId="039003B5" w14:textId="7F24E3FB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5.9</w:t>
            </w:r>
          </w:p>
        </w:tc>
        <w:tc>
          <w:tcPr>
            <w:tcW w:w="4681" w:type="dxa"/>
          </w:tcPr>
          <w:p w14:paraId="7C67D3AE" w14:textId="77777777" w:rsidR="00F3435F" w:rsidRDefault="00CB5FCA" w:rsidP="00CB5FCA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ever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received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request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operating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European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Economic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Area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0C6A7E42" w14:textId="7A3FABB5" w:rsidR="00CB5FCA" w:rsidRPr="00F735E7" w:rsidRDefault="00CB5FCA" w:rsidP="00CB5FCA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6C7A6684" w14:textId="2C582628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9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6C1CE17C" w14:textId="36F0F00A" w:rsidTr="00093526">
        <w:tc>
          <w:tcPr>
            <w:tcW w:w="843" w:type="dxa"/>
            <w:tcBorders>
              <w:bottom w:val="single" w:sz="4" w:space="0" w:color="auto"/>
            </w:tcBorders>
          </w:tcPr>
          <w:p w14:paraId="3E1C5FDE" w14:textId="0228116F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5.10</w:t>
            </w:r>
            <w:r w:rsidR="000C6E36"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6B9A30A6" w14:textId="77777777" w:rsidR="00CB5FCA" w:rsidRPr="00CB5FCA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Regarding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agencies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four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European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fundamental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guarantees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respected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EDPB:</w:t>
            </w:r>
          </w:p>
          <w:p w14:paraId="7F1BFDAD" w14:textId="77777777" w:rsidR="00CB5FCA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14:paraId="36E7B0E4" w14:textId="039B7D21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based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clear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precise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accessible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rules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7179E9A6" w14:textId="5A5B0E52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necessity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proportionality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legitimate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goals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achieved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proven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6D0588CD" w14:textId="05D06841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independent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mechanism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4DCBDE82" w14:textId="77777777" w:rsidR="00DE0DD9" w:rsidRPr="0050700F" w:rsidRDefault="00CB5FCA" w:rsidP="00CB5FCA">
            <w:pPr>
              <w:pStyle w:val="StandardWeb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B5FCA">
              <w:rPr>
                <w:lang w:val="hr-HR"/>
              </w:rPr>
              <w:t>effective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remedies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shall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be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available</w:t>
            </w:r>
            <w:proofErr w:type="spellEnd"/>
            <w:r w:rsidRPr="00CB5FCA">
              <w:rPr>
                <w:lang w:val="hr-HR"/>
              </w:rPr>
              <w:t xml:space="preserve"> to </w:t>
            </w:r>
            <w:proofErr w:type="spellStart"/>
            <w:r w:rsidRPr="00CB5FCA">
              <w:rPr>
                <w:lang w:val="hr-HR"/>
              </w:rPr>
              <w:t>the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individuals</w:t>
            </w:r>
            <w:proofErr w:type="spellEnd"/>
          </w:p>
          <w:p w14:paraId="61969A25" w14:textId="3DFD4DEE" w:rsidR="0050700F" w:rsidRPr="00F10170" w:rsidRDefault="0050700F" w:rsidP="0050700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507ED07" w14:textId="61FA6BA7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lastRenderedPageBreak/>
              <w:t>${TIA-5.1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0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16F79FE" w14:textId="77777777" w:rsidTr="004E69AC">
        <w:tc>
          <w:tcPr>
            <w:tcW w:w="843" w:type="dxa"/>
            <w:shd w:val="clear" w:color="auto" w:fill="9CC2E5" w:themeFill="accent1" w:themeFillTint="99"/>
          </w:tcPr>
          <w:p w14:paraId="2C27899E" w14:textId="20B33976" w:rsidR="00141D64" w:rsidRPr="00F653AD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F653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6.</w:t>
            </w:r>
          </w:p>
        </w:tc>
        <w:tc>
          <w:tcPr>
            <w:tcW w:w="4681" w:type="dxa"/>
            <w:shd w:val="clear" w:color="auto" w:fill="9CC2E5" w:themeFill="accent1" w:themeFillTint="99"/>
          </w:tcPr>
          <w:p w14:paraId="03D737F0" w14:textId="430D9997" w:rsidR="00141D64" w:rsidRDefault="00CE63E6" w:rsidP="006D7CB4">
            <w:pPr>
              <w:pStyle w:val="Level2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Possible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additional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safeguard</w:t>
            </w:r>
            <w:proofErr w:type="spellEnd"/>
          </w:p>
          <w:p w14:paraId="728994E0" w14:textId="08901E31" w:rsidR="00141D64" w:rsidRPr="00F735E7" w:rsidRDefault="006D7CB4" w:rsidP="006D7CB4">
            <w:pPr>
              <w:pStyle w:val="Level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(</w:t>
            </w:r>
            <w:hyperlink r:id="rId11" w:history="1"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  <w:lang w:val="hr-HR"/>
                </w:rPr>
                <w:t>L</w:t>
              </w:r>
              <w:proofErr w:type="spellStart"/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ist</w:t>
              </w:r>
              <w:proofErr w:type="spellEnd"/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 xml:space="preserve"> of possible safeguards proposed by the European Data P</w:t>
              </w:r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r</w:t>
              </w:r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otecti</w:t>
              </w:r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o</w:t>
              </w:r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n Board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)</w:t>
            </w:r>
          </w:p>
        </w:tc>
        <w:tc>
          <w:tcPr>
            <w:tcW w:w="5244" w:type="dxa"/>
            <w:shd w:val="clear" w:color="auto" w:fill="9CC2E5" w:themeFill="accent1" w:themeFillTint="99"/>
          </w:tcPr>
          <w:p w14:paraId="23215967" w14:textId="7178BF15" w:rsidR="00141D64" w:rsidRPr="00F735E7" w:rsidRDefault="006D7CB4" w:rsidP="00943180">
            <w:pPr>
              <w:pStyle w:val="Level1"/>
              <w:numPr>
                <w:ilvl w:val="0"/>
                <w:numId w:val="0"/>
              </w:numPr>
              <w:spacing w:before="120" w:after="120"/>
              <w:ind w:right="7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Zaštitne mjere koje </w:t>
            </w:r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će 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prim</w:t>
            </w:r>
            <w:r w:rsidR="00DE0DD9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jen</w:t>
            </w:r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iti </w:t>
            </w:r>
          </w:p>
        </w:tc>
      </w:tr>
      <w:tr w:rsidR="00943180" w:rsidRPr="00F735E7" w14:paraId="2300EC0C" w14:textId="77777777" w:rsidTr="004E69AC">
        <w:tc>
          <w:tcPr>
            <w:tcW w:w="843" w:type="dxa"/>
          </w:tcPr>
          <w:p w14:paraId="3CA7DA3E" w14:textId="537616F1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.1</w:t>
            </w:r>
          </w:p>
        </w:tc>
        <w:tc>
          <w:tcPr>
            <w:tcW w:w="4681" w:type="dxa"/>
          </w:tcPr>
          <w:p w14:paraId="0E6C559E" w14:textId="43879C06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Pseudonymisation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/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encryption</w:t>
            </w:r>
            <w:proofErr w:type="spellEnd"/>
          </w:p>
        </w:tc>
        <w:tc>
          <w:tcPr>
            <w:tcW w:w="5244" w:type="dxa"/>
          </w:tcPr>
          <w:p w14:paraId="4960D60F" w14:textId="19438FD9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TIA-6.1</w:t>
            </w: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}</w:t>
            </w:r>
          </w:p>
        </w:tc>
      </w:tr>
      <w:tr w:rsidR="00943180" w:rsidRPr="00F735E7" w14:paraId="474BFFAB" w14:textId="77777777" w:rsidTr="004E69AC">
        <w:tc>
          <w:tcPr>
            <w:tcW w:w="843" w:type="dxa"/>
          </w:tcPr>
          <w:p w14:paraId="756C3FBA" w14:textId="6FFEFADD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943180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81" w:type="dxa"/>
          </w:tcPr>
          <w:p w14:paraId="54D5CBB0" w14:textId="0BE70BB3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Data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minimisation</w:t>
            </w:r>
            <w:proofErr w:type="spellEnd"/>
          </w:p>
        </w:tc>
        <w:tc>
          <w:tcPr>
            <w:tcW w:w="5244" w:type="dxa"/>
          </w:tcPr>
          <w:p w14:paraId="6E04C023" w14:textId="7D469EB5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${TIA-6.2}</w:t>
            </w:r>
          </w:p>
        </w:tc>
      </w:tr>
      <w:tr w:rsidR="00DB0628" w:rsidRPr="00F735E7" w14:paraId="1BBADCFE" w14:textId="77777777" w:rsidTr="004E69AC">
        <w:tc>
          <w:tcPr>
            <w:tcW w:w="843" w:type="dxa"/>
          </w:tcPr>
          <w:p w14:paraId="04709071" w14:textId="06CE0086" w:rsidR="00206796" w:rsidRDefault="00206796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6.3</w:t>
            </w:r>
          </w:p>
        </w:tc>
        <w:tc>
          <w:tcPr>
            <w:tcW w:w="4681" w:type="dxa"/>
          </w:tcPr>
          <w:p w14:paraId="6D61EAF5" w14:textId="50CDB4D6" w:rsidR="00206796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Additional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contractual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obligations</w:t>
            </w:r>
            <w:proofErr w:type="spellEnd"/>
          </w:p>
        </w:tc>
        <w:tc>
          <w:tcPr>
            <w:tcW w:w="5244" w:type="dxa"/>
          </w:tcPr>
          <w:p w14:paraId="607FA3C6" w14:textId="5EE31D04" w:rsidR="00206796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${TIA-6.3}</w:t>
            </w:r>
          </w:p>
        </w:tc>
      </w:tr>
      <w:tr w:rsidR="00943180" w:rsidRPr="00F735E7" w14:paraId="027DAFD2" w14:textId="77777777" w:rsidTr="004E69AC">
        <w:tc>
          <w:tcPr>
            <w:tcW w:w="843" w:type="dxa"/>
          </w:tcPr>
          <w:p w14:paraId="7509E825" w14:textId="4132DAA9" w:rsidR="00141D64" w:rsidRPr="00F735E7" w:rsidRDefault="00465E2D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20679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81" w:type="dxa"/>
          </w:tcPr>
          <w:p w14:paraId="181BBD3E" w14:textId="7CCF3028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Other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technical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organisational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measures</w:t>
            </w:r>
            <w:proofErr w:type="spellEnd"/>
          </w:p>
        </w:tc>
        <w:tc>
          <w:tcPr>
            <w:tcW w:w="5244" w:type="dxa"/>
          </w:tcPr>
          <w:p w14:paraId="2D45E359" w14:textId="77777777" w:rsidR="00141D64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${TIA-6.4}</w:t>
            </w:r>
          </w:p>
          <w:p w14:paraId="12D6BA34" w14:textId="28E2835C" w:rsid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</w:t>
            </w:r>
            <w:r w:rsidR="00C035B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item}</w:t>
            </w:r>
          </w:p>
          <w:p w14:paraId="5EEE9958" w14:textId="533DB97C" w:rsidR="003C6973" w:rsidRP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${/TIA-6.4}</w:t>
            </w:r>
          </w:p>
        </w:tc>
      </w:tr>
    </w:tbl>
    <w:p w14:paraId="5981622C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524"/>
        <w:gridCol w:w="5103"/>
        <w:gridCol w:w="135"/>
      </w:tblGrid>
      <w:tr w:rsidR="00F3750D" w:rsidRPr="00F735E7" w14:paraId="2595DE4C" w14:textId="77777777" w:rsidTr="00F3750D">
        <w:trPr>
          <w:gridAfter w:val="1"/>
          <w:wAfter w:w="135" w:type="dxa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70B0A780" w14:textId="32CCF0D1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4416C7B8" w14:textId="6B2F879C" w:rsidR="00F3750D" w:rsidRPr="00F735E7" w:rsidRDefault="00494DE5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7.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Conclusion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on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the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analysis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the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level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protection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a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third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country</w:t>
            </w:r>
            <w:proofErr w:type="spellEnd"/>
          </w:p>
          <w:p w14:paraId="38F8BF2D" w14:textId="77777777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A599B" w:rsidRPr="00F735E7" w14:paraId="77A5D788" w14:textId="77777777" w:rsidTr="00F3750D">
        <w:tc>
          <w:tcPr>
            <w:tcW w:w="5524" w:type="dxa"/>
            <w:tcBorders>
              <w:top w:val="single" w:sz="4" w:space="0" w:color="auto"/>
            </w:tcBorders>
          </w:tcPr>
          <w:p w14:paraId="5266A8A9" w14:textId="5BCCFEDF" w:rsidR="003A599B" w:rsidRPr="00F735E7" w:rsidRDefault="00F56B98" w:rsidP="00B3510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Taking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into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account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all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above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,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can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be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considered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that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case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transfer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personal data,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same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level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protection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personal data as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territory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European Union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is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guaranteed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?</w:t>
            </w: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14:paraId="476137C8" w14:textId="2352FFBC" w:rsidR="003A599B" w:rsidRPr="00857594" w:rsidRDefault="00857594" w:rsidP="00AE0427">
            <w:pPr>
              <w:ind w:left="28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${TIA-7}</w:t>
            </w:r>
          </w:p>
        </w:tc>
      </w:tr>
    </w:tbl>
    <w:p w14:paraId="3DC47165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673BACEA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0027252" w14:textId="3469F802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proofErr w:type="spellStart"/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Approved</w:t>
      </w:r>
      <w:proofErr w:type="spellEnd"/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 xml:space="preserve"> </w:t>
      </w:r>
      <w:proofErr w:type="spellStart"/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by</w:t>
      </w:r>
      <w:proofErr w:type="spellEnd"/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68E88037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A8BA24F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19DE92DC" w14:textId="6FF9D03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___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</w:p>
    <w:p w14:paraId="6825F8C5" w14:textId="3E280E03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</w:t>
      </w:r>
      <w:r w:rsidR="0050700F"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</w:t>
      </w:r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(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representative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of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the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data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exporter</w:t>
      </w:r>
      <w:proofErr w:type="spellEnd"/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)</w:t>
      </w:r>
    </w:p>
    <w:p w14:paraId="50A119F3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        </w:t>
      </w:r>
    </w:p>
    <w:p w14:paraId="344ADFAE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56429160" w14:textId="439D5CB6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Dat</w:t>
      </w:r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e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1D9EB31F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00247AD9" w14:textId="201FD86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</w:t>
      </w:r>
    </w:p>
    <w:p w14:paraId="41C49F1E" w14:textId="77777777" w:rsidR="00820840" w:rsidRPr="00F735E7" w:rsidRDefault="00820840" w:rsidP="00DE0DD9">
      <w:pPr>
        <w:tabs>
          <w:tab w:val="left" w:pos="4215"/>
        </w:tabs>
        <w:rPr>
          <w:rFonts w:ascii="Times New Roman" w:hAnsi="Times New Roman" w:cs="Times New Roman"/>
          <w:sz w:val="24"/>
          <w:szCs w:val="24"/>
          <w:lang w:val="hr-HR"/>
        </w:rPr>
      </w:pPr>
    </w:p>
    <w:sectPr w:rsidR="00820840" w:rsidRPr="00F735E7" w:rsidSect="00332703">
      <w:footerReference w:type="even" r:id="rId12"/>
      <w:footerReference w:type="defaul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5076D" w14:textId="77777777" w:rsidR="00B55B4E" w:rsidRDefault="00B55B4E" w:rsidP="003B3D70">
      <w:pPr>
        <w:spacing w:after="0" w:line="240" w:lineRule="auto"/>
      </w:pPr>
      <w:r>
        <w:separator/>
      </w:r>
    </w:p>
  </w:endnote>
  <w:endnote w:type="continuationSeparator" w:id="0">
    <w:p w14:paraId="582B8564" w14:textId="77777777" w:rsidR="00B55B4E" w:rsidRDefault="00B55B4E" w:rsidP="003B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-611892153"/>
      <w:docPartObj>
        <w:docPartGallery w:val="Page Numbers (Bottom of Page)"/>
        <w:docPartUnique/>
      </w:docPartObj>
    </w:sdtPr>
    <w:sdtContent>
      <w:p w14:paraId="7B6A0AF7" w14:textId="0BE510DB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5845736D" w14:textId="77777777" w:rsidR="009D0D51" w:rsidRDefault="009D0D51" w:rsidP="009D0D5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1606605713"/>
      <w:docPartObj>
        <w:docPartGallery w:val="Page Numbers (Bottom of Page)"/>
        <w:docPartUnique/>
      </w:docPartObj>
    </w:sdtPr>
    <w:sdtContent>
      <w:p w14:paraId="19BB736B" w14:textId="02E60481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1</w:t>
        </w:r>
        <w:r>
          <w:rPr>
            <w:rStyle w:val="Brojstranice"/>
          </w:rPr>
          <w:fldChar w:fldCharType="end"/>
        </w:r>
      </w:p>
    </w:sdtContent>
  </w:sdt>
  <w:p w14:paraId="55CFA360" w14:textId="77777777" w:rsidR="009D0D51" w:rsidRDefault="009D0D51" w:rsidP="009D0D51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11D81" w14:textId="77777777" w:rsidR="00B55B4E" w:rsidRDefault="00B55B4E" w:rsidP="003B3D70">
      <w:pPr>
        <w:spacing w:after="0" w:line="240" w:lineRule="auto"/>
      </w:pPr>
      <w:r>
        <w:separator/>
      </w:r>
    </w:p>
  </w:footnote>
  <w:footnote w:type="continuationSeparator" w:id="0">
    <w:p w14:paraId="4401EFF7" w14:textId="77777777" w:rsidR="00B55B4E" w:rsidRDefault="00B55B4E" w:rsidP="003B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7D"/>
    <w:multiLevelType w:val="hybridMultilevel"/>
    <w:tmpl w:val="E1DEBCD4"/>
    <w:lvl w:ilvl="0" w:tplc="6C80D2FE">
      <w:start w:val="1"/>
      <w:numFmt w:val="bullet"/>
      <w:lvlText w:val=""/>
      <w:lvlJc w:val="left"/>
      <w:pPr>
        <w:ind w:left="417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12C6FA6"/>
    <w:multiLevelType w:val="hybridMultilevel"/>
    <w:tmpl w:val="A1F4827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248B"/>
    <w:multiLevelType w:val="hybridMultilevel"/>
    <w:tmpl w:val="A678E0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3FD5"/>
    <w:multiLevelType w:val="hybridMultilevel"/>
    <w:tmpl w:val="3E0499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900"/>
    <w:multiLevelType w:val="hybridMultilevel"/>
    <w:tmpl w:val="B7CA33D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137"/>
    <w:multiLevelType w:val="hybridMultilevel"/>
    <w:tmpl w:val="FCFC0B06"/>
    <w:lvl w:ilvl="0" w:tplc="78FE0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32DA"/>
    <w:multiLevelType w:val="hybridMultilevel"/>
    <w:tmpl w:val="C7769BC6"/>
    <w:lvl w:ilvl="0" w:tplc="861A33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53D4"/>
    <w:multiLevelType w:val="hybridMultilevel"/>
    <w:tmpl w:val="66C06536"/>
    <w:lvl w:ilvl="0" w:tplc="0862E4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615CB"/>
    <w:multiLevelType w:val="hybridMultilevel"/>
    <w:tmpl w:val="9E908650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B31CCF"/>
    <w:multiLevelType w:val="multilevel"/>
    <w:tmpl w:val="9C5CE4D6"/>
    <w:name w:val="Main Numbering"/>
    <w:styleLink w:val="MainNumbering"/>
    <w:lvl w:ilvl="0">
      <w:start w:val="1"/>
      <w:numFmt w:val="decimal"/>
      <w:pStyle w:val="Level1"/>
      <w:lvlText w:val="%1."/>
      <w:lvlJc w:val="left"/>
      <w:pPr>
        <w:ind w:left="850" w:hanging="85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850" w:hanging="850"/>
      </w:pPr>
      <w:rPr>
        <w:color w:val="auto"/>
      </w:rPr>
    </w:lvl>
    <w:lvl w:ilvl="2">
      <w:start w:val="1"/>
      <w:numFmt w:val="decimal"/>
      <w:pStyle w:val="Level3"/>
      <w:lvlText w:val="%1.%2.%3"/>
      <w:lvlJc w:val="left"/>
      <w:pPr>
        <w:ind w:left="850" w:hanging="850"/>
      </w:pPr>
      <w:rPr>
        <w:color w:val="auto"/>
      </w:rPr>
    </w:lvl>
    <w:lvl w:ilvl="3">
      <w:start w:val="1"/>
      <w:numFmt w:val="lowerLetter"/>
      <w:pStyle w:val="Level4"/>
      <w:lvlText w:val="(%4)"/>
      <w:lvlJc w:val="left"/>
      <w:pPr>
        <w:ind w:left="1417" w:hanging="567"/>
      </w:pPr>
      <w:rPr>
        <w:color w:val="auto"/>
      </w:rPr>
    </w:lvl>
    <w:lvl w:ilvl="4">
      <w:start w:val="1"/>
      <w:numFmt w:val="lowerRoman"/>
      <w:pStyle w:val="Level5"/>
      <w:lvlText w:val="(%5)"/>
      <w:lvlJc w:val="left"/>
      <w:pPr>
        <w:ind w:left="1843" w:hanging="426"/>
      </w:pPr>
      <w:rPr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8E118D2"/>
    <w:multiLevelType w:val="multilevel"/>
    <w:tmpl w:val="9C5CE4D6"/>
    <w:numStyleLink w:val="MainNumbering"/>
  </w:abstractNum>
  <w:abstractNum w:abstractNumId="11" w15:restartNumberingAfterBreak="0">
    <w:nsid w:val="52E67EB1"/>
    <w:multiLevelType w:val="multilevel"/>
    <w:tmpl w:val="1DB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01A00"/>
    <w:multiLevelType w:val="hybridMultilevel"/>
    <w:tmpl w:val="7AF0D836"/>
    <w:lvl w:ilvl="0" w:tplc="68E0B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5885"/>
    <w:multiLevelType w:val="hybridMultilevel"/>
    <w:tmpl w:val="EBD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A5BF8"/>
    <w:multiLevelType w:val="hybridMultilevel"/>
    <w:tmpl w:val="25CE9A3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5F96"/>
    <w:multiLevelType w:val="hybridMultilevel"/>
    <w:tmpl w:val="732CE730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E1503F"/>
    <w:multiLevelType w:val="hybridMultilevel"/>
    <w:tmpl w:val="269A42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F0C39"/>
    <w:multiLevelType w:val="hybridMultilevel"/>
    <w:tmpl w:val="355C7F7E"/>
    <w:lvl w:ilvl="0" w:tplc="1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9041288">
    <w:abstractNumId w:val="9"/>
  </w:num>
  <w:num w:numId="2" w16cid:durableId="205549409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3" w16cid:durableId="484971848">
    <w:abstractNumId w:val="3"/>
  </w:num>
  <w:num w:numId="4" w16cid:durableId="1448815968">
    <w:abstractNumId w:val="14"/>
  </w:num>
  <w:num w:numId="5" w16cid:durableId="229072647">
    <w:abstractNumId w:val="1"/>
  </w:num>
  <w:num w:numId="6" w16cid:durableId="1188713122">
    <w:abstractNumId w:val="4"/>
  </w:num>
  <w:num w:numId="7" w16cid:durableId="898830790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8" w16cid:durableId="1175218871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1275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1275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842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2268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</w:num>
  <w:num w:numId="9" w16cid:durableId="1316373305">
    <w:abstractNumId w:val="2"/>
  </w:num>
  <w:num w:numId="10" w16cid:durableId="1309359821">
    <w:abstractNumId w:val="0"/>
  </w:num>
  <w:num w:numId="11" w16cid:durableId="815876814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rFonts w:ascii="Times New Roman" w:hAnsi="Times New Roman"/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2" w16cid:durableId="545608482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1559" w:hanging="850"/>
        </w:pPr>
        <w:rPr>
          <w:b w:val="0"/>
          <w:color w:val="auto"/>
          <w:sz w:val="24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3" w16cid:durableId="540896577">
    <w:abstractNumId w:val="9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4" w16cid:durableId="118594786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5" w16cid:durableId="556672748">
    <w:abstractNumId w:val="15"/>
  </w:num>
  <w:num w:numId="16" w16cid:durableId="1799010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7" w16cid:durableId="368141410">
    <w:abstractNumId w:val="8"/>
  </w:num>
  <w:num w:numId="18" w16cid:durableId="1960449339">
    <w:abstractNumId w:val="7"/>
  </w:num>
  <w:num w:numId="19" w16cid:durableId="2032874386">
    <w:abstractNumId w:val="5"/>
  </w:num>
  <w:num w:numId="20" w16cid:durableId="8262493">
    <w:abstractNumId w:val="6"/>
  </w:num>
  <w:num w:numId="21" w16cid:durableId="465700318">
    <w:abstractNumId w:val="17"/>
  </w:num>
  <w:num w:numId="22" w16cid:durableId="1273971319">
    <w:abstractNumId w:val="12"/>
  </w:num>
  <w:num w:numId="23" w16cid:durableId="433328525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4"/>
          <w:szCs w:val="24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4" w16cid:durableId="524367037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24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5" w16cid:durableId="9687788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6" w16cid:durableId="1442645992">
    <w:abstractNumId w:val="13"/>
  </w:num>
  <w:num w:numId="27" w16cid:durableId="897400745">
    <w:abstractNumId w:val="11"/>
  </w:num>
  <w:num w:numId="28" w16cid:durableId="511340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C2"/>
    <w:rsid w:val="00003942"/>
    <w:rsid w:val="00011D95"/>
    <w:rsid w:val="00080EB3"/>
    <w:rsid w:val="000826E5"/>
    <w:rsid w:val="000839DB"/>
    <w:rsid w:val="00093526"/>
    <w:rsid w:val="000C1A8C"/>
    <w:rsid w:val="000C6E36"/>
    <w:rsid w:val="000E5414"/>
    <w:rsid w:val="000F286E"/>
    <w:rsid w:val="00101E0F"/>
    <w:rsid w:val="00115067"/>
    <w:rsid w:val="00141D64"/>
    <w:rsid w:val="00162896"/>
    <w:rsid w:val="00175F51"/>
    <w:rsid w:val="0018298C"/>
    <w:rsid w:val="00184D69"/>
    <w:rsid w:val="00197118"/>
    <w:rsid w:val="00197371"/>
    <w:rsid w:val="001B248C"/>
    <w:rsid w:val="001C3946"/>
    <w:rsid w:val="001C3E9E"/>
    <w:rsid w:val="001E35F0"/>
    <w:rsid w:val="001E6677"/>
    <w:rsid w:val="001F5512"/>
    <w:rsid w:val="00200955"/>
    <w:rsid w:val="00204564"/>
    <w:rsid w:val="00206796"/>
    <w:rsid w:val="00216091"/>
    <w:rsid w:val="00254499"/>
    <w:rsid w:val="00260E6A"/>
    <w:rsid w:val="00263935"/>
    <w:rsid w:val="002648E9"/>
    <w:rsid w:val="00282505"/>
    <w:rsid w:val="002A3E7C"/>
    <w:rsid w:val="002A6805"/>
    <w:rsid w:val="002B7E3D"/>
    <w:rsid w:val="002C438A"/>
    <w:rsid w:val="002D3669"/>
    <w:rsid w:val="002D41CA"/>
    <w:rsid w:val="002E1F44"/>
    <w:rsid w:val="002E33DF"/>
    <w:rsid w:val="00332703"/>
    <w:rsid w:val="00332730"/>
    <w:rsid w:val="00341AEA"/>
    <w:rsid w:val="00345034"/>
    <w:rsid w:val="00356145"/>
    <w:rsid w:val="00356D57"/>
    <w:rsid w:val="003621AF"/>
    <w:rsid w:val="00362934"/>
    <w:rsid w:val="00363607"/>
    <w:rsid w:val="00366B65"/>
    <w:rsid w:val="00376BD7"/>
    <w:rsid w:val="003801B5"/>
    <w:rsid w:val="003A2B9D"/>
    <w:rsid w:val="003A599B"/>
    <w:rsid w:val="003B3D70"/>
    <w:rsid w:val="003B4694"/>
    <w:rsid w:val="003C1F04"/>
    <w:rsid w:val="003C6973"/>
    <w:rsid w:val="003C7917"/>
    <w:rsid w:val="003E350C"/>
    <w:rsid w:val="003E7AFA"/>
    <w:rsid w:val="003F5CEE"/>
    <w:rsid w:val="004024BB"/>
    <w:rsid w:val="00403E77"/>
    <w:rsid w:val="00410CFD"/>
    <w:rsid w:val="00417570"/>
    <w:rsid w:val="00423A03"/>
    <w:rsid w:val="00427B04"/>
    <w:rsid w:val="00430255"/>
    <w:rsid w:val="0045401D"/>
    <w:rsid w:val="004640E4"/>
    <w:rsid w:val="00465E2D"/>
    <w:rsid w:val="00477692"/>
    <w:rsid w:val="00494DE5"/>
    <w:rsid w:val="004A31D8"/>
    <w:rsid w:val="004A5759"/>
    <w:rsid w:val="004B3C4F"/>
    <w:rsid w:val="004B6668"/>
    <w:rsid w:val="004C0574"/>
    <w:rsid w:val="004C473E"/>
    <w:rsid w:val="004E69AC"/>
    <w:rsid w:val="004E77DF"/>
    <w:rsid w:val="00502117"/>
    <w:rsid w:val="00503B71"/>
    <w:rsid w:val="0050700F"/>
    <w:rsid w:val="00521D3E"/>
    <w:rsid w:val="00525053"/>
    <w:rsid w:val="00533B19"/>
    <w:rsid w:val="00547DBB"/>
    <w:rsid w:val="0055135C"/>
    <w:rsid w:val="00562420"/>
    <w:rsid w:val="0057094A"/>
    <w:rsid w:val="005B3572"/>
    <w:rsid w:val="005C6016"/>
    <w:rsid w:val="005E1BEA"/>
    <w:rsid w:val="0060458F"/>
    <w:rsid w:val="00604C91"/>
    <w:rsid w:val="00614A94"/>
    <w:rsid w:val="00615A83"/>
    <w:rsid w:val="00617E8E"/>
    <w:rsid w:val="006231C2"/>
    <w:rsid w:val="00630B2A"/>
    <w:rsid w:val="0065044C"/>
    <w:rsid w:val="00651BFD"/>
    <w:rsid w:val="006601E7"/>
    <w:rsid w:val="006672EC"/>
    <w:rsid w:val="00670DE4"/>
    <w:rsid w:val="0068329E"/>
    <w:rsid w:val="006B19BC"/>
    <w:rsid w:val="006B2DC0"/>
    <w:rsid w:val="006D7CB4"/>
    <w:rsid w:val="006E7BC8"/>
    <w:rsid w:val="00714353"/>
    <w:rsid w:val="00730433"/>
    <w:rsid w:val="00745B8F"/>
    <w:rsid w:val="00746F8C"/>
    <w:rsid w:val="0075230E"/>
    <w:rsid w:val="007909E9"/>
    <w:rsid w:val="0079125D"/>
    <w:rsid w:val="007B18F7"/>
    <w:rsid w:val="007C1419"/>
    <w:rsid w:val="007D745D"/>
    <w:rsid w:val="007E0FDE"/>
    <w:rsid w:val="008002E7"/>
    <w:rsid w:val="008125B3"/>
    <w:rsid w:val="008172D1"/>
    <w:rsid w:val="00820840"/>
    <w:rsid w:val="00822718"/>
    <w:rsid w:val="00824A82"/>
    <w:rsid w:val="008459D6"/>
    <w:rsid w:val="008463E2"/>
    <w:rsid w:val="00856B78"/>
    <w:rsid w:val="00857594"/>
    <w:rsid w:val="00870435"/>
    <w:rsid w:val="0087288D"/>
    <w:rsid w:val="00876B0E"/>
    <w:rsid w:val="0087741D"/>
    <w:rsid w:val="008A0AAD"/>
    <w:rsid w:val="008D2B8A"/>
    <w:rsid w:val="008D45DD"/>
    <w:rsid w:val="008E0BD4"/>
    <w:rsid w:val="008F3C1E"/>
    <w:rsid w:val="00905187"/>
    <w:rsid w:val="009425AE"/>
    <w:rsid w:val="00943180"/>
    <w:rsid w:val="009802EC"/>
    <w:rsid w:val="00981242"/>
    <w:rsid w:val="009A2F22"/>
    <w:rsid w:val="009C2537"/>
    <w:rsid w:val="009C3833"/>
    <w:rsid w:val="009D0D51"/>
    <w:rsid w:val="009D782A"/>
    <w:rsid w:val="00A07881"/>
    <w:rsid w:val="00A21215"/>
    <w:rsid w:val="00A224DE"/>
    <w:rsid w:val="00A258E3"/>
    <w:rsid w:val="00A302E4"/>
    <w:rsid w:val="00A54696"/>
    <w:rsid w:val="00A64A92"/>
    <w:rsid w:val="00A71691"/>
    <w:rsid w:val="00A81A01"/>
    <w:rsid w:val="00A85D4E"/>
    <w:rsid w:val="00A9646C"/>
    <w:rsid w:val="00AA536D"/>
    <w:rsid w:val="00AA5E6A"/>
    <w:rsid w:val="00AC6DC3"/>
    <w:rsid w:val="00AE0427"/>
    <w:rsid w:val="00AE2432"/>
    <w:rsid w:val="00AE39A3"/>
    <w:rsid w:val="00AF295F"/>
    <w:rsid w:val="00AF297F"/>
    <w:rsid w:val="00B03FA9"/>
    <w:rsid w:val="00B55B4E"/>
    <w:rsid w:val="00B63701"/>
    <w:rsid w:val="00B74E83"/>
    <w:rsid w:val="00B77706"/>
    <w:rsid w:val="00B85A39"/>
    <w:rsid w:val="00B91DA7"/>
    <w:rsid w:val="00BA083B"/>
    <w:rsid w:val="00BB0756"/>
    <w:rsid w:val="00BD7633"/>
    <w:rsid w:val="00BF2ADD"/>
    <w:rsid w:val="00BF4D2A"/>
    <w:rsid w:val="00BF6782"/>
    <w:rsid w:val="00C035B9"/>
    <w:rsid w:val="00C07835"/>
    <w:rsid w:val="00C10D05"/>
    <w:rsid w:val="00C26B1E"/>
    <w:rsid w:val="00C4795E"/>
    <w:rsid w:val="00C601F9"/>
    <w:rsid w:val="00C85C38"/>
    <w:rsid w:val="00C941C9"/>
    <w:rsid w:val="00CB5FCA"/>
    <w:rsid w:val="00CD4F5C"/>
    <w:rsid w:val="00CE63E6"/>
    <w:rsid w:val="00D01DC5"/>
    <w:rsid w:val="00D04517"/>
    <w:rsid w:val="00D04CD7"/>
    <w:rsid w:val="00D0673C"/>
    <w:rsid w:val="00D642A0"/>
    <w:rsid w:val="00D713EA"/>
    <w:rsid w:val="00D71EDE"/>
    <w:rsid w:val="00D8254A"/>
    <w:rsid w:val="00DB0628"/>
    <w:rsid w:val="00DC212F"/>
    <w:rsid w:val="00DC7093"/>
    <w:rsid w:val="00DE0DD9"/>
    <w:rsid w:val="00E15DD1"/>
    <w:rsid w:val="00E2099F"/>
    <w:rsid w:val="00E20FCC"/>
    <w:rsid w:val="00E35223"/>
    <w:rsid w:val="00E60ECA"/>
    <w:rsid w:val="00E67A23"/>
    <w:rsid w:val="00E72FC1"/>
    <w:rsid w:val="00E951C0"/>
    <w:rsid w:val="00EA64C5"/>
    <w:rsid w:val="00EA7A94"/>
    <w:rsid w:val="00EC71B2"/>
    <w:rsid w:val="00F0558C"/>
    <w:rsid w:val="00F10170"/>
    <w:rsid w:val="00F13516"/>
    <w:rsid w:val="00F1653D"/>
    <w:rsid w:val="00F31324"/>
    <w:rsid w:val="00F3435F"/>
    <w:rsid w:val="00F3750D"/>
    <w:rsid w:val="00F416A1"/>
    <w:rsid w:val="00F527DF"/>
    <w:rsid w:val="00F56B98"/>
    <w:rsid w:val="00F65030"/>
    <w:rsid w:val="00F653AD"/>
    <w:rsid w:val="00F735E7"/>
    <w:rsid w:val="00FA66CA"/>
    <w:rsid w:val="00FE1D00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FCAC3"/>
  <w15:chartTrackingRefBased/>
  <w15:docId w15:val="{FDAE041A-A2B1-475B-AE17-01078F3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2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231C2"/>
    <w:pPr>
      <w:ind w:left="720"/>
      <w:contextualSpacing/>
    </w:pPr>
  </w:style>
  <w:style w:type="numbering" w:customStyle="1" w:styleId="MainNumbering">
    <w:name w:val="Main Numbering"/>
    <w:basedOn w:val="Bezpopisa"/>
    <w:rsid w:val="003C7917"/>
    <w:pPr>
      <w:numPr>
        <w:numId w:val="1"/>
      </w:numPr>
    </w:pPr>
  </w:style>
  <w:style w:type="paragraph" w:customStyle="1" w:styleId="Level1">
    <w:name w:val="Level 1"/>
    <w:basedOn w:val="Normal"/>
    <w:uiPriority w:val="1"/>
    <w:qFormat/>
    <w:rsid w:val="003C7917"/>
    <w:pPr>
      <w:numPr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2">
    <w:name w:val="Level 2"/>
    <w:basedOn w:val="Normal"/>
    <w:uiPriority w:val="1"/>
    <w:qFormat/>
    <w:rsid w:val="003C7917"/>
    <w:pPr>
      <w:numPr>
        <w:ilvl w:val="1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3">
    <w:name w:val="Level 3"/>
    <w:basedOn w:val="Normal"/>
    <w:uiPriority w:val="1"/>
    <w:qFormat/>
    <w:rsid w:val="003C7917"/>
    <w:pPr>
      <w:numPr>
        <w:ilvl w:val="2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4">
    <w:name w:val="Level 4"/>
    <w:basedOn w:val="Normal"/>
    <w:uiPriority w:val="1"/>
    <w:qFormat/>
    <w:rsid w:val="003C7917"/>
    <w:pPr>
      <w:numPr>
        <w:ilvl w:val="3"/>
        <w:numId w:val="2"/>
      </w:numPr>
      <w:spacing w:after="210" w:line="270" w:lineRule="atLeast"/>
      <w:ind w:left="1417"/>
      <w:jc w:val="both"/>
    </w:pPr>
    <w:rPr>
      <w:sz w:val="21"/>
      <w:lang w:val="en-GB"/>
    </w:rPr>
  </w:style>
  <w:style w:type="paragraph" w:customStyle="1" w:styleId="Level5">
    <w:name w:val="Level 5"/>
    <w:basedOn w:val="Normal"/>
    <w:uiPriority w:val="1"/>
    <w:qFormat/>
    <w:rsid w:val="003C7917"/>
    <w:pPr>
      <w:numPr>
        <w:ilvl w:val="4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3D70"/>
  </w:style>
  <w:style w:type="paragraph" w:styleId="Podnoje">
    <w:name w:val="footer"/>
    <w:basedOn w:val="Normal"/>
    <w:link w:val="Podno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3D70"/>
  </w:style>
  <w:style w:type="character" w:styleId="Hiperveza">
    <w:name w:val="Hyperlink"/>
    <w:basedOn w:val="Zadanifontodlomka"/>
    <w:uiPriority w:val="99"/>
    <w:unhideWhenUsed/>
    <w:rsid w:val="003A2B9D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3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33B19"/>
    <w:rPr>
      <w:rFonts w:ascii="Segoe UI" w:hAnsi="Segoe UI" w:cs="Segoe UI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BB0756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80EB3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3E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rojstranice">
    <w:name w:val="page number"/>
    <w:basedOn w:val="Zadanifontodlomka"/>
    <w:uiPriority w:val="99"/>
    <w:semiHidden/>
    <w:unhideWhenUsed/>
    <w:rsid w:val="009D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pb.europa.eu/system/files/2021-06/edpb_recommendations_202001vo.2.0_supplementarymeasurestransferstools_en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A6B720CAFD041874C546B95EE17D0" ma:contentTypeVersion="9" ma:contentTypeDescription="Create a new document." ma:contentTypeScope="" ma:versionID="0af93cc4ce7cd9059ddfcdb7825f2614">
  <xsd:schema xmlns:xsd="http://www.w3.org/2001/XMLSchema" xmlns:xs="http://www.w3.org/2001/XMLSchema" xmlns:p="http://schemas.microsoft.com/office/2006/metadata/properties" xmlns:ns3="3dd2e4fb-d194-4a34-9335-3e5201678400" targetNamespace="http://schemas.microsoft.com/office/2006/metadata/properties" ma:root="true" ma:fieldsID="3b018dc5f84d2211331bc329f8e4693d" ns3:_="">
    <xsd:import namespace="3dd2e4fb-d194-4a34-9335-3e5201678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e4fb-d194-4a34-9335-3e5201678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7543D-C484-4FE6-BB7A-7D040A644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02CDF7-FF1A-4B3A-9DDD-E81A9987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2e4fb-d194-4a34-9335-3e5201678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261153-F2BC-41C8-AAB5-5E713FFB5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BDA8ED-B757-438A-87FB-5FA2DAC27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Mladinić | AZOP</dc:creator>
  <cp:keywords/>
  <dc:description/>
  <cp:lastModifiedBy>Danijel Filipović</cp:lastModifiedBy>
  <cp:revision>13</cp:revision>
  <cp:lastPrinted>2021-12-14T16:34:00Z</cp:lastPrinted>
  <dcterms:created xsi:type="dcterms:W3CDTF">2024-05-17T12:50:00Z</dcterms:created>
  <dcterms:modified xsi:type="dcterms:W3CDTF">2024-06-19T08:48:00Z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0x0101001B7A6B720CAFD041874C546B95EE17D0</vt:lpwstr>
  </property>
</Properties>
</file>