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BF4C2" w14:textId="37A62C9E" w:rsidR="00A0412F" w:rsidRPr="00A0412F" w:rsidRDefault="00AF6F8C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firstLine="357"/>
        <w:jc w:val="center"/>
        <w:rPr>
          <w:rFonts w:ascii="Times New Roman" w:hAnsi="Times New Roman" w:cs="Times New Roman"/>
          <w:bCs w:val="0"/>
          <w:szCs w:val="28"/>
          <w:lang w:eastAsia="de-DE"/>
        </w:rPr>
      </w:pPr>
      <w:r w:rsidRPr="00AF6F8C">
        <w:rPr>
          <w:rFonts w:ascii="Times New Roman" w:hAnsi="Times New Roman" w:cs="Times New Roman"/>
          <w:bCs w:val="0"/>
          <w:szCs w:val="28"/>
          <w:lang w:eastAsia="de-DE"/>
        </w:rPr>
        <w:t>Parallel I/O Performance Benchmarking and Investigation on Multiple HPC Architectures</w:t>
      </w:r>
    </w:p>
    <w:p w14:paraId="3D897BF0" w14:textId="77777777" w:rsidR="00A0412F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firstLine="357"/>
        <w:rPr>
          <w:rFonts w:ascii="Times New Roman" w:hAnsi="Times New Roman" w:cs="Times New Roman"/>
          <w:bCs w:val="0"/>
          <w:sz w:val="24"/>
          <w:lang w:eastAsia="de-DE"/>
        </w:rPr>
      </w:pPr>
    </w:p>
    <w:p w14:paraId="5E646846" w14:textId="77777777" w:rsidR="00A0412F" w:rsidRPr="00EB139D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firstLine="357"/>
        <w:rPr>
          <w:rFonts w:ascii="Times New Roman" w:hAnsi="Times New Roman" w:cs="Times New Roman"/>
          <w:bCs w:val="0"/>
          <w:sz w:val="24"/>
          <w:lang w:eastAsia="de-DE"/>
        </w:rPr>
      </w:pPr>
      <w:proofErr w:type="spellStart"/>
      <w:r>
        <w:rPr>
          <w:rFonts w:ascii="Times New Roman" w:hAnsi="Times New Roman" w:cs="Times New Roman"/>
          <w:bCs w:val="0"/>
          <w:sz w:val="24"/>
          <w:lang w:eastAsia="de-DE"/>
        </w:rPr>
        <w:t>WP</w:t>
      </w:r>
      <w:r w:rsidRPr="00EB139D">
        <w:rPr>
          <w:rFonts w:ascii="Times New Roman" w:hAnsi="Times New Roman" w:cs="Times New Roman"/>
          <w:bCs w:val="0"/>
          <w:sz w:val="24"/>
          <w:lang w:eastAsia="de-DE"/>
        </w:rPr>
        <w:t>xxx</w:t>
      </w:r>
      <w:proofErr w:type="spellEnd"/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: </w:t>
      </w:r>
      <w:r w:rsidRPr="00A0412F">
        <w:rPr>
          <w:rFonts w:ascii="Times New Roman" w:hAnsi="Times New Roman" w:cs="Times New Roman"/>
          <w:b w:val="0"/>
          <w:bCs w:val="0"/>
          <w:i/>
          <w:sz w:val="24"/>
          <w:lang w:eastAsia="de-DE"/>
        </w:rPr>
        <w:t>(Will be assigned by PMO)</w:t>
      </w:r>
    </w:p>
    <w:p w14:paraId="4D012736" w14:textId="54CA2547" w:rsidR="00A0412F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Authors: 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B. Lawrence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University of Reading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C. Maynard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(Met Office)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A. Turner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(EPCC)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X. Guo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(EPCC)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D. Sloan-Murphy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(EPCC)</w:t>
      </w:r>
    </w:p>
    <w:p w14:paraId="404A1E08" w14:textId="7D0E6561" w:rsidR="00A0412F" w:rsidRPr="00AF6F8C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 w:val="0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HPC Tool/Technique: 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MPI-IO, HDF5, </w:t>
      </w:r>
      <w:proofErr w:type="spellStart"/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NetCDF</w:t>
      </w:r>
      <w:proofErr w:type="spellEnd"/>
      <w:r w:rsidR="005012ED">
        <w:rPr>
          <w:rFonts w:ascii="Times New Roman" w:hAnsi="Times New Roman" w:cs="Times New Roman"/>
          <w:b w:val="0"/>
          <w:bCs w:val="0"/>
          <w:sz w:val="24"/>
          <w:lang w:eastAsia="de-DE"/>
        </w:rPr>
        <w:t>, Lustre, GPFS,</w:t>
      </w:r>
      <w:r w:rsidR="00780DBD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</w:t>
      </w:r>
      <w:proofErr w:type="spellStart"/>
      <w:r w:rsidR="00780DBD">
        <w:rPr>
          <w:rFonts w:ascii="Times New Roman" w:hAnsi="Times New Roman" w:cs="Times New Roman"/>
          <w:b w:val="0"/>
          <w:bCs w:val="0"/>
          <w:sz w:val="24"/>
          <w:lang w:eastAsia="de-DE"/>
        </w:rPr>
        <w:t>Panasas</w:t>
      </w:r>
      <w:proofErr w:type="spellEnd"/>
    </w:p>
    <w:p w14:paraId="766EE375" w14:textId="5AEE7124" w:rsidR="00A0412F" w:rsidRPr="00AF6F8C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 w:val="0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Application: 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High performance parallel input/output</w:t>
      </w:r>
    </w:p>
    <w:p w14:paraId="1718F572" w14:textId="3A60579A" w:rsidR="00A0412F" w:rsidRPr="00AF6F8C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 w:val="0"/>
          <w:bCs w:val="0"/>
          <w:sz w:val="24"/>
          <w:lang w:eastAsia="de-DE"/>
        </w:rPr>
      </w:pPr>
      <w:proofErr w:type="spellStart"/>
      <w:r w:rsidRPr="00EB139D">
        <w:rPr>
          <w:rFonts w:ascii="Times New Roman" w:hAnsi="Times New Roman" w:cs="Times New Roman"/>
          <w:bCs w:val="0"/>
          <w:sz w:val="24"/>
          <w:lang w:eastAsia="de-DE"/>
        </w:rPr>
        <w:t>Exascale</w:t>
      </w:r>
      <w:proofErr w:type="spellEnd"/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, </w:t>
      </w:r>
      <w:proofErr w:type="spellStart"/>
      <w:r w:rsidRPr="00EB139D">
        <w:rPr>
          <w:rFonts w:ascii="Times New Roman" w:hAnsi="Times New Roman" w:cs="Times New Roman"/>
          <w:bCs w:val="0"/>
          <w:sz w:val="24"/>
          <w:lang w:eastAsia="de-DE"/>
        </w:rPr>
        <w:t>CoEs</w:t>
      </w:r>
      <w:proofErr w:type="spellEnd"/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 and Scientific communities: </w:t>
      </w:r>
      <w:proofErr w:type="spellStart"/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ESiWACE</w:t>
      </w:r>
      <w:proofErr w:type="spellEnd"/>
      <w:r w:rsidR="001F04E7">
        <w:rPr>
          <w:rFonts w:ascii="Times New Roman" w:hAnsi="Times New Roman" w:cs="Times New Roman"/>
          <w:b w:val="0"/>
          <w:bCs w:val="0"/>
          <w:sz w:val="24"/>
          <w:lang w:eastAsia="de-DE"/>
        </w:rPr>
        <w:t>, all communities with significant I/O requirements</w:t>
      </w:r>
    </w:p>
    <w:p w14:paraId="338CC64B" w14:textId="77777777" w:rsidR="00A0412F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>Person Months:</w:t>
      </w:r>
    </w:p>
    <w:p w14:paraId="3AA007B5" w14:textId="405A717E" w:rsidR="00A0412F" w:rsidRDefault="00A0412F" w:rsidP="00757E1D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Cs w:val="0"/>
          <w:sz w:val="24"/>
          <w:lang w:eastAsia="de-DE"/>
        </w:rPr>
      </w:pPr>
    </w:p>
    <w:p w14:paraId="569BE351" w14:textId="2B40C7CD" w:rsidR="00757E1D" w:rsidRPr="00757E1D" w:rsidRDefault="00757E1D" w:rsidP="00757E1D">
      <w:pPr>
        <w:jc w:val="both"/>
        <w:rPr>
          <w:rFonts w:ascii="Times New Roman" w:hAnsi="Times New Roman" w:cs="Times New Roman"/>
          <w:lang w:val="en-GB"/>
        </w:rPr>
      </w:pPr>
      <w:r w:rsidRPr="00757E1D">
        <w:rPr>
          <w:rFonts w:ascii="Times New Roman" w:hAnsi="Times New Roman" w:cs="Times New Roman"/>
          <w:lang w:val="en-GB"/>
        </w:rPr>
        <w:t>Parallel I/O performance plays a key role in many high-performance</w:t>
      </w:r>
      <w:r>
        <w:rPr>
          <w:rFonts w:ascii="Times New Roman" w:hAnsi="Times New Roman" w:cs="Times New Roman"/>
          <w:lang w:val="en-GB"/>
        </w:rPr>
        <w:t xml:space="preserve"> compu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ting (HPC) applications. </w:t>
      </w:r>
      <w:r w:rsidRPr="00757E1D">
        <w:rPr>
          <w:rFonts w:ascii="Times New Roman" w:hAnsi="Times New Roman" w:cs="Times New Roman"/>
          <w:lang w:val="en-GB"/>
        </w:rPr>
        <w:t xml:space="preserve">I/O bottlenecks are an important challenge to understand and, where possible, eliminate on both current, </w:t>
      </w:r>
      <w:proofErr w:type="spellStart"/>
      <w:r w:rsidRPr="00757E1D">
        <w:rPr>
          <w:rFonts w:ascii="Times New Roman" w:hAnsi="Times New Roman" w:cs="Times New Roman"/>
          <w:lang w:val="en-GB"/>
        </w:rPr>
        <w:t>petascale</w:t>
      </w:r>
      <w:proofErr w:type="spellEnd"/>
      <w:r w:rsidRPr="00757E1D">
        <w:rPr>
          <w:rFonts w:ascii="Times New Roman" w:hAnsi="Times New Roman" w:cs="Times New Roman"/>
          <w:lang w:val="en-GB"/>
        </w:rPr>
        <w:t xml:space="preserve"> resources and looking forward to </w:t>
      </w:r>
      <w:proofErr w:type="spellStart"/>
      <w:r w:rsidRPr="00757E1D">
        <w:rPr>
          <w:rFonts w:ascii="Times New Roman" w:hAnsi="Times New Roman" w:cs="Times New Roman"/>
          <w:lang w:val="en-GB"/>
        </w:rPr>
        <w:t>exascale</w:t>
      </w:r>
      <w:proofErr w:type="spellEnd"/>
      <w:r w:rsidRPr="00757E1D">
        <w:rPr>
          <w:rFonts w:ascii="Times New Roman" w:hAnsi="Times New Roman" w:cs="Times New Roman"/>
          <w:lang w:val="en-GB"/>
        </w:rPr>
        <w:t xml:space="preserve"> computing. It is therefore necessary for research communities with high I/O requirements to understand the parallel I/O performance of existing HPC systems and applications to be suitably equipped to make informed plans for future procurements and software development projects.</w:t>
      </w:r>
      <w:r w:rsidR="001F04E7">
        <w:rPr>
          <w:rFonts w:ascii="Times New Roman" w:hAnsi="Times New Roman" w:cs="Times New Roman"/>
          <w:lang w:val="en-GB"/>
        </w:rPr>
        <w:t xml:space="preserve"> </w:t>
      </w:r>
      <w:r w:rsidR="00E25160">
        <w:rPr>
          <w:rFonts w:ascii="Times New Roman" w:hAnsi="Times New Roman" w:cs="Times New Roman"/>
          <w:lang w:val="en-GB"/>
        </w:rPr>
        <w:t xml:space="preserve">The results of this work are of particular relevance to the </w:t>
      </w:r>
      <w:proofErr w:type="spellStart"/>
      <w:r w:rsidR="00E25160">
        <w:rPr>
          <w:rFonts w:ascii="Times New Roman" w:hAnsi="Times New Roman" w:cs="Times New Roman"/>
          <w:lang w:val="en-GB"/>
        </w:rPr>
        <w:t>ESiWACE</w:t>
      </w:r>
      <w:proofErr w:type="spellEnd"/>
      <w:r w:rsidR="00E25160">
        <w:rPr>
          <w:rFonts w:ascii="Times New Roman" w:hAnsi="Times New Roman" w:cs="Times New Roman"/>
          <w:lang w:val="en-GB"/>
        </w:rPr>
        <w:t xml:space="preserve"> Centre of Excellence (</w:t>
      </w:r>
      <w:proofErr w:type="spellStart"/>
      <w:r w:rsidR="00E25160">
        <w:rPr>
          <w:rFonts w:ascii="Times New Roman" w:hAnsi="Times New Roman" w:cs="Times New Roman"/>
          <w:lang w:val="en-GB"/>
        </w:rPr>
        <w:t>CoE</w:t>
      </w:r>
      <w:proofErr w:type="spellEnd"/>
      <w:r w:rsidR="00E25160">
        <w:rPr>
          <w:rFonts w:ascii="Times New Roman" w:hAnsi="Times New Roman" w:cs="Times New Roman"/>
          <w:lang w:val="en-GB"/>
        </w:rPr>
        <w:t>), as the originators of this project, but, g</w:t>
      </w:r>
      <w:r w:rsidR="001F04E7">
        <w:rPr>
          <w:rFonts w:ascii="Times New Roman" w:hAnsi="Times New Roman" w:cs="Times New Roman"/>
          <w:lang w:val="en-GB"/>
        </w:rPr>
        <w:t xml:space="preserve">iven the ubiquity of </w:t>
      </w:r>
      <w:r w:rsidR="00E25160">
        <w:rPr>
          <w:rFonts w:ascii="Times New Roman" w:hAnsi="Times New Roman" w:cs="Times New Roman"/>
          <w:lang w:val="en-GB"/>
        </w:rPr>
        <w:t>I/O in HPC domains, the findings will be</w:t>
      </w:r>
      <w:r w:rsidR="001F04E7">
        <w:rPr>
          <w:rFonts w:ascii="Times New Roman" w:hAnsi="Times New Roman" w:cs="Times New Roman"/>
          <w:lang w:val="en-GB"/>
        </w:rPr>
        <w:t xml:space="preserve"> </w:t>
      </w:r>
      <w:r w:rsidR="00E25160">
        <w:rPr>
          <w:rFonts w:ascii="Times New Roman" w:hAnsi="Times New Roman" w:cs="Times New Roman"/>
          <w:lang w:val="en-GB"/>
        </w:rPr>
        <w:t xml:space="preserve">of interest </w:t>
      </w:r>
      <w:r w:rsidR="001F04E7">
        <w:rPr>
          <w:rFonts w:ascii="Times New Roman" w:hAnsi="Times New Roman" w:cs="Times New Roman"/>
          <w:lang w:val="en-GB"/>
        </w:rPr>
        <w:t xml:space="preserve">to </w:t>
      </w:r>
      <w:r w:rsidR="00E25160">
        <w:rPr>
          <w:rFonts w:ascii="Times New Roman" w:hAnsi="Times New Roman" w:cs="Times New Roman"/>
          <w:lang w:val="en-GB"/>
        </w:rPr>
        <w:t xml:space="preserve">most researchers and </w:t>
      </w:r>
      <w:r w:rsidR="00D919CE">
        <w:rPr>
          <w:rFonts w:ascii="Times New Roman" w:hAnsi="Times New Roman" w:cs="Times New Roman"/>
          <w:lang w:val="en-GB"/>
        </w:rPr>
        <w:t xml:space="preserve">members of the European </w:t>
      </w:r>
      <w:r w:rsidR="001F04E7">
        <w:rPr>
          <w:rFonts w:ascii="Times New Roman" w:hAnsi="Times New Roman" w:cs="Times New Roman"/>
          <w:lang w:val="en-GB"/>
        </w:rPr>
        <w:t xml:space="preserve">scientific </w:t>
      </w:r>
      <w:r w:rsidR="00D919CE">
        <w:rPr>
          <w:rFonts w:ascii="Times New Roman" w:hAnsi="Times New Roman" w:cs="Times New Roman"/>
          <w:lang w:val="en-GB"/>
        </w:rPr>
        <w:t>computing community</w:t>
      </w:r>
      <w:r w:rsidR="00E25160">
        <w:rPr>
          <w:rFonts w:ascii="Times New Roman" w:hAnsi="Times New Roman" w:cs="Times New Roman"/>
          <w:lang w:val="en-GB"/>
        </w:rPr>
        <w:t>.</w:t>
      </w:r>
    </w:p>
    <w:p w14:paraId="356C7A2F" w14:textId="77777777" w:rsidR="00757E1D" w:rsidRPr="00757E1D" w:rsidRDefault="00757E1D" w:rsidP="00757E1D">
      <w:pPr>
        <w:jc w:val="both"/>
        <w:rPr>
          <w:rFonts w:ascii="Times New Roman" w:hAnsi="Times New Roman" w:cs="Times New Roman"/>
          <w:lang w:val="en-GB"/>
        </w:rPr>
      </w:pPr>
    </w:p>
    <w:p w14:paraId="1D983C29" w14:textId="4D780814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>This paper presents benchmarks for the write capabilities of the following HPC systems:</w:t>
      </w:r>
    </w:p>
    <w:p w14:paraId="7448B7A0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24B960F3" w14:textId="77777777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ARCHER</w:t>
      </w:r>
      <w:r w:rsidRPr="00757E1D">
        <w:rPr>
          <w:rFonts w:ascii="Times New Roman" w:eastAsia="MS Mincho" w:hAnsi="Times New Roman" w:cs="Times New Roman"/>
        </w:rPr>
        <w:t xml:space="preserve">: the UK national supercomputing service, with a Cray </w:t>
      </w:r>
      <w:proofErr w:type="spellStart"/>
      <w:r w:rsidRPr="00757E1D">
        <w:rPr>
          <w:rFonts w:ascii="Times New Roman" w:eastAsia="MS Mincho" w:hAnsi="Times New Roman" w:cs="Times New Roman"/>
        </w:rPr>
        <w:t>Sonexion</w:t>
      </w:r>
      <w:proofErr w:type="spellEnd"/>
      <w:r w:rsidRPr="00757E1D">
        <w:rPr>
          <w:rFonts w:ascii="Times New Roman" w:eastAsia="MS Mincho" w:hAnsi="Times New Roman" w:cs="Times New Roman"/>
        </w:rPr>
        <w:t xml:space="preserve"> </w:t>
      </w:r>
      <w:proofErr w:type="spellStart"/>
      <w:r w:rsidRPr="00757E1D">
        <w:rPr>
          <w:rFonts w:ascii="Times New Roman" w:eastAsia="MS Mincho" w:hAnsi="Times New Roman" w:cs="Times New Roman"/>
        </w:rPr>
        <w:t>Lustre</w:t>
      </w:r>
      <w:proofErr w:type="spellEnd"/>
      <w:r w:rsidRPr="00757E1D">
        <w:rPr>
          <w:rFonts w:ascii="Times New Roman" w:eastAsia="MS Mincho" w:hAnsi="Times New Roman" w:cs="Times New Roman"/>
        </w:rPr>
        <w:t xml:space="preserve"> file system.</w:t>
      </w:r>
    </w:p>
    <w:p w14:paraId="76C90C70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19EF0D71" w14:textId="77777777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COSMA</w:t>
      </w:r>
      <w:r w:rsidRPr="00757E1D">
        <w:rPr>
          <w:rFonts w:ascii="Times New Roman" w:eastAsia="MS Mincho" w:hAnsi="Times New Roman" w:cs="Times New Roman"/>
        </w:rPr>
        <w:t xml:space="preserve">: one of the </w:t>
      </w:r>
      <w:proofErr w:type="spellStart"/>
      <w:r w:rsidRPr="00757E1D">
        <w:rPr>
          <w:rFonts w:ascii="Times New Roman" w:eastAsia="MS Mincho" w:hAnsi="Times New Roman" w:cs="Times New Roman"/>
        </w:rPr>
        <w:t>DiRAC</w:t>
      </w:r>
      <w:proofErr w:type="spellEnd"/>
      <w:r w:rsidRPr="00757E1D">
        <w:rPr>
          <w:rFonts w:ascii="Times New Roman" w:eastAsia="MS Mincho" w:hAnsi="Times New Roman" w:cs="Times New Roman"/>
        </w:rPr>
        <w:t xml:space="preserve"> UK HPC resources, using a DDN implementation of the IBM GPFS file system.</w:t>
      </w:r>
    </w:p>
    <w:p w14:paraId="02E35922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66DF1FDA" w14:textId="77777777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UK-RDF DAC</w:t>
      </w:r>
      <w:r w:rsidRPr="00757E1D">
        <w:rPr>
          <w:rFonts w:ascii="Times New Roman" w:eastAsia="MS Mincho" w:hAnsi="Times New Roman" w:cs="Times New Roman"/>
        </w:rPr>
        <w:t>: the Data Analytic Cluster attached to the UK Research Data Facility, also using DDN GPFS.</w:t>
      </w:r>
    </w:p>
    <w:p w14:paraId="18D5D860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5EDA8DC0" w14:textId="77777777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JASMIN</w:t>
      </w:r>
      <w:r w:rsidRPr="00757E1D">
        <w:rPr>
          <w:rFonts w:ascii="Times New Roman" w:eastAsia="MS Mincho" w:hAnsi="Times New Roman" w:cs="Times New Roman"/>
        </w:rPr>
        <w:t xml:space="preserve">: a data analysis cluster delivered by the STFC, using the </w:t>
      </w:r>
      <w:proofErr w:type="spellStart"/>
      <w:r w:rsidRPr="00757E1D">
        <w:rPr>
          <w:rFonts w:ascii="Times New Roman" w:eastAsia="MS Mincho" w:hAnsi="Times New Roman" w:cs="Times New Roman"/>
        </w:rPr>
        <w:t>Panasas</w:t>
      </w:r>
      <w:proofErr w:type="spellEnd"/>
      <w:r w:rsidRPr="00757E1D">
        <w:rPr>
          <w:rFonts w:ascii="Times New Roman" w:eastAsia="MS Mincho" w:hAnsi="Times New Roman" w:cs="Times New Roman"/>
        </w:rPr>
        <w:t xml:space="preserve"> parallel file system.</w:t>
      </w:r>
    </w:p>
    <w:p w14:paraId="017CE568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2F79746A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 xml:space="preserve">We run </w:t>
      </w:r>
      <w:proofErr w:type="spellStart"/>
      <w:r w:rsidRPr="00757E1D">
        <w:rPr>
          <w:rFonts w:ascii="Times New Roman" w:hAnsi="Times New Roman" w:cs="Times New Roman"/>
          <w:i/>
        </w:rPr>
        <w:t>benchio</w:t>
      </w:r>
      <w:proofErr w:type="spellEnd"/>
      <w:r w:rsidRPr="00757E1D">
        <w:rPr>
          <w:rFonts w:ascii="Times New Roman" w:hAnsi="Times New Roman" w:cs="Times New Roman"/>
        </w:rPr>
        <w:t xml:space="preserve">, a parallel benchmarking application which writes a three-dimensional distributed dataset to a single shared file. On all systems, we measure MPI-IO performance and, in select cases, compare this with HDF5 and </w:t>
      </w:r>
      <w:proofErr w:type="spellStart"/>
      <w:r w:rsidRPr="00757E1D">
        <w:rPr>
          <w:rFonts w:ascii="Times New Roman" w:hAnsi="Times New Roman" w:cs="Times New Roman"/>
        </w:rPr>
        <w:t>NetCDF</w:t>
      </w:r>
      <w:proofErr w:type="spellEnd"/>
      <w:r w:rsidRPr="00757E1D">
        <w:rPr>
          <w:rFonts w:ascii="Times New Roman" w:hAnsi="Times New Roman" w:cs="Times New Roman"/>
        </w:rPr>
        <w:t xml:space="preserve"> equivalent implementations.</w:t>
      </w:r>
    </w:p>
    <w:p w14:paraId="6173D1BC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33420CBA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 xml:space="preserve">We find a reasonable expectation is for approximately 50% of the theoretical system maximum bandwidth to be attainable in practice. Contention is shown to have a dramatic effect on performance. MPI-IO, HDF5 and </w:t>
      </w:r>
      <w:proofErr w:type="spellStart"/>
      <w:r w:rsidRPr="00757E1D">
        <w:rPr>
          <w:rFonts w:ascii="Times New Roman" w:hAnsi="Times New Roman" w:cs="Times New Roman"/>
        </w:rPr>
        <w:t>NetCDF</w:t>
      </w:r>
      <w:proofErr w:type="spellEnd"/>
      <w:r w:rsidRPr="00757E1D">
        <w:rPr>
          <w:rFonts w:ascii="Times New Roman" w:hAnsi="Times New Roman" w:cs="Times New Roman"/>
        </w:rPr>
        <w:t xml:space="preserve"> are found to scale similarly but the high-level libraries introduce a small amount of performance overhead.</w:t>
      </w:r>
    </w:p>
    <w:p w14:paraId="07EEFB43" w14:textId="58CF7086" w:rsidR="00757E1D" w:rsidRDefault="00757E1D" w:rsidP="00757E1D">
      <w:pPr>
        <w:jc w:val="both"/>
        <w:rPr>
          <w:rFonts w:ascii="Times New Roman" w:hAnsi="Times New Roman" w:cs="Times New Roman"/>
        </w:rPr>
      </w:pPr>
    </w:p>
    <w:p w14:paraId="133CF7EF" w14:textId="77777777" w:rsidR="00EE349F" w:rsidRDefault="00EE349F" w:rsidP="00EE349F">
      <w:pPr>
        <w:keepNext/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6EA1AAE7" wp14:editId="6B3DDD6C">
            <wp:extent cx="5270500" cy="3067373"/>
            <wp:effectExtent l="0" t="0" r="635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6CF9DE" w14:textId="77777777" w:rsidR="00EE349F" w:rsidRDefault="00EE349F" w:rsidP="00EE349F">
      <w:pPr>
        <w:pStyle w:val="Caption"/>
        <w:jc w:val="both"/>
      </w:pPr>
    </w:p>
    <w:p w14:paraId="19E9FC47" w14:textId="3B568110" w:rsidR="00EE349F" w:rsidRDefault="00EE349F" w:rsidP="00EE349F">
      <w:pPr>
        <w:jc w:val="center"/>
        <w:rPr>
          <w:i/>
          <w:iCs/>
          <w:color w:val="1F497D" w:themeColor="text2"/>
          <w:sz w:val="18"/>
          <w:szCs w:val="18"/>
        </w:rPr>
      </w:pPr>
      <w:r w:rsidRPr="00EE349F">
        <w:rPr>
          <w:i/>
          <w:iCs/>
          <w:color w:val="1F497D" w:themeColor="text2"/>
          <w:sz w:val="18"/>
          <w:szCs w:val="18"/>
        </w:rPr>
        <w:t xml:space="preserve">Figure 16. All </w:t>
      </w:r>
      <w:proofErr w:type="spellStart"/>
      <w:r w:rsidRPr="00EE349F">
        <w:rPr>
          <w:i/>
          <w:iCs/>
          <w:color w:val="1F497D" w:themeColor="text2"/>
          <w:sz w:val="18"/>
          <w:szCs w:val="18"/>
        </w:rPr>
        <w:t>backends</w:t>
      </w:r>
      <w:proofErr w:type="spellEnd"/>
      <w:r w:rsidRPr="00EE349F">
        <w:rPr>
          <w:i/>
          <w:iCs/>
          <w:color w:val="1F497D" w:themeColor="text2"/>
          <w:sz w:val="18"/>
          <w:szCs w:val="18"/>
        </w:rPr>
        <w:t xml:space="preserve"> bandwidth for UK-RDF DAC. File system: 4.4PB /gpfs2 mounted as /</w:t>
      </w:r>
      <w:proofErr w:type="spellStart"/>
      <w:r w:rsidRPr="00EE349F">
        <w:rPr>
          <w:i/>
          <w:iCs/>
          <w:color w:val="1F497D" w:themeColor="text2"/>
          <w:sz w:val="18"/>
          <w:szCs w:val="18"/>
        </w:rPr>
        <w:t>epsrc</w:t>
      </w:r>
      <w:proofErr w:type="spellEnd"/>
      <w:r w:rsidRPr="00EE349F">
        <w:rPr>
          <w:i/>
          <w:iCs/>
          <w:color w:val="1F497D" w:themeColor="text2"/>
          <w:sz w:val="18"/>
          <w:szCs w:val="18"/>
        </w:rPr>
        <w:t>.</w:t>
      </w:r>
      <w:r w:rsidR="001125BD">
        <w:rPr>
          <w:i/>
          <w:iCs/>
          <w:color w:val="1F497D" w:themeColor="text2"/>
          <w:sz w:val="18"/>
          <w:szCs w:val="18"/>
        </w:rPr>
        <w:t xml:space="preserve"> </w:t>
      </w:r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 xml:space="preserve">MPI-IO, HDF5 and </w:t>
      </w:r>
      <w:proofErr w:type="spellStart"/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>NetCDF</w:t>
      </w:r>
      <w:proofErr w:type="spellEnd"/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 xml:space="preserve"> display identical scaling characteristics with their peak bandwidths</w:t>
      </w:r>
      <w:r w:rsidR="001125BD">
        <w:rPr>
          <w:i/>
          <w:iCs/>
          <w:color w:val="1F497D" w:themeColor="text2"/>
          <w:sz w:val="18"/>
          <w:szCs w:val="18"/>
          <w:lang w:val="en-GB"/>
        </w:rPr>
        <w:t xml:space="preserve"> at 2 writers</w:t>
      </w:r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 xml:space="preserve"> reflecting the arrangement of their hierarchy</w:t>
      </w:r>
      <w:r>
        <w:rPr>
          <w:i/>
          <w:iCs/>
          <w:color w:val="1F497D" w:themeColor="text2"/>
          <w:sz w:val="18"/>
          <w:szCs w:val="18"/>
        </w:rPr>
        <w:t xml:space="preserve"> </w:t>
      </w:r>
    </w:p>
    <w:p w14:paraId="4CA9C41A" w14:textId="77777777" w:rsidR="00EE349F" w:rsidRDefault="00EE349F" w:rsidP="00757E1D">
      <w:pPr>
        <w:jc w:val="both"/>
        <w:rPr>
          <w:rFonts w:ascii="Times New Roman" w:hAnsi="Times New Roman" w:cs="Times New Roman"/>
        </w:rPr>
      </w:pPr>
    </w:p>
    <w:p w14:paraId="7629FBF3" w14:textId="58A2573A" w:rsid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 xml:space="preserve">For the </w:t>
      </w:r>
      <w:proofErr w:type="spellStart"/>
      <w:r w:rsidRPr="00757E1D">
        <w:rPr>
          <w:rFonts w:ascii="Times New Roman" w:hAnsi="Times New Roman" w:cs="Times New Roman"/>
        </w:rPr>
        <w:t>Lustre</w:t>
      </w:r>
      <w:proofErr w:type="spellEnd"/>
      <w:r w:rsidRPr="00757E1D">
        <w:rPr>
          <w:rFonts w:ascii="Times New Roman" w:hAnsi="Times New Roman" w:cs="Times New Roman"/>
        </w:rPr>
        <w:t xml:space="preserve"> file system, on a single shared file, maximum performance is found by </w:t>
      </w:r>
      <w:proofErr w:type="spellStart"/>
      <w:r w:rsidRPr="00757E1D">
        <w:rPr>
          <w:rFonts w:ascii="Times New Roman" w:hAnsi="Times New Roman" w:cs="Times New Roman"/>
        </w:rPr>
        <w:t>maximising</w:t>
      </w:r>
      <w:proofErr w:type="spellEnd"/>
      <w:r w:rsidRPr="00757E1D">
        <w:rPr>
          <w:rFonts w:ascii="Times New Roman" w:hAnsi="Times New Roman" w:cs="Times New Roman"/>
        </w:rPr>
        <w:t xml:space="preserve"> the stripe count and matching the individual stripe size to the magnitude of I/O operation performed. HDF5 is discovered to scale poorly on </w:t>
      </w:r>
      <w:proofErr w:type="spellStart"/>
      <w:r w:rsidRPr="00757E1D">
        <w:rPr>
          <w:rFonts w:ascii="Times New Roman" w:hAnsi="Times New Roman" w:cs="Times New Roman"/>
        </w:rPr>
        <w:t>Lustre</w:t>
      </w:r>
      <w:proofErr w:type="spellEnd"/>
      <w:r w:rsidRPr="00757E1D">
        <w:rPr>
          <w:rFonts w:ascii="Times New Roman" w:hAnsi="Times New Roman" w:cs="Times New Roman"/>
        </w:rPr>
        <w:t xml:space="preserve"> due to an </w:t>
      </w:r>
      <w:proofErr w:type="spellStart"/>
      <w:r w:rsidRPr="00757E1D">
        <w:rPr>
          <w:rFonts w:ascii="Times New Roman" w:hAnsi="Times New Roman" w:cs="Times New Roman"/>
        </w:rPr>
        <w:t>unfavourable</w:t>
      </w:r>
      <w:proofErr w:type="spellEnd"/>
      <w:r w:rsidRPr="00757E1D">
        <w:rPr>
          <w:rFonts w:ascii="Times New Roman" w:hAnsi="Times New Roman" w:cs="Times New Roman"/>
        </w:rPr>
        <w:t xml:space="preserve"> interaction with the H5Fclose() routine.</w:t>
      </w:r>
    </w:p>
    <w:p w14:paraId="66F92F33" w14:textId="00949D49" w:rsidR="00EE349F" w:rsidRDefault="00EE349F" w:rsidP="00757E1D">
      <w:pPr>
        <w:jc w:val="both"/>
        <w:rPr>
          <w:rFonts w:ascii="Times New Roman" w:hAnsi="Times New Roman" w:cs="Times New Roman"/>
        </w:rPr>
      </w:pPr>
    </w:p>
    <w:p w14:paraId="7F5BD66B" w14:textId="77777777" w:rsidR="00EE349F" w:rsidRDefault="00EE349F" w:rsidP="00EE349F">
      <w:pPr>
        <w:keepNext/>
        <w:jc w:val="both"/>
      </w:pPr>
      <w:r>
        <w:rPr>
          <w:noProof/>
          <w:lang w:eastAsia="en-GB"/>
        </w:rPr>
        <w:drawing>
          <wp:inline distT="0" distB="0" distL="0" distR="0" wp14:anchorId="2F855E24" wp14:editId="78A03714">
            <wp:extent cx="5270500" cy="3623505"/>
            <wp:effectExtent l="0" t="0" r="6350" b="0"/>
            <wp:docPr id="2" name="Picture 2" descr="fs3_stats_b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3_stats_bo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CA0B" w14:textId="65ED0771" w:rsidR="00237560" w:rsidRDefault="00EE349F" w:rsidP="001125BD">
      <w:pPr>
        <w:jc w:val="center"/>
        <w:rPr>
          <w:rFonts w:ascii="Helvetica" w:hAnsi="Helvetica" w:cs="Helvetica"/>
        </w:rPr>
      </w:pPr>
      <w:r w:rsidRPr="00EE349F">
        <w:rPr>
          <w:i/>
          <w:iCs/>
          <w:color w:val="1F497D" w:themeColor="text2"/>
          <w:sz w:val="18"/>
          <w:szCs w:val="18"/>
        </w:rPr>
        <w:t xml:space="preserve">Figure 5. </w:t>
      </w:r>
      <w:r>
        <w:rPr>
          <w:i/>
          <w:iCs/>
          <w:color w:val="1F497D" w:themeColor="text2"/>
          <w:sz w:val="18"/>
          <w:szCs w:val="18"/>
        </w:rPr>
        <w:t xml:space="preserve">Results spread for </w:t>
      </w:r>
      <w:r w:rsidRPr="00EE349F">
        <w:rPr>
          <w:i/>
          <w:iCs/>
          <w:color w:val="1F497D" w:themeColor="text2"/>
          <w:sz w:val="18"/>
          <w:szCs w:val="18"/>
        </w:rPr>
        <w:t>ARCHER</w:t>
      </w:r>
      <w:r>
        <w:rPr>
          <w:i/>
          <w:iCs/>
          <w:color w:val="1F497D" w:themeColor="text2"/>
          <w:sz w:val="18"/>
          <w:szCs w:val="18"/>
        </w:rPr>
        <w:t xml:space="preserve"> (</w:t>
      </w:r>
      <w:proofErr w:type="spellStart"/>
      <w:r>
        <w:rPr>
          <w:i/>
          <w:iCs/>
          <w:color w:val="1F497D" w:themeColor="text2"/>
          <w:sz w:val="18"/>
          <w:szCs w:val="18"/>
        </w:rPr>
        <w:t>Lustre</w:t>
      </w:r>
      <w:proofErr w:type="spellEnd"/>
      <w:r>
        <w:rPr>
          <w:i/>
          <w:iCs/>
          <w:color w:val="1F497D" w:themeColor="text2"/>
          <w:sz w:val="18"/>
          <w:szCs w:val="18"/>
        </w:rPr>
        <w:t>)</w:t>
      </w:r>
      <w:r w:rsidRPr="00EE349F">
        <w:rPr>
          <w:i/>
          <w:iCs/>
          <w:color w:val="1F497D" w:themeColor="text2"/>
          <w:sz w:val="18"/>
          <w:szCs w:val="18"/>
        </w:rPr>
        <w:t xml:space="preserve"> MPI-IO maximum striping (-1). Default striping of 4 is plotted for comparison.</w:t>
      </w:r>
      <w:r w:rsidR="001125BD">
        <w:rPr>
          <w:rFonts w:ascii="Helvetica" w:hAnsi="Helvetica" w:cs="Helvetica"/>
        </w:rPr>
        <w:t xml:space="preserve"> </w:t>
      </w:r>
    </w:p>
    <w:p w14:paraId="4163C9A2" w14:textId="77777777" w:rsidR="00237560" w:rsidRDefault="00237560"/>
    <w:sectPr w:rsidR="00237560" w:rsidSect="007266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E7A"/>
    <w:multiLevelType w:val="hybridMultilevel"/>
    <w:tmpl w:val="D400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343AE"/>
    <w:multiLevelType w:val="hybridMultilevel"/>
    <w:tmpl w:val="704C7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B1D64"/>
    <w:multiLevelType w:val="multilevel"/>
    <w:tmpl w:val="5E3A29FC"/>
    <w:lvl w:ilvl="0">
      <w:start w:val="1"/>
      <w:numFmt w:val="decimal"/>
      <w:pStyle w:val="Heading2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2F"/>
    <w:rsid w:val="001125BD"/>
    <w:rsid w:val="001F04E7"/>
    <w:rsid w:val="00237560"/>
    <w:rsid w:val="00377F7B"/>
    <w:rsid w:val="005012ED"/>
    <w:rsid w:val="006C69BD"/>
    <w:rsid w:val="007266C6"/>
    <w:rsid w:val="00757E1D"/>
    <w:rsid w:val="00780DBD"/>
    <w:rsid w:val="00A0412F"/>
    <w:rsid w:val="00A6345D"/>
    <w:rsid w:val="00AF6F8C"/>
    <w:rsid w:val="00D919CE"/>
    <w:rsid w:val="00E25160"/>
    <w:rsid w:val="00E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E4136"/>
  <w14:defaultImageDpi w14:val="32767"/>
  <w15:docId w15:val="{9FF92634-F8BC-42C3-8C3A-4DF672DA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A041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">
    <w:name w:val="Heading4"/>
    <w:basedOn w:val="Heading2"/>
    <w:autoRedefine/>
    <w:rsid w:val="00A0412F"/>
    <w:pPr>
      <w:numPr>
        <w:ilvl w:val="2"/>
      </w:numPr>
      <w:tabs>
        <w:tab w:val="left" w:pos="720"/>
      </w:tabs>
    </w:pPr>
    <w:rPr>
      <w:b w:val="0"/>
      <w:i/>
      <w:sz w:val="24"/>
    </w:rPr>
  </w:style>
  <w:style w:type="paragraph" w:customStyle="1" w:styleId="Heading2">
    <w:name w:val="Heading2"/>
    <w:basedOn w:val="Heading20"/>
    <w:rsid w:val="00A0412F"/>
    <w:pPr>
      <w:keepLines w:val="0"/>
      <w:numPr>
        <w:numId w:val="1"/>
      </w:numPr>
      <w:spacing w:before="100" w:beforeAutospacing="1" w:after="100" w:afterAutospacing="1"/>
      <w:jc w:val="both"/>
    </w:pPr>
    <w:rPr>
      <w:rFonts w:ascii="Arial" w:eastAsia="Times New Roman" w:hAnsi="Arial" w:cs="Arial"/>
      <w:color w:val="auto"/>
      <w:sz w:val="28"/>
      <w:szCs w:val="24"/>
      <w:lang w:val="en-GB"/>
    </w:rPr>
  </w:style>
  <w:style w:type="paragraph" w:customStyle="1" w:styleId="Heading3">
    <w:name w:val="Heading3"/>
    <w:basedOn w:val="Heading2"/>
    <w:rsid w:val="00A0412F"/>
    <w:pPr>
      <w:numPr>
        <w:ilvl w:val="1"/>
      </w:numPr>
    </w:pPr>
    <w:rPr>
      <w:sz w:val="24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A04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E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49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sloanm\Documents\Personal%20SVN\PRACE\IO%20Benchmarking\DAC-result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UK-RDF DAC: /gpfs2, Local Size = 256^3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gpfs2!$E$1</c:f>
              <c:strCache>
                <c:ptCount val="1"/>
                <c:pt idx="0">
                  <c:v>MPI-IO</c:v>
                </c:pt>
              </c:strCache>
            </c:strRef>
          </c:tx>
          <c:xVal>
            <c:numRef>
              <c:f>gpfs2!$B$2:$H$2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xVal>
          <c:yVal>
            <c:numRef>
              <c:f>gpfs2!$B$45:$H$45</c:f>
              <c:numCache>
                <c:formatCode>General</c:formatCode>
                <c:ptCount val="7"/>
                <c:pt idx="0">
                  <c:v>2098.3651173334501</c:v>
                </c:pt>
                <c:pt idx="1">
                  <c:v>2438.09479520983</c:v>
                </c:pt>
                <c:pt idx="2">
                  <c:v>1261.0833172821699</c:v>
                </c:pt>
                <c:pt idx="3">
                  <c:v>1055.6700719557</c:v>
                </c:pt>
                <c:pt idx="4">
                  <c:v>1070.5698593280399</c:v>
                </c:pt>
                <c:pt idx="5">
                  <c:v>1094.01710627852</c:v>
                </c:pt>
                <c:pt idx="6">
                  <c:v>905.55362153785904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85-45CC-9C4B-1E13E4D7A92F}"/>
            </c:ext>
          </c:extLst>
        </c:ser>
        <c:ser>
          <c:idx val="1"/>
          <c:order val="1"/>
          <c:tx>
            <c:strRef>
              <c:f>gpfs2!$M$1</c:f>
              <c:strCache>
                <c:ptCount val="1"/>
                <c:pt idx="0">
                  <c:v>HDF5</c:v>
                </c:pt>
              </c:strCache>
            </c:strRef>
          </c:tx>
          <c:xVal>
            <c:numRef>
              <c:f>gpfs2!$J$2:$P$2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xVal>
          <c:yVal>
            <c:numRef>
              <c:f>gpfs2!$J$45:$P$45</c:f>
              <c:numCache>
                <c:formatCode>General</c:formatCode>
                <c:ptCount val="7"/>
                <c:pt idx="0">
                  <c:v>1153.1549959511699</c:v>
                </c:pt>
                <c:pt idx="1">
                  <c:v>2226.0867719163598</c:v>
                </c:pt>
                <c:pt idx="2">
                  <c:v>1361.7015267025499</c:v>
                </c:pt>
                <c:pt idx="3">
                  <c:v>1245.74205198917</c:v>
                </c:pt>
                <c:pt idx="4">
                  <c:v>1307.7905619127</c:v>
                </c:pt>
                <c:pt idx="5">
                  <c:v>1321.71669256266</c:v>
                </c:pt>
                <c:pt idx="6">
                  <c:v>1142.09233866925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85-45CC-9C4B-1E13E4D7A92F}"/>
            </c:ext>
          </c:extLst>
        </c:ser>
        <c:ser>
          <c:idx val="2"/>
          <c:order val="2"/>
          <c:tx>
            <c:strRef>
              <c:f>gpfs2!$U$1</c:f>
              <c:strCache>
                <c:ptCount val="1"/>
                <c:pt idx="0">
                  <c:v>NetCDF</c:v>
                </c:pt>
              </c:strCache>
            </c:strRef>
          </c:tx>
          <c:xVal>
            <c:numRef>
              <c:f>gpfs2!$R$2:$X$2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xVal>
          <c:yVal>
            <c:numRef>
              <c:f>gpfs2!$R$45:$X$45</c:f>
              <c:numCache>
                <c:formatCode>General</c:formatCode>
                <c:ptCount val="7"/>
                <c:pt idx="0">
                  <c:v>831.16859439902203</c:v>
                </c:pt>
                <c:pt idx="1">
                  <c:v>1523.80967951146</c:v>
                </c:pt>
                <c:pt idx="2">
                  <c:v>1221.9573020115299</c:v>
                </c:pt>
                <c:pt idx="3">
                  <c:v>1181.0840580762199</c:v>
                </c:pt>
                <c:pt idx="4">
                  <c:v>1240.46030987772</c:v>
                </c:pt>
                <c:pt idx="5">
                  <c:v>1228.5542483772299</c:v>
                </c:pt>
                <c:pt idx="6">
                  <c:v>1106.3094159007501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185-45CC-9C4B-1E13E4D7A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395968"/>
        <c:axId val="238396544"/>
      </c:scatterChart>
      <c:valAx>
        <c:axId val="238395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396544"/>
        <c:crosses val="autoZero"/>
        <c:crossBetween val="midCat"/>
      </c:valAx>
      <c:valAx>
        <c:axId val="23839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</a:t>
                </a:r>
                <a:r>
                  <a:rPr lang="en-US" baseline="0"/>
                  <a:t> (MiB/s)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39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Gursoy</dc:creator>
  <cp:keywords/>
  <dc:description/>
  <cp:lastModifiedBy>dsloanm</cp:lastModifiedBy>
  <cp:revision>11</cp:revision>
  <cp:lastPrinted>2017-01-18T11:49:00Z</cp:lastPrinted>
  <dcterms:created xsi:type="dcterms:W3CDTF">2017-01-04T11:27:00Z</dcterms:created>
  <dcterms:modified xsi:type="dcterms:W3CDTF">2017-01-18T11:49:00Z</dcterms:modified>
</cp:coreProperties>
</file>