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lcl|NM_001378804.1_cds_NP_001365733.1_1 [gene=FCGR1A]</w:t>
      </w:r>
    </w:p>
    <w:p>
      <w:r>
        <w:rPr>
          <w:rFonts w:ascii="Consolas" w:hAnsi="Consolas"/>
          <w:sz w:val="18"/>
        </w:rPr>
        <w:t>[db_xref=GeneID:2209,HGNC:HGNC:3613,MIM:146760] [protein=high</w:t>
      </w:r>
    </w:p>
    <w:p>
      <w:r>
        <w:rPr>
          <w:rFonts w:ascii="Consolas" w:hAnsi="Consolas"/>
          <w:sz w:val="18"/>
        </w:rPr>
        <w:t>affinity immunoglobulin gamma Fc receptor I isoform 1 precursor]</w:t>
      </w:r>
    </w:p>
    <w:p>
      <w:r>
        <w:rPr>
          <w:rFonts w:ascii="Consolas" w:hAnsi="Consolas"/>
          <w:sz w:val="18"/>
        </w:rPr>
        <w:t>[protein_id=NP_001365733.1] [location=51..1178] [gbkey=CDS]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2824360905816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