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E672519" w:rsidR="00F77C82" w:rsidRDefault="00F77C82">
      <w:pPr>
        <w:jc w:val="center"/>
      </w:pPr>
      <w:r>
        <w:t xml:space="preserve">Last updated: </w:t>
      </w:r>
      <w:r w:rsidR="007A15CE">
        <w:fldChar w:fldCharType="begin"/>
      </w:r>
      <w:r>
        <w:instrText xml:space="preserve"> DATE \@"DD\ MMMM\ YYYY" </w:instrText>
      </w:r>
      <w:r w:rsidR="007A15CE">
        <w:fldChar w:fldCharType="separate"/>
      </w:r>
      <w:r w:rsidR="0064041E">
        <w:rPr>
          <w:noProof/>
        </w:rPr>
        <w:t>04 February 2018</w:t>
      </w:r>
      <w:r w:rsidR="007A15CE">
        <w:fldChar w:fldCharType="end"/>
      </w:r>
    </w:p>
    <w:p w14:paraId="4D357056" w14:textId="77777777" w:rsidR="00F77C82" w:rsidRPr="00C05534" w:rsidRDefault="00F77C82" w:rsidP="00C05534">
      <w:pPr>
        <w:pStyle w:val="Heading1"/>
      </w:pPr>
      <w:bookmarkStart w:id="0" w:name="_Toc505535275"/>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1" w:name="_Toc505535276"/>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05535277"/>
      <w:r w:rsidRPr="00C05534">
        <w:lastRenderedPageBreak/>
        <w:t>Contents</w:t>
      </w:r>
      <w:bookmarkEnd w:id="2"/>
    </w:p>
    <w:p w14:paraId="40A5868E" w14:textId="6B3BB87F" w:rsidR="0033768A"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33768A">
        <w:rPr>
          <w:noProof/>
        </w:rPr>
        <w:t>1</w:t>
      </w:r>
      <w:r w:rsidR="0033768A">
        <w:rPr>
          <w:rFonts w:asciiTheme="minorHAnsi" w:eastAsiaTheme="minorEastAsia" w:hAnsiTheme="minorHAnsi" w:cstheme="minorBidi"/>
          <w:noProof/>
          <w:szCs w:val="22"/>
          <w:lang w:eastAsia="en-GB"/>
        </w:rPr>
        <w:tab/>
      </w:r>
      <w:r w:rsidR="0033768A">
        <w:rPr>
          <w:noProof/>
        </w:rPr>
        <w:t>Acknowledgements and Citation</w:t>
      </w:r>
      <w:r w:rsidR="0033768A">
        <w:rPr>
          <w:noProof/>
        </w:rPr>
        <w:tab/>
      </w:r>
      <w:r w:rsidR="0033768A">
        <w:rPr>
          <w:noProof/>
        </w:rPr>
        <w:fldChar w:fldCharType="begin"/>
      </w:r>
      <w:r w:rsidR="0033768A">
        <w:rPr>
          <w:noProof/>
        </w:rPr>
        <w:instrText xml:space="preserve"> PAGEREF _Toc505535275 \h </w:instrText>
      </w:r>
      <w:r w:rsidR="0033768A">
        <w:rPr>
          <w:noProof/>
        </w:rPr>
      </w:r>
      <w:r w:rsidR="0033768A">
        <w:rPr>
          <w:noProof/>
        </w:rPr>
        <w:fldChar w:fldCharType="separate"/>
      </w:r>
      <w:r w:rsidR="0033768A">
        <w:rPr>
          <w:noProof/>
        </w:rPr>
        <w:t>2</w:t>
      </w:r>
      <w:r w:rsidR="0033768A">
        <w:rPr>
          <w:noProof/>
        </w:rPr>
        <w:fldChar w:fldCharType="end"/>
      </w:r>
    </w:p>
    <w:p w14:paraId="2927BA5F" w14:textId="62FE694A" w:rsidR="0033768A" w:rsidRDefault="0033768A">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_Toc505535276 \h </w:instrText>
      </w:r>
      <w:r>
        <w:rPr>
          <w:noProof/>
        </w:rPr>
      </w:r>
      <w:r>
        <w:rPr>
          <w:noProof/>
        </w:rPr>
        <w:fldChar w:fldCharType="separate"/>
      </w:r>
      <w:r>
        <w:rPr>
          <w:noProof/>
        </w:rPr>
        <w:t>3</w:t>
      </w:r>
      <w:r>
        <w:rPr>
          <w:noProof/>
        </w:rPr>
        <w:fldChar w:fldCharType="end"/>
      </w:r>
    </w:p>
    <w:p w14:paraId="74259E9B" w14:textId="48914F78" w:rsidR="0033768A" w:rsidRDefault="0033768A">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_Toc505535277 \h </w:instrText>
      </w:r>
      <w:r>
        <w:rPr>
          <w:noProof/>
        </w:rPr>
      </w:r>
      <w:r>
        <w:rPr>
          <w:noProof/>
        </w:rPr>
        <w:fldChar w:fldCharType="separate"/>
      </w:r>
      <w:r>
        <w:rPr>
          <w:noProof/>
        </w:rPr>
        <w:t>5</w:t>
      </w:r>
      <w:r>
        <w:rPr>
          <w:noProof/>
        </w:rPr>
        <w:fldChar w:fldCharType="end"/>
      </w:r>
    </w:p>
    <w:p w14:paraId="6242A72E" w14:textId="31D4C69E" w:rsidR="0033768A" w:rsidRDefault="0033768A">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_Toc505535278 \h </w:instrText>
      </w:r>
      <w:r>
        <w:rPr>
          <w:noProof/>
        </w:rPr>
      </w:r>
      <w:r>
        <w:rPr>
          <w:noProof/>
        </w:rPr>
        <w:fldChar w:fldCharType="separate"/>
      </w:r>
      <w:r>
        <w:rPr>
          <w:noProof/>
        </w:rPr>
        <w:t>9</w:t>
      </w:r>
      <w:r>
        <w:rPr>
          <w:noProof/>
        </w:rPr>
        <w:fldChar w:fldCharType="end"/>
      </w:r>
    </w:p>
    <w:p w14:paraId="321467C1" w14:textId="152013B0" w:rsidR="0033768A" w:rsidRDefault="0033768A">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_Toc505535279 \h </w:instrText>
      </w:r>
      <w:r>
        <w:rPr>
          <w:noProof/>
        </w:rPr>
      </w:r>
      <w:r>
        <w:rPr>
          <w:noProof/>
        </w:rPr>
        <w:fldChar w:fldCharType="separate"/>
      </w:r>
      <w:r>
        <w:rPr>
          <w:noProof/>
        </w:rPr>
        <w:t>10</w:t>
      </w:r>
      <w:r>
        <w:rPr>
          <w:noProof/>
        </w:rPr>
        <w:fldChar w:fldCharType="end"/>
      </w:r>
    </w:p>
    <w:p w14:paraId="53DD1AFF" w14:textId="698013A9" w:rsidR="0033768A" w:rsidRDefault="0033768A">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_Toc505535280 \h </w:instrText>
      </w:r>
      <w:r>
        <w:rPr>
          <w:noProof/>
        </w:rPr>
      </w:r>
      <w:r>
        <w:rPr>
          <w:noProof/>
        </w:rPr>
        <w:fldChar w:fldCharType="separate"/>
      </w:r>
      <w:r>
        <w:rPr>
          <w:noProof/>
        </w:rPr>
        <w:t>13</w:t>
      </w:r>
      <w:r>
        <w:rPr>
          <w:noProof/>
        </w:rPr>
        <w:fldChar w:fldCharType="end"/>
      </w:r>
    </w:p>
    <w:p w14:paraId="64619834" w14:textId="6F01ACD6" w:rsidR="0033768A" w:rsidRDefault="0033768A">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_Toc505535281 \h </w:instrText>
      </w:r>
      <w:r>
        <w:rPr>
          <w:noProof/>
        </w:rPr>
      </w:r>
      <w:r>
        <w:rPr>
          <w:noProof/>
        </w:rPr>
        <w:fldChar w:fldCharType="separate"/>
      </w:r>
      <w:r>
        <w:rPr>
          <w:noProof/>
        </w:rPr>
        <w:t>13</w:t>
      </w:r>
      <w:r>
        <w:rPr>
          <w:noProof/>
        </w:rPr>
        <w:fldChar w:fldCharType="end"/>
      </w:r>
    </w:p>
    <w:p w14:paraId="0F18EE7E" w14:textId="61905839" w:rsidR="0033768A" w:rsidRDefault="0033768A">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_Toc505535282 \h </w:instrText>
      </w:r>
      <w:r>
        <w:rPr>
          <w:noProof/>
        </w:rPr>
      </w:r>
      <w:r>
        <w:rPr>
          <w:noProof/>
        </w:rPr>
        <w:fldChar w:fldCharType="separate"/>
      </w:r>
      <w:r>
        <w:rPr>
          <w:noProof/>
        </w:rPr>
        <w:t>13</w:t>
      </w:r>
      <w:r>
        <w:rPr>
          <w:noProof/>
        </w:rPr>
        <w:fldChar w:fldCharType="end"/>
      </w:r>
    </w:p>
    <w:p w14:paraId="4A8204F4" w14:textId="3E09F6D5" w:rsidR="0033768A" w:rsidRDefault="0033768A">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_Toc505535283 \h </w:instrText>
      </w:r>
      <w:r>
        <w:rPr>
          <w:noProof/>
        </w:rPr>
      </w:r>
      <w:r>
        <w:rPr>
          <w:noProof/>
        </w:rPr>
        <w:fldChar w:fldCharType="separate"/>
      </w:r>
      <w:r>
        <w:rPr>
          <w:noProof/>
        </w:rPr>
        <w:t>14</w:t>
      </w:r>
      <w:r>
        <w:rPr>
          <w:noProof/>
        </w:rPr>
        <w:fldChar w:fldCharType="end"/>
      </w:r>
    </w:p>
    <w:p w14:paraId="7904F2C8" w14:textId="485A04D8" w:rsidR="0033768A" w:rsidRDefault="0033768A">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_Toc505535284 \h </w:instrText>
      </w:r>
      <w:r>
        <w:rPr>
          <w:noProof/>
        </w:rPr>
      </w:r>
      <w:r>
        <w:rPr>
          <w:noProof/>
        </w:rPr>
        <w:fldChar w:fldCharType="separate"/>
      </w:r>
      <w:r>
        <w:rPr>
          <w:noProof/>
        </w:rPr>
        <w:t>14</w:t>
      </w:r>
      <w:r>
        <w:rPr>
          <w:noProof/>
        </w:rPr>
        <w:fldChar w:fldCharType="end"/>
      </w:r>
    </w:p>
    <w:p w14:paraId="4DE2E34F" w14:textId="391D69DD" w:rsidR="0033768A" w:rsidRDefault="0033768A">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_Toc505535285 \h </w:instrText>
      </w:r>
      <w:r>
        <w:rPr>
          <w:noProof/>
        </w:rPr>
      </w:r>
      <w:r>
        <w:rPr>
          <w:noProof/>
        </w:rPr>
        <w:fldChar w:fldCharType="separate"/>
      </w:r>
      <w:r>
        <w:rPr>
          <w:noProof/>
        </w:rPr>
        <w:t>14</w:t>
      </w:r>
      <w:r>
        <w:rPr>
          <w:noProof/>
        </w:rPr>
        <w:fldChar w:fldCharType="end"/>
      </w:r>
    </w:p>
    <w:p w14:paraId="143722E5" w14:textId="5EC5717C" w:rsidR="0033768A" w:rsidRDefault="0033768A">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_Toc505535286 \h </w:instrText>
      </w:r>
      <w:r>
        <w:rPr>
          <w:noProof/>
        </w:rPr>
      </w:r>
      <w:r>
        <w:rPr>
          <w:noProof/>
        </w:rPr>
        <w:fldChar w:fldCharType="separate"/>
      </w:r>
      <w:r>
        <w:rPr>
          <w:noProof/>
        </w:rPr>
        <w:t>15</w:t>
      </w:r>
      <w:r>
        <w:rPr>
          <w:noProof/>
        </w:rPr>
        <w:fldChar w:fldCharType="end"/>
      </w:r>
    </w:p>
    <w:p w14:paraId="224272D3" w14:textId="08756C91" w:rsidR="0033768A" w:rsidRDefault="0033768A">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_Toc505535287 \h </w:instrText>
      </w:r>
      <w:r>
        <w:rPr>
          <w:noProof/>
        </w:rPr>
      </w:r>
      <w:r>
        <w:rPr>
          <w:noProof/>
        </w:rPr>
        <w:fldChar w:fldCharType="separate"/>
      </w:r>
      <w:r>
        <w:rPr>
          <w:noProof/>
        </w:rPr>
        <w:t>15</w:t>
      </w:r>
      <w:r>
        <w:rPr>
          <w:noProof/>
        </w:rPr>
        <w:fldChar w:fldCharType="end"/>
      </w:r>
    </w:p>
    <w:p w14:paraId="6A3BD501" w14:textId="0F671CB8" w:rsidR="0033768A" w:rsidRDefault="0033768A">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_Toc505535288 \h </w:instrText>
      </w:r>
      <w:r>
        <w:rPr>
          <w:noProof/>
        </w:rPr>
      </w:r>
      <w:r>
        <w:rPr>
          <w:noProof/>
        </w:rPr>
        <w:fldChar w:fldCharType="separate"/>
      </w:r>
      <w:r>
        <w:rPr>
          <w:noProof/>
        </w:rPr>
        <w:t>16</w:t>
      </w:r>
      <w:r>
        <w:rPr>
          <w:noProof/>
        </w:rPr>
        <w:fldChar w:fldCharType="end"/>
      </w:r>
    </w:p>
    <w:p w14:paraId="146764BA" w14:textId="3F540331" w:rsidR="0033768A" w:rsidRDefault="0033768A">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_Toc505535289 \h </w:instrText>
      </w:r>
      <w:r>
        <w:rPr>
          <w:noProof/>
        </w:rPr>
      </w:r>
      <w:r>
        <w:rPr>
          <w:noProof/>
        </w:rPr>
        <w:fldChar w:fldCharType="separate"/>
      </w:r>
      <w:r>
        <w:rPr>
          <w:noProof/>
        </w:rPr>
        <w:t>16</w:t>
      </w:r>
      <w:r>
        <w:rPr>
          <w:noProof/>
        </w:rPr>
        <w:fldChar w:fldCharType="end"/>
      </w:r>
    </w:p>
    <w:p w14:paraId="5D8FF37C" w14:textId="55FB4182" w:rsidR="0033768A" w:rsidRDefault="0033768A">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_Toc505535290 \h </w:instrText>
      </w:r>
      <w:r>
        <w:rPr>
          <w:noProof/>
        </w:rPr>
      </w:r>
      <w:r>
        <w:rPr>
          <w:noProof/>
        </w:rPr>
        <w:fldChar w:fldCharType="separate"/>
      </w:r>
      <w:r>
        <w:rPr>
          <w:noProof/>
        </w:rPr>
        <w:t>16</w:t>
      </w:r>
      <w:r>
        <w:rPr>
          <w:noProof/>
        </w:rPr>
        <w:fldChar w:fldCharType="end"/>
      </w:r>
    </w:p>
    <w:p w14:paraId="767CB38F" w14:textId="2A0B3032" w:rsidR="0033768A" w:rsidRDefault="0033768A">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_Toc505535291 \h </w:instrText>
      </w:r>
      <w:r>
        <w:rPr>
          <w:noProof/>
        </w:rPr>
      </w:r>
      <w:r>
        <w:rPr>
          <w:noProof/>
        </w:rPr>
        <w:fldChar w:fldCharType="separate"/>
      </w:r>
      <w:r>
        <w:rPr>
          <w:noProof/>
        </w:rPr>
        <w:t>17</w:t>
      </w:r>
      <w:r>
        <w:rPr>
          <w:noProof/>
        </w:rPr>
        <w:fldChar w:fldCharType="end"/>
      </w:r>
    </w:p>
    <w:p w14:paraId="29017B26" w14:textId="2D0A9071" w:rsidR="0033768A" w:rsidRDefault="0033768A">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_Toc505535292 \h </w:instrText>
      </w:r>
      <w:r>
        <w:rPr>
          <w:noProof/>
        </w:rPr>
      </w:r>
      <w:r>
        <w:rPr>
          <w:noProof/>
        </w:rPr>
        <w:fldChar w:fldCharType="separate"/>
      </w:r>
      <w:r>
        <w:rPr>
          <w:noProof/>
        </w:rPr>
        <w:t>18</w:t>
      </w:r>
      <w:r>
        <w:rPr>
          <w:noProof/>
        </w:rPr>
        <w:fldChar w:fldCharType="end"/>
      </w:r>
    </w:p>
    <w:p w14:paraId="38DE2092" w14:textId="7D07A3D0" w:rsidR="0033768A" w:rsidRDefault="0033768A">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_Toc505535293 \h </w:instrText>
      </w:r>
      <w:r>
        <w:rPr>
          <w:noProof/>
        </w:rPr>
      </w:r>
      <w:r>
        <w:rPr>
          <w:noProof/>
        </w:rPr>
        <w:fldChar w:fldCharType="separate"/>
      </w:r>
      <w:r>
        <w:rPr>
          <w:noProof/>
        </w:rPr>
        <w:t>19</w:t>
      </w:r>
      <w:r>
        <w:rPr>
          <w:noProof/>
        </w:rPr>
        <w:fldChar w:fldCharType="end"/>
      </w:r>
    </w:p>
    <w:p w14:paraId="3C944A9F" w14:textId="6B1B6929" w:rsidR="0033768A" w:rsidRDefault="0033768A">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_Toc505535294 \h </w:instrText>
      </w:r>
      <w:r>
        <w:rPr>
          <w:noProof/>
        </w:rPr>
      </w:r>
      <w:r>
        <w:rPr>
          <w:noProof/>
        </w:rPr>
        <w:fldChar w:fldCharType="separate"/>
      </w:r>
      <w:r>
        <w:rPr>
          <w:noProof/>
        </w:rPr>
        <w:t>20</w:t>
      </w:r>
      <w:r>
        <w:rPr>
          <w:noProof/>
        </w:rPr>
        <w:fldChar w:fldCharType="end"/>
      </w:r>
    </w:p>
    <w:p w14:paraId="1FFF777A" w14:textId="0946A900" w:rsidR="0033768A" w:rsidRDefault="0033768A">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_Toc505535295 \h </w:instrText>
      </w:r>
      <w:r>
        <w:rPr>
          <w:noProof/>
        </w:rPr>
      </w:r>
      <w:r>
        <w:rPr>
          <w:noProof/>
        </w:rPr>
        <w:fldChar w:fldCharType="separate"/>
      </w:r>
      <w:r>
        <w:rPr>
          <w:noProof/>
        </w:rPr>
        <w:t>20</w:t>
      </w:r>
      <w:r>
        <w:rPr>
          <w:noProof/>
        </w:rPr>
        <w:fldChar w:fldCharType="end"/>
      </w:r>
    </w:p>
    <w:p w14:paraId="26974243" w14:textId="555595AE" w:rsidR="0033768A" w:rsidRDefault="0033768A">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_Toc505535296 \h </w:instrText>
      </w:r>
      <w:r>
        <w:rPr>
          <w:noProof/>
        </w:rPr>
      </w:r>
      <w:r>
        <w:rPr>
          <w:noProof/>
        </w:rPr>
        <w:fldChar w:fldCharType="separate"/>
      </w:r>
      <w:r>
        <w:rPr>
          <w:noProof/>
        </w:rPr>
        <w:t>21</w:t>
      </w:r>
      <w:r>
        <w:rPr>
          <w:noProof/>
        </w:rPr>
        <w:fldChar w:fldCharType="end"/>
      </w:r>
    </w:p>
    <w:p w14:paraId="13D5CDFF" w14:textId="61534B14" w:rsidR="0033768A" w:rsidRDefault="0033768A">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_Toc505535297 \h </w:instrText>
      </w:r>
      <w:r>
        <w:rPr>
          <w:noProof/>
        </w:rPr>
      </w:r>
      <w:r>
        <w:rPr>
          <w:noProof/>
        </w:rPr>
        <w:fldChar w:fldCharType="separate"/>
      </w:r>
      <w:r>
        <w:rPr>
          <w:noProof/>
        </w:rPr>
        <w:t>22</w:t>
      </w:r>
      <w:r>
        <w:rPr>
          <w:noProof/>
        </w:rPr>
        <w:fldChar w:fldCharType="end"/>
      </w:r>
    </w:p>
    <w:p w14:paraId="0C4C7852" w14:textId="578884F4" w:rsidR="0033768A" w:rsidRDefault="0033768A">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_Toc505535298 \h </w:instrText>
      </w:r>
      <w:r>
        <w:rPr>
          <w:noProof/>
        </w:rPr>
      </w:r>
      <w:r>
        <w:rPr>
          <w:noProof/>
        </w:rPr>
        <w:fldChar w:fldCharType="separate"/>
      </w:r>
      <w:r>
        <w:rPr>
          <w:noProof/>
        </w:rPr>
        <w:t>23</w:t>
      </w:r>
      <w:r>
        <w:rPr>
          <w:noProof/>
        </w:rPr>
        <w:fldChar w:fldCharType="end"/>
      </w:r>
    </w:p>
    <w:p w14:paraId="6CB09C9B" w14:textId="286430CA" w:rsidR="0033768A" w:rsidRDefault="0033768A">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_Toc505535299 \h </w:instrText>
      </w:r>
      <w:r>
        <w:rPr>
          <w:noProof/>
        </w:rPr>
      </w:r>
      <w:r>
        <w:rPr>
          <w:noProof/>
        </w:rPr>
        <w:fldChar w:fldCharType="separate"/>
      </w:r>
      <w:r>
        <w:rPr>
          <w:noProof/>
        </w:rPr>
        <w:t>25</w:t>
      </w:r>
      <w:r>
        <w:rPr>
          <w:noProof/>
        </w:rPr>
        <w:fldChar w:fldCharType="end"/>
      </w:r>
    </w:p>
    <w:p w14:paraId="4E74D6B3" w14:textId="078CE036" w:rsidR="0033768A" w:rsidRDefault="0033768A">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_Toc505535300 \h </w:instrText>
      </w:r>
      <w:r>
        <w:rPr>
          <w:noProof/>
        </w:rPr>
      </w:r>
      <w:r>
        <w:rPr>
          <w:noProof/>
        </w:rPr>
        <w:fldChar w:fldCharType="separate"/>
      </w:r>
      <w:r>
        <w:rPr>
          <w:noProof/>
        </w:rPr>
        <w:t>25</w:t>
      </w:r>
      <w:r>
        <w:rPr>
          <w:noProof/>
        </w:rPr>
        <w:fldChar w:fldCharType="end"/>
      </w:r>
    </w:p>
    <w:p w14:paraId="735D7C8C" w14:textId="2F9112A2" w:rsidR="0033768A" w:rsidRDefault="0033768A">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_Toc505535301 \h </w:instrText>
      </w:r>
      <w:r>
        <w:rPr>
          <w:noProof/>
        </w:rPr>
      </w:r>
      <w:r>
        <w:rPr>
          <w:noProof/>
        </w:rPr>
        <w:fldChar w:fldCharType="separate"/>
      </w:r>
      <w:r>
        <w:rPr>
          <w:noProof/>
        </w:rPr>
        <w:t>27</w:t>
      </w:r>
      <w:r>
        <w:rPr>
          <w:noProof/>
        </w:rPr>
        <w:fldChar w:fldCharType="end"/>
      </w:r>
    </w:p>
    <w:p w14:paraId="647FF9CC" w14:textId="6327898C" w:rsidR="0033768A" w:rsidRDefault="0033768A">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_Toc505535302 \h </w:instrText>
      </w:r>
      <w:r>
        <w:rPr>
          <w:noProof/>
        </w:rPr>
      </w:r>
      <w:r>
        <w:rPr>
          <w:noProof/>
        </w:rPr>
        <w:fldChar w:fldCharType="separate"/>
      </w:r>
      <w:r>
        <w:rPr>
          <w:noProof/>
        </w:rPr>
        <w:t>28</w:t>
      </w:r>
      <w:r>
        <w:rPr>
          <w:noProof/>
        </w:rPr>
        <w:fldChar w:fldCharType="end"/>
      </w:r>
    </w:p>
    <w:p w14:paraId="1C9EF987" w14:textId="723400E9" w:rsidR="0033768A" w:rsidRDefault="0033768A">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_Toc505535303 \h </w:instrText>
      </w:r>
      <w:r>
        <w:rPr>
          <w:noProof/>
        </w:rPr>
      </w:r>
      <w:r>
        <w:rPr>
          <w:noProof/>
        </w:rPr>
        <w:fldChar w:fldCharType="separate"/>
      </w:r>
      <w:r>
        <w:rPr>
          <w:noProof/>
        </w:rPr>
        <w:t>29</w:t>
      </w:r>
      <w:r>
        <w:rPr>
          <w:noProof/>
        </w:rPr>
        <w:fldChar w:fldCharType="end"/>
      </w:r>
    </w:p>
    <w:p w14:paraId="19D77188" w14:textId="29D29E24" w:rsidR="0033768A" w:rsidRDefault="0033768A">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_Toc505535304 \h </w:instrText>
      </w:r>
      <w:r>
        <w:rPr>
          <w:noProof/>
        </w:rPr>
      </w:r>
      <w:r>
        <w:rPr>
          <w:noProof/>
        </w:rPr>
        <w:fldChar w:fldCharType="separate"/>
      </w:r>
      <w:r>
        <w:rPr>
          <w:noProof/>
        </w:rPr>
        <w:t>34</w:t>
      </w:r>
      <w:r>
        <w:rPr>
          <w:noProof/>
        </w:rPr>
        <w:fldChar w:fldCharType="end"/>
      </w:r>
    </w:p>
    <w:p w14:paraId="792B3ECD" w14:textId="6E068AC7" w:rsidR="0033768A" w:rsidRDefault="0033768A">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_Toc505535305 \h </w:instrText>
      </w:r>
      <w:r>
        <w:rPr>
          <w:noProof/>
        </w:rPr>
      </w:r>
      <w:r>
        <w:rPr>
          <w:noProof/>
        </w:rPr>
        <w:fldChar w:fldCharType="separate"/>
      </w:r>
      <w:r>
        <w:rPr>
          <w:noProof/>
        </w:rPr>
        <w:t>37</w:t>
      </w:r>
      <w:r>
        <w:rPr>
          <w:noProof/>
        </w:rPr>
        <w:fldChar w:fldCharType="end"/>
      </w:r>
    </w:p>
    <w:p w14:paraId="0B153ADB" w14:textId="6F194E50" w:rsidR="0033768A" w:rsidRDefault="0033768A">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_Toc505535306 \h </w:instrText>
      </w:r>
      <w:r>
        <w:rPr>
          <w:noProof/>
        </w:rPr>
      </w:r>
      <w:r>
        <w:rPr>
          <w:noProof/>
        </w:rPr>
        <w:fldChar w:fldCharType="separate"/>
      </w:r>
      <w:r>
        <w:rPr>
          <w:noProof/>
        </w:rPr>
        <w:t>41</w:t>
      </w:r>
      <w:r>
        <w:rPr>
          <w:noProof/>
        </w:rPr>
        <w:fldChar w:fldCharType="end"/>
      </w:r>
    </w:p>
    <w:p w14:paraId="487FAB1D" w14:textId="0DC75F76" w:rsidR="0033768A" w:rsidRDefault="0033768A">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_Toc505535307 \h </w:instrText>
      </w:r>
      <w:r>
        <w:rPr>
          <w:noProof/>
        </w:rPr>
      </w:r>
      <w:r>
        <w:rPr>
          <w:noProof/>
        </w:rPr>
        <w:fldChar w:fldCharType="separate"/>
      </w:r>
      <w:r>
        <w:rPr>
          <w:noProof/>
        </w:rPr>
        <w:t>42</w:t>
      </w:r>
      <w:r>
        <w:rPr>
          <w:noProof/>
        </w:rPr>
        <w:fldChar w:fldCharType="end"/>
      </w:r>
    </w:p>
    <w:p w14:paraId="64D46348" w14:textId="6B9A3C3E" w:rsidR="0033768A" w:rsidRDefault="0033768A">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_Toc505535308 \h </w:instrText>
      </w:r>
      <w:r>
        <w:rPr>
          <w:noProof/>
        </w:rPr>
      </w:r>
      <w:r>
        <w:rPr>
          <w:noProof/>
        </w:rPr>
        <w:fldChar w:fldCharType="separate"/>
      </w:r>
      <w:r>
        <w:rPr>
          <w:noProof/>
        </w:rPr>
        <w:t>43</w:t>
      </w:r>
      <w:r>
        <w:rPr>
          <w:noProof/>
        </w:rPr>
        <w:fldChar w:fldCharType="end"/>
      </w:r>
    </w:p>
    <w:p w14:paraId="42F1A2A3" w14:textId="7A165BFE" w:rsidR="0033768A" w:rsidRDefault="0033768A">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_Toc505535309 \h </w:instrText>
      </w:r>
      <w:r>
        <w:rPr>
          <w:noProof/>
        </w:rPr>
      </w:r>
      <w:r>
        <w:rPr>
          <w:noProof/>
        </w:rPr>
        <w:fldChar w:fldCharType="separate"/>
      </w:r>
      <w:r>
        <w:rPr>
          <w:noProof/>
        </w:rPr>
        <w:t>48</w:t>
      </w:r>
      <w:r>
        <w:rPr>
          <w:noProof/>
        </w:rPr>
        <w:fldChar w:fldCharType="end"/>
      </w:r>
    </w:p>
    <w:p w14:paraId="4AF92D1E" w14:textId="6B68FB51" w:rsidR="0033768A" w:rsidRDefault="0033768A">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_Toc505535310 \h </w:instrText>
      </w:r>
      <w:r>
        <w:rPr>
          <w:noProof/>
        </w:rPr>
      </w:r>
      <w:r>
        <w:rPr>
          <w:noProof/>
        </w:rPr>
        <w:fldChar w:fldCharType="separate"/>
      </w:r>
      <w:r>
        <w:rPr>
          <w:noProof/>
        </w:rPr>
        <w:t>49</w:t>
      </w:r>
      <w:r>
        <w:rPr>
          <w:noProof/>
        </w:rPr>
        <w:fldChar w:fldCharType="end"/>
      </w:r>
    </w:p>
    <w:p w14:paraId="5444B2EF" w14:textId="60586206" w:rsidR="0033768A" w:rsidRDefault="0033768A">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_Toc505535311 \h </w:instrText>
      </w:r>
      <w:r>
        <w:rPr>
          <w:noProof/>
        </w:rPr>
      </w:r>
      <w:r>
        <w:rPr>
          <w:noProof/>
        </w:rPr>
        <w:fldChar w:fldCharType="separate"/>
      </w:r>
      <w:r>
        <w:rPr>
          <w:noProof/>
        </w:rPr>
        <w:t>49</w:t>
      </w:r>
      <w:r>
        <w:rPr>
          <w:noProof/>
        </w:rPr>
        <w:fldChar w:fldCharType="end"/>
      </w:r>
    </w:p>
    <w:p w14:paraId="6A916F43" w14:textId="5C48B629" w:rsidR="0033768A" w:rsidRDefault="0033768A">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_Toc505535312 \h </w:instrText>
      </w:r>
      <w:r>
        <w:rPr>
          <w:noProof/>
        </w:rPr>
      </w:r>
      <w:r>
        <w:rPr>
          <w:noProof/>
        </w:rPr>
        <w:fldChar w:fldCharType="separate"/>
      </w:r>
      <w:r>
        <w:rPr>
          <w:noProof/>
        </w:rPr>
        <w:t>50</w:t>
      </w:r>
      <w:r>
        <w:rPr>
          <w:noProof/>
        </w:rPr>
        <w:fldChar w:fldCharType="end"/>
      </w:r>
    </w:p>
    <w:p w14:paraId="68664184" w14:textId="558F1774" w:rsidR="0033768A" w:rsidRDefault="0033768A">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_Toc505535313 \h </w:instrText>
      </w:r>
      <w:r>
        <w:rPr>
          <w:noProof/>
        </w:rPr>
      </w:r>
      <w:r>
        <w:rPr>
          <w:noProof/>
        </w:rPr>
        <w:fldChar w:fldCharType="separate"/>
      </w:r>
      <w:r>
        <w:rPr>
          <w:noProof/>
        </w:rPr>
        <w:t>52</w:t>
      </w:r>
      <w:r>
        <w:rPr>
          <w:noProof/>
        </w:rPr>
        <w:fldChar w:fldCharType="end"/>
      </w:r>
    </w:p>
    <w:p w14:paraId="35EC5F89" w14:textId="4B6B6824" w:rsidR="0033768A" w:rsidRDefault="0033768A">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_Toc505535314 \h </w:instrText>
      </w:r>
      <w:r>
        <w:rPr>
          <w:noProof/>
        </w:rPr>
      </w:r>
      <w:r>
        <w:rPr>
          <w:noProof/>
        </w:rPr>
        <w:fldChar w:fldCharType="separate"/>
      </w:r>
      <w:r>
        <w:rPr>
          <w:noProof/>
        </w:rPr>
        <w:t>52</w:t>
      </w:r>
      <w:r>
        <w:rPr>
          <w:noProof/>
        </w:rPr>
        <w:fldChar w:fldCharType="end"/>
      </w:r>
    </w:p>
    <w:p w14:paraId="4819EAE7" w14:textId="3287B49A" w:rsidR="0033768A" w:rsidRDefault="0033768A">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_Toc505535315 \h </w:instrText>
      </w:r>
      <w:r>
        <w:rPr>
          <w:noProof/>
        </w:rPr>
      </w:r>
      <w:r>
        <w:rPr>
          <w:noProof/>
        </w:rPr>
        <w:fldChar w:fldCharType="separate"/>
      </w:r>
      <w:r>
        <w:rPr>
          <w:noProof/>
        </w:rPr>
        <w:t>53</w:t>
      </w:r>
      <w:r>
        <w:rPr>
          <w:noProof/>
        </w:rPr>
        <w:fldChar w:fldCharType="end"/>
      </w:r>
    </w:p>
    <w:p w14:paraId="25557B7B" w14:textId="283DF6BA" w:rsidR="0033768A" w:rsidRDefault="0033768A">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_Toc505535316 \h </w:instrText>
      </w:r>
      <w:r>
        <w:rPr>
          <w:noProof/>
        </w:rPr>
      </w:r>
      <w:r>
        <w:rPr>
          <w:noProof/>
        </w:rPr>
        <w:fldChar w:fldCharType="separate"/>
      </w:r>
      <w:r>
        <w:rPr>
          <w:noProof/>
        </w:rPr>
        <w:t>54</w:t>
      </w:r>
      <w:r>
        <w:rPr>
          <w:noProof/>
        </w:rPr>
        <w:fldChar w:fldCharType="end"/>
      </w:r>
    </w:p>
    <w:p w14:paraId="5B6EF62C" w14:textId="6052B4A6" w:rsidR="0033768A" w:rsidRDefault="0033768A">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_Toc505535317 \h </w:instrText>
      </w:r>
      <w:r>
        <w:rPr>
          <w:noProof/>
        </w:rPr>
      </w:r>
      <w:r>
        <w:rPr>
          <w:noProof/>
        </w:rPr>
        <w:fldChar w:fldCharType="separate"/>
      </w:r>
      <w:r>
        <w:rPr>
          <w:noProof/>
        </w:rPr>
        <w:t>54</w:t>
      </w:r>
      <w:r>
        <w:rPr>
          <w:noProof/>
        </w:rPr>
        <w:fldChar w:fldCharType="end"/>
      </w:r>
    </w:p>
    <w:p w14:paraId="4AE6E3AE" w14:textId="718E6979" w:rsidR="0033768A" w:rsidRDefault="0033768A">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_Toc505535318 \h </w:instrText>
      </w:r>
      <w:r>
        <w:rPr>
          <w:noProof/>
        </w:rPr>
      </w:r>
      <w:r>
        <w:rPr>
          <w:noProof/>
        </w:rPr>
        <w:fldChar w:fldCharType="separate"/>
      </w:r>
      <w:r>
        <w:rPr>
          <w:noProof/>
        </w:rPr>
        <w:t>54</w:t>
      </w:r>
      <w:r>
        <w:rPr>
          <w:noProof/>
        </w:rPr>
        <w:fldChar w:fldCharType="end"/>
      </w:r>
    </w:p>
    <w:p w14:paraId="16B9610E" w14:textId="059B0EB3" w:rsidR="0033768A" w:rsidRDefault="0033768A">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_Toc505535319 \h </w:instrText>
      </w:r>
      <w:r>
        <w:rPr>
          <w:noProof/>
        </w:rPr>
      </w:r>
      <w:r>
        <w:rPr>
          <w:noProof/>
        </w:rPr>
        <w:fldChar w:fldCharType="separate"/>
      </w:r>
      <w:r>
        <w:rPr>
          <w:noProof/>
        </w:rPr>
        <w:t>55</w:t>
      </w:r>
      <w:r>
        <w:rPr>
          <w:noProof/>
        </w:rPr>
        <w:fldChar w:fldCharType="end"/>
      </w:r>
    </w:p>
    <w:p w14:paraId="60CD1D91" w14:textId="25828267" w:rsidR="0033768A" w:rsidRDefault="0033768A">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_Toc505535320 \h </w:instrText>
      </w:r>
      <w:r>
        <w:rPr>
          <w:noProof/>
        </w:rPr>
      </w:r>
      <w:r>
        <w:rPr>
          <w:noProof/>
        </w:rPr>
        <w:fldChar w:fldCharType="separate"/>
      </w:r>
      <w:r>
        <w:rPr>
          <w:noProof/>
        </w:rPr>
        <w:t>57</w:t>
      </w:r>
      <w:r>
        <w:rPr>
          <w:noProof/>
        </w:rPr>
        <w:fldChar w:fldCharType="end"/>
      </w:r>
    </w:p>
    <w:p w14:paraId="37F42875" w14:textId="2FD9DCCD" w:rsidR="0033768A" w:rsidRDefault="0033768A">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_Toc505535321 \h </w:instrText>
      </w:r>
      <w:r>
        <w:rPr>
          <w:noProof/>
        </w:rPr>
      </w:r>
      <w:r>
        <w:rPr>
          <w:noProof/>
        </w:rPr>
        <w:fldChar w:fldCharType="separate"/>
      </w:r>
      <w:r>
        <w:rPr>
          <w:noProof/>
        </w:rPr>
        <w:t>60</w:t>
      </w:r>
      <w:r>
        <w:rPr>
          <w:noProof/>
        </w:rPr>
        <w:fldChar w:fldCharType="end"/>
      </w:r>
    </w:p>
    <w:p w14:paraId="2CC0CFBF" w14:textId="6B85A226" w:rsidR="0033768A" w:rsidRDefault="0033768A">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_Toc505535322 \h </w:instrText>
      </w:r>
      <w:r>
        <w:rPr>
          <w:noProof/>
        </w:rPr>
      </w:r>
      <w:r>
        <w:rPr>
          <w:noProof/>
        </w:rPr>
        <w:fldChar w:fldCharType="separate"/>
      </w:r>
      <w:r>
        <w:rPr>
          <w:noProof/>
        </w:rPr>
        <w:t>60</w:t>
      </w:r>
      <w:r>
        <w:rPr>
          <w:noProof/>
        </w:rPr>
        <w:fldChar w:fldCharType="end"/>
      </w:r>
    </w:p>
    <w:p w14:paraId="7BEE918C" w14:textId="724B237E" w:rsidR="0033768A" w:rsidRDefault="0033768A">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_Toc505535323 \h </w:instrText>
      </w:r>
      <w:r>
        <w:rPr>
          <w:noProof/>
        </w:rPr>
      </w:r>
      <w:r>
        <w:rPr>
          <w:noProof/>
        </w:rPr>
        <w:fldChar w:fldCharType="separate"/>
      </w:r>
      <w:r>
        <w:rPr>
          <w:noProof/>
        </w:rPr>
        <w:t>60</w:t>
      </w:r>
      <w:r>
        <w:rPr>
          <w:noProof/>
        </w:rPr>
        <w:fldChar w:fldCharType="end"/>
      </w:r>
    </w:p>
    <w:p w14:paraId="0A52ACC9" w14:textId="169B4816" w:rsidR="0033768A" w:rsidRDefault="0033768A">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_Toc505535324 \h </w:instrText>
      </w:r>
      <w:r>
        <w:rPr>
          <w:noProof/>
        </w:rPr>
      </w:r>
      <w:r>
        <w:rPr>
          <w:noProof/>
        </w:rPr>
        <w:fldChar w:fldCharType="separate"/>
      </w:r>
      <w:r>
        <w:rPr>
          <w:noProof/>
        </w:rPr>
        <w:t>60</w:t>
      </w:r>
      <w:r>
        <w:rPr>
          <w:noProof/>
        </w:rPr>
        <w:fldChar w:fldCharType="end"/>
      </w:r>
    </w:p>
    <w:p w14:paraId="20BB577D" w14:textId="3EF6BAF4" w:rsidR="0033768A" w:rsidRDefault="0033768A">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4E1957">
        <w:rPr>
          <w:i/>
          <w:noProof/>
        </w:rPr>
        <w:t>k</w:t>
      </w:r>
      <w:r>
        <w:rPr>
          <w:noProof/>
        </w:rPr>
        <w:t>(</w:t>
      </w:r>
      <w:r w:rsidRPr="004E1957">
        <w:rPr>
          <w:i/>
          <w:noProof/>
        </w:rPr>
        <w:t>E</w:t>
      </w:r>
      <w:r>
        <w:rPr>
          <w:noProof/>
        </w:rPr>
        <w:t>)s &amp; Tunnelling Corrections</w:t>
      </w:r>
      <w:r>
        <w:rPr>
          <w:noProof/>
        </w:rPr>
        <w:tab/>
      </w:r>
      <w:r>
        <w:rPr>
          <w:noProof/>
        </w:rPr>
        <w:fldChar w:fldCharType="begin"/>
      </w:r>
      <w:r>
        <w:rPr>
          <w:noProof/>
        </w:rPr>
        <w:instrText xml:space="preserve"> PAGEREF _Toc505535325 \h </w:instrText>
      </w:r>
      <w:r>
        <w:rPr>
          <w:noProof/>
        </w:rPr>
      </w:r>
      <w:r>
        <w:rPr>
          <w:noProof/>
        </w:rPr>
        <w:fldChar w:fldCharType="separate"/>
      </w:r>
      <w:r>
        <w:rPr>
          <w:noProof/>
        </w:rPr>
        <w:t>60</w:t>
      </w:r>
      <w:r>
        <w:rPr>
          <w:noProof/>
        </w:rPr>
        <w:fldChar w:fldCharType="end"/>
      </w:r>
    </w:p>
    <w:p w14:paraId="4E18204A" w14:textId="3C0DAB05" w:rsidR="0033768A" w:rsidRDefault="0033768A">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_Toc505535326 \h </w:instrText>
      </w:r>
      <w:r>
        <w:rPr>
          <w:noProof/>
        </w:rPr>
      </w:r>
      <w:r>
        <w:rPr>
          <w:noProof/>
        </w:rPr>
        <w:fldChar w:fldCharType="separate"/>
      </w:r>
      <w:r>
        <w:rPr>
          <w:noProof/>
        </w:rPr>
        <w:t>61</w:t>
      </w:r>
      <w:r>
        <w:rPr>
          <w:noProof/>
        </w:rPr>
        <w:fldChar w:fldCharType="end"/>
      </w:r>
    </w:p>
    <w:p w14:paraId="0E9B9479" w14:textId="1C6B409E" w:rsidR="0033768A" w:rsidRDefault="0033768A">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_Toc505535327 \h </w:instrText>
      </w:r>
      <w:r>
        <w:rPr>
          <w:noProof/>
        </w:rPr>
      </w:r>
      <w:r>
        <w:rPr>
          <w:noProof/>
        </w:rPr>
        <w:fldChar w:fldCharType="separate"/>
      </w:r>
      <w:r>
        <w:rPr>
          <w:noProof/>
        </w:rPr>
        <w:t>62</w:t>
      </w:r>
      <w:r>
        <w:rPr>
          <w:noProof/>
        </w:rPr>
        <w:fldChar w:fldCharType="end"/>
      </w:r>
    </w:p>
    <w:p w14:paraId="019B946B" w14:textId="090E965C" w:rsidR="0033768A" w:rsidRDefault="0033768A">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_Toc505535328 \h </w:instrText>
      </w:r>
      <w:r>
        <w:rPr>
          <w:noProof/>
        </w:rPr>
      </w:r>
      <w:r>
        <w:rPr>
          <w:noProof/>
        </w:rPr>
        <w:fldChar w:fldCharType="separate"/>
      </w:r>
      <w:r>
        <w:rPr>
          <w:noProof/>
        </w:rPr>
        <w:t>63</w:t>
      </w:r>
      <w:r>
        <w:rPr>
          <w:noProof/>
        </w:rPr>
        <w:fldChar w:fldCharType="end"/>
      </w:r>
    </w:p>
    <w:p w14:paraId="489971A9" w14:textId="42B8C478" w:rsidR="0033768A" w:rsidRDefault="0033768A">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_Toc505535329 \h </w:instrText>
      </w:r>
      <w:r>
        <w:rPr>
          <w:noProof/>
        </w:rPr>
      </w:r>
      <w:r>
        <w:rPr>
          <w:noProof/>
        </w:rPr>
        <w:fldChar w:fldCharType="separate"/>
      </w:r>
      <w:r>
        <w:rPr>
          <w:noProof/>
        </w:rPr>
        <w:t>64</w:t>
      </w:r>
      <w:r>
        <w:rPr>
          <w:noProof/>
        </w:rPr>
        <w:fldChar w:fldCharType="end"/>
      </w:r>
    </w:p>
    <w:p w14:paraId="41AA415A" w14:textId="29ED51F9" w:rsidR="0033768A" w:rsidRDefault="0033768A">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_Toc505535330 \h </w:instrText>
      </w:r>
      <w:r>
        <w:rPr>
          <w:noProof/>
        </w:rPr>
      </w:r>
      <w:r>
        <w:rPr>
          <w:noProof/>
        </w:rPr>
        <w:fldChar w:fldCharType="separate"/>
      </w:r>
      <w:r>
        <w:rPr>
          <w:noProof/>
        </w:rPr>
        <w:t>65</w:t>
      </w:r>
      <w:r>
        <w:rPr>
          <w:noProof/>
        </w:rPr>
        <w:fldChar w:fldCharType="end"/>
      </w:r>
    </w:p>
    <w:p w14:paraId="3B9A00A6" w14:textId="65E6F841" w:rsidR="0033768A" w:rsidRDefault="0033768A">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_Toc505535331 \h </w:instrText>
      </w:r>
      <w:r>
        <w:rPr>
          <w:noProof/>
        </w:rPr>
      </w:r>
      <w:r>
        <w:rPr>
          <w:noProof/>
        </w:rPr>
        <w:fldChar w:fldCharType="separate"/>
      </w:r>
      <w:r>
        <w:rPr>
          <w:noProof/>
        </w:rPr>
        <w:t>65</w:t>
      </w:r>
      <w:r>
        <w:rPr>
          <w:noProof/>
        </w:rPr>
        <w:fldChar w:fldCharType="end"/>
      </w:r>
    </w:p>
    <w:p w14:paraId="1E17A9D0" w14:textId="70812F65" w:rsidR="0033768A" w:rsidRDefault="0033768A">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_Toc505535332 \h </w:instrText>
      </w:r>
      <w:r>
        <w:rPr>
          <w:noProof/>
        </w:rPr>
      </w:r>
      <w:r>
        <w:rPr>
          <w:noProof/>
        </w:rPr>
        <w:fldChar w:fldCharType="separate"/>
      </w:r>
      <w:r>
        <w:rPr>
          <w:noProof/>
        </w:rPr>
        <w:t>68</w:t>
      </w:r>
      <w:r>
        <w:rPr>
          <w:noProof/>
        </w:rPr>
        <w:fldChar w:fldCharType="end"/>
      </w:r>
    </w:p>
    <w:p w14:paraId="0CDA4B4F" w14:textId="270F6FD2" w:rsidR="0033768A" w:rsidRDefault="0033768A">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_Toc505535333 \h </w:instrText>
      </w:r>
      <w:r>
        <w:rPr>
          <w:noProof/>
        </w:rPr>
      </w:r>
      <w:r>
        <w:rPr>
          <w:noProof/>
        </w:rPr>
        <w:fldChar w:fldCharType="separate"/>
      </w:r>
      <w:r>
        <w:rPr>
          <w:noProof/>
        </w:rPr>
        <w:t>68</w:t>
      </w:r>
      <w:r>
        <w:rPr>
          <w:noProof/>
        </w:rPr>
        <w:fldChar w:fldCharType="end"/>
      </w:r>
    </w:p>
    <w:p w14:paraId="2D87D8C3" w14:textId="42D7316E" w:rsidR="0033768A" w:rsidRDefault="0033768A">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_Toc505535334 \h </w:instrText>
      </w:r>
      <w:r>
        <w:rPr>
          <w:noProof/>
        </w:rPr>
      </w:r>
      <w:r>
        <w:rPr>
          <w:noProof/>
        </w:rPr>
        <w:fldChar w:fldCharType="separate"/>
      </w:r>
      <w:r>
        <w:rPr>
          <w:noProof/>
        </w:rPr>
        <w:t>69</w:t>
      </w:r>
      <w:r>
        <w:rPr>
          <w:noProof/>
        </w:rPr>
        <w:fldChar w:fldCharType="end"/>
      </w:r>
    </w:p>
    <w:p w14:paraId="4F937A1E" w14:textId="207200F6" w:rsidR="0033768A" w:rsidRDefault="0033768A">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_Toc505535335 \h </w:instrText>
      </w:r>
      <w:r>
        <w:rPr>
          <w:noProof/>
        </w:rPr>
      </w:r>
      <w:r>
        <w:rPr>
          <w:noProof/>
        </w:rPr>
        <w:fldChar w:fldCharType="separate"/>
      </w:r>
      <w:r>
        <w:rPr>
          <w:noProof/>
        </w:rPr>
        <w:t>69</w:t>
      </w:r>
      <w:r>
        <w:rPr>
          <w:noProof/>
        </w:rPr>
        <w:fldChar w:fldCharType="end"/>
      </w:r>
    </w:p>
    <w:p w14:paraId="67C0C376" w14:textId="11738A0F" w:rsidR="0033768A" w:rsidRDefault="0033768A">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_Toc505535336 \h </w:instrText>
      </w:r>
      <w:r>
        <w:rPr>
          <w:noProof/>
        </w:rPr>
      </w:r>
      <w:r>
        <w:rPr>
          <w:noProof/>
        </w:rPr>
        <w:fldChar w:fldCharType="separate"/>
      </w:r>
      <w:r>
        <w:rPr>
          <w:noProof/>
        </w:rPr>
        <w:t>70</w:t>
      </w:r>
      <w:r>
        <w:rPr>
          <w:noProof/>
        </w:rPr>
        <w:fldChar w:fldCharType="end"/>
      </w:r>
    </w:p>
    <w:p w14:paraId="69177BA7" w14:textId="5D001493" w:rsidR="0033768A" w:rsidRDefault="0033768A">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_Toc505535337 \h </w:instrText>
      </w:r>
      <w:r>
        <w:rPr>
          <w:noProof/>
        </w:rPr>
      </w:r>
      <w:r>
        <w:rPr>
          <w:noProof/>
        </w:rPr>
        <w:fldChar w:fldCharType="separate"/>
      </w:r>
      <w:r>
        <w:rPr>
          <w:noProof/>
        </w:rPr>
        <w:t>70</w:t>
      </w:r>
      <w:r>
        <w:rPr>
          <w:noProof/>
        </w:rPr>
        <w:fldChar w:fldCharType="end"/>
      </w:r>
    </w:p>
    <w:p w14:paraId="44EFA430" w14:textId="785FA6A2" w:rsidR="0033768A" w:rsidRDefault="0033768A">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_Toc505535338 \h </w:instrText>
      </w:r>
      <w:r>
        <w:rPr>
          <w:noProof/>
        </w:rPr>
      </w:r>
      <w:r>
        <w:rPr>
          <w:noProof/>
        </w:rPr>
        <w:fldChar w:fldCharType="separate"/>
      </w:r>
      <w:r>
        <w:rPr>
          <w:noProof/>
        </w:rPr>
        <w:t>71</w:t>
      </w:r>
      <w:r>
        <w:rPr>
          <w:noProof/>
        </w:rPr>
        <w:fldChar w:fldCharType="end"/>
      </w:r>
    </w:p>
    <w:p w14:paraId="387A9C35" w14:textId="4D035413" w:rsidR="0033768A" w:rsidRDefault="0033768A">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_Toc505535339 \h </w:instrText>
      </w:r>
      <w:r>
        <w:rPr>
          <w:noProof/>
        </w:rPr>
      </w:r>
      <w:r>
        <w:rPr>
          <w:noProof/>
        </w:rPr>
        <w:fldChar w:fldCharType="separate"/>
      </w:r>
      <w:r>
        <w:rPr>
          <w:noProof/>
        </w:rPr>
        <w:t>71</w:t>
      </w:r>
      <w:r>
        <w:rPr>
          <w:noProof/>
        </w:rPr>
        <w:fldChar w:fldCharType="end"/>
      </w:r>
    </w:p>
    <w:p w14:paraId="52C75DC4" w14:textId="74AD2FBF" w:rsidR="0033768A" w:rsidRDefault="0033768A">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_Toc505535340 \h </w:instrText>
      </w:r>
      <w:r>
        <w:rPr>
          <w:noProof/>
        </w:rPr>
      </w:r>
      <w:r>
        <w:rPr>
          <w:noProof/>
        </w:rPr>
        <w:fldChar w:fldCharType="separate"/>
      </w:r>
      <w:r>
        <w:rPr>
          <w:noProof/>
        </w:rPr>
        <w:t>72</w:t>
      </w:r>
      <w:r>
        <w:rPr>
          <w:noProof/>
        </w:rPr>
        <w:fldChar w:fldCharType="end"/>
      </w:r>
    </w:p>
    <w:p w14:paraId="4565111A" w14:textId="3C5C7BD1" w:rsidR="0033768A" w:rsidRDefault="0033768A">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_Toc505535341 \h </w:instrText>
      </w:r>
      <w:r>
        <w:rPr>
          <w:noProof/>
        </w:rPr>
      </w:r>
      <w:r>
        <w:rPr>
          <w:noProof/>
        </w:rPr>
        <w:fldChar w:fldCharType="separate"/>
      </w:r>
      <w:r>
        <w:rPr>
          <w:noProof/>
        </w:rPr>
        <w:t>73</w:t>
      </w:r>
      <w:r>
        <w:rPr>
          <w:noProof/>
        </w:rPr>
        <w:fldChar w:fldCharType="end"/>
      </w:r>
    </w:p>
    <w:p w14:paraId="514DF7AC" w14:textId="724FA0AC" w:rsidR="0033768A" w:rsidRDefault="0033768A">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4E1957">
        <w:rPr>
          <w:noProof/>
          <w:vertAlign w:val="subscript"/>
        </w:rPr>
        <w:t>2</w:t>
      </w:r>
      <w:r>
        <w:rPr>
          <w:noProof/>
        </w:rPr>
        <w:tab/>
      </w:r>
      <w:r>
        <w:rPr>
          <w:noProof/>
        </w:rPr>
        <w:fldChar w:fldCharType="begin"/>
      </w:r>
      <w:r>
        <w:rPr>
          <w:noProof/>
        </w:rPr>
        <w:instrText xml:space="preserve"> PAGEREF _Toc505535342 \h </w:instrText>
      </w:r>
      <w:r>
        <w:rPr>
          <w:noProof/>
        </w:rPr>
      </w:r>
      <w:r>
        <w:rPr>
          <w:noProof/>
        </w:rPr>
        <w:fldChar w:fldCharType="separate"/>
      </w:r>
      <w:r>
        <w:rPr>
          <w:noProof/>
        </w:rPr>
        <w:t>74</w:t>
      </w:r>
      <w:r>
        <w:rPr>
          <w:noProof/>
        </w:rPr>
        <w:fldChar w:fldCharType="end"/>
      </w:r>
    </w:p>
    <w:p w14:paraId="37236A89" w14:textId="446D0D5F" w:rsidR="0033768A" w:rsidRDefault="0033768A">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4E1957">
        <w:rPr>
          <w:noProof/>
          <w:vertAlign w:val="subscript"/>
        </w:rPr>
        <w:t>2</w:t>
      </w:r>
      <w:r>
        <w:rPr>
          <w:noProof/>
        </w:rPr>
        <w:t>H</w:t>
      </w:r>
      <w:r w:rsidRPr="004E1957">
        <w:rPr>
          <w:noProof/>
          <w:vertAlign w:val="subscript"/>
        </w:rPr>
        <w:t>2</w:t>
      </w:r>
      <w:r>
        <w:rPr>
          <w:noProof/>
        </w:rPr>
        <w:tab/>
      </w:r>
      <w:r>
        <w:rPr>
          <w:noProof/>
        </w:rPr>
        <w:fldChar w:fldCharType="begin"/>
      </w:r>
      <w:r>
        <w:rPr>
          <w:noProof/>
        </w:rPr>
        <w:instrText xml:space="preserve"> PAGEREF _Toc505535343 \h </w:instrText>
      </w:r>
      <w:r>
        <w:rPr>
          <w:noProof/>
        </w:rPr>
      </w:r>
      <w:r>
        <w:rPr>
          <w:noProof/>
        </w:rPr>
        <w:fldChar w:fldCharType="separate"/>
      </w:r>
      <w:r>
        <w:rPr>
          <w:noProof/>
        </w:rPr>
        <w:t>75</w:t>
      </w:r>
      <w:r>
        <w:rPr>
          <w:noProof/>
        </w:rPr>
        <w:fldChar w:fldCharType="end"/>
      </w:r>
    </w:p>
    <w:p w14:paraId="64BAD692" w14:textId="05419136" w:rsidR="0033768A" w:rsidRDefault="0033768A">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4E1957">
        <w:rPr>
          <w:noProof/>
          <w:vertAlign w:val="subscript"/>
        </w:rPr>
        <w:t>3</w:t>
      </w:r>
      <w:r>
        <w:rPr>
          <w:noProof/>
        </w:rPr>
        <w:t>CO + O</w:t>
      </w:r>
      <w:r w:rsidRPr="004E1957">
        <w:rPr>
          <w:noProof/>
          <w:vertAlign w:val="subscript"/>
        </w:rPr>
        <w:t>2</w:t>
      </w:r>
      <w:r>
        <w:rPr>
          <w:noProof/>
        </w:rPr>
        <w:tab/>
      </w:r>
      <w:r>
        <w:rPr>
          <w:noProof/>
        </w:rPr>
        <w:fldChar w:fldCharType="begin"/>
      </w:r>
      <w:r>
        <w:rPr>
          <w:noProof/>
        </w:rPr>
        <w:instrText xml:space="preserve"> PAGEREF _Toc505535344 \h </w:instrText>
      </w:r>
      <w:r>
        <w:rPr>
          <w:noProof/>
        </w:rPr>
      </w:r>
      <w:r>
        <w:rPr>
          <w:noProof/>
        </w:rPr>
        <w:fldChar w:fldCharType="separate"/>
      </w:r>
      <w:r>
        <w:rPr>
          <w:noProof/>
        </w:rPr>
        <w:t>76</w:t>
      </w:r>
      <w:r>
        <w:rPr>
          <w:noProof/>
        </w:rPr>
        <w:fldChar w:fldCharType="end"/>
      </w:r>
    </w:p>
    <w:p w14:paraId="6EC67FD8" w14:textId="2EDE1209" w:rsidR="0033768A" w:rsidRDefault="0033768A">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4E1957">
        <w:rPr>
          <w:i/>
          <w:noProof/>
        </w:rPr>
        <w:t>i-</w:t>
      </w:r>
      <w:r>
        <w:rPr>
          <w:noProof/>
        </w:rPr>
        <w:t>propyl)</w:t>
      </w:r>
      <w:r>
        <w:rPr>
          <w:noProof/>
        </w:rPr>
        <w:tab/>
      </w:r>
      <w:r>
        <w:rPr>
          <w:noProof/>
        </w:rPr>
        <w:fldChar w:fldCharType="begin"/>
      </w:r>
      <w:r>
        <w:rPr>
          <w:noProof/>
        </w:rPr>
        <w:instrText xml:space="preserve"> PAGEREF _Toc505535345 \h </w:instrText>
      </w:r>
      <w:r>
        <w:rPr>
          <w:noProof/>
        </w:rPr>
      </w:r>
      <w:r>
        <w:rPr>
          <w:noProof/>
        </w:rPr>
        <w:fldChar w:fldCharType="separate"/>
      </w:r>
      <w:r>
        <w:rPr>
          <w:noProof/>
        </w:rPr>
        <w:t>76</w:t>
      </w:r>
      <w:r>
        <w:rPr>
          <w:noProof/>
        </w:rPr>
        <w:fldChar w:fldCharType="end"/>
      </w:r>
    </w:p>
    <w:p w14:paraId="50237562" w14:textId="2A0E5A5C" w:rsidR="0033768A" w:rsidRDefault="0033768A">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_Toc505535346 \h </w:instrText>
      </w:r>
      <w:r>
        <w:rPr>
          <w:noProof/>
        </w:rPr>
      </w:r>
      <w:r>
        <w:rPr>
          <w:noProof/>
        </w:rPr>
        <w:fldChar w:fldCharType="separate"/>
      </w:r>
      <w:r>
        <w:rPr>
          <w:noProof/>
        </w:rPr>
        <w:t>77</w:t>
      </w:r>
      <w:r>
        <w:rPr>
          <w:noProof/>
        </w:rPr>
        <w:fldChar w:fldCharType="end"/>
      </w:r>
    </w:p>
    <w:p w14:paraId="7B5B0A70" w14:textId="71CD3901" w:rsidR="0033768A" w:rsidRDefault="0033768A">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_Toc505535347 \h </w:instrText>
      </w:r>
      <w:r>
        <w:rPr>
          <w:noProof/>
        </w:rPr>
      </w:r>
      <w:r>
        <w:rPr>
          <w:noProof/>
        </w:rPr>
        <w:fldChar w:fldCharType="separate"/>
      </w:r>
      <w:r>
        <w:rPr>
          <w:noProof/>
        </w:rPr>
        <w:t>77</w:t>
      </w:r>
      <w:r>
        <w:rPr>
          <w:noProof/>
        </w:rPr>
        <w:fldChar w:fldCharType="end"/>
      </w:r>
    </w:p>
    <w:p w14:paraId="6EAC62B8" w14:textId="5D47BB0F" w:rsidR="0033768A" w:rsidRDefault="0033768A">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_Toc505535348 \h </w:instrText>
      </w:r>
      <w:r>
        <w:rPr>
          <w:noProof/>
        </w:rPr>
      </w:r>
      <w:r>
        <w:rPr>
          <w:noProof/>
        </w:rPr>
        <w:fldChar w:fldCharType="separate"/>
      </w:r>
      <w:r>
        <w:rPr>
          <w:noProof/>
        </w:rPr>
        <w:t>77</w:t>
      </w:r>
      <w:r>
        <w:rPr>
          <w:noProof/>
        </w:rPr>
        <w:fldChar w:fldCharType="end"/>
      </w:r>
    </w:p>
    <w:p w14:paraId="66542CBF" w14:textId="49032302" w:rsidR="0033768A" w:rsidRDefault="0033768A">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_Toc505535349 \h </w:instrText>
      </w:r>
      <w:r>
        <w:rPr>
          <w:noProof/>
        </w:rPr>
      </w:r>
      <w:r>
        <w:rPr>
          <w:noProof/>
        </w:rPr>
        <w:fldChar w:fldCharType="separate"/>
      </w:r>
      <w:r>
        <w:rPr>
          <w:noProof/>
        </w:rPr>
        <w:t>78</w:t>
      </w:r>
      <w:r>
        <w:rPr>
          <w:noProof/>
        </w:rPr>
        <w:fldChar w:fldCharType="end"/>
      </w:r>
    </w:p>
    <w:p w14:paraId="464577A0" w14:textId="1D56ADD5" w:rsidR="0033768A" w:rsidRDefault="0033768A">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_Toc505535350 \h </w:instrText>
      </w:r>
      <w:r>
        <w:rPr>
          <w:noProof/>
        </w:rPr>
      </w:r>
      <w:r>
        <w:rPr>
          <w:noProof/>
        </w:rPr>
        <w:fldChar w:fldCharType="separate"/>
      </w:r>
      <w:r>
        <w:rPr>
          <w:noProof/>
        </w:rPr>
        <w:t>83</w:t>
      </w:r>
      <w:r>
        <w:rPr>
          <w:noProof/>
        </w:rPr>
        <w:fldChar w:fldCharType="end"/>
      </w:r>
    </w:p>
    <w:p w14:paraId="720AFF9A" w14:textId="13309354" w:rsidR="0033768A" w:rsidRDefault="0033768A">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_Toc505535351 \h </w:instrText>
      </w:r>
      <w:r>
        <w:rPr>
          <w:noProof/>
        </w:rPr>
      </w:r>
      <w:r>
        <w:rPr>
          <w:noProof/>
        </w:rPr>
        <w:fldChar w:fldCharType="separate"/>
      </w:r>
      <w:r>
        <w:rPr>
          <w:noProof/>
        </w:rPr>
        <w:t>83</w:t>
      </w:r>
      <w:r>
        <w:rPr>
          <w:noProof/>
        </w:rPr>
        <w:fldChar w:fldCharType="end"/>
      </w:r>
    </w:p>
    <w:p w14:paraId="2AFCA5EA" w14:textId="15FD1BC2" w:rsidR="0033768A" w:rsidRDefault="0033768A">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_Toc505535352 \h </w:instrText>
      </w:r>
      <w:r>
        <w:rPr>
          <w:noProof/>
        </w:rPr>
      </w:r>
      <w:r>
        <w:rPr>
          <w:noProof/>
        </w:rPr>
        <w:fldChar w:fldCharType="separate"/>
      </w:r>
      <w:r>
        <w:rPr>
          <w:noProof/>
        </w:rPr>
        <w:t>84</w:t>
      </w:r>
      <w:r>
        <w:rPr>
          <w:noProof/>
        </w:rPr>
        <w:fldChar w:fldCharType="end"/>
      </w:r>
    </w:p>
    <w:p w14:paraId="3975DC4C" w14:textId="6EEDA6AF" w:rsidR="0033768A" w:rsidRDefault="0033768A">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_Toc505535353 \h </w:instrText>
      </w:r>
      <w:r>
        <w:rPr>
          <w:noProof/>
        </w:rPr>
      </w:r>
      <w:r>
        <w:rPr>
          <w:noProof/>
        </w:rPr>
        <w:fldChar w:fldCharType="separate"/>
      </w:r>
      <w:r>
        <w:rPr>
          <w:noProof/>
        </w:rPr>
        <w:t>84</w:t>
      </w:r>
      <w:r>
        <w:rPr>
          <w:noProof/>
        </w:rPr>
        <w:fldChar w:fldCharType="end"/>
      </w:r>
    </w:p>
    <w:p w14:paraId="799124BA" w14:textId="79C82AEA" w:rsidR="0033768A" w:rsidRDefault="0033768A">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_Toc505535354 \h </w:instrText>
      </w:r>
      <w:r>
        <w:rPr>
          <w:noProof/>
        </w:rPr>
      </w:r>
      <w:r>
        <w:rPr>
          <w:noProof/>
        </w:rPr>
        <w:fldChar w:fldCharType="separate"/>
      </w:r>
      <w:r>
        <w:rPr>
          <w:noProof/>
        </w:rPr>
        <w:t>84</w:t>
      </w:r>
      <w:r>
        <w:rPr>
          <w:noProof/>
        </w:rPr>
        <w:fldChar w:fldCharType="end"/>
      </w:r>
    </w:p>
    <w:p w14:paraId="503ADA99" w14:textId="377132CC" w:rsidR="0033768A" w:rsidRDefault="0033768A">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_Toc505535355 \h </w:instrText>
      </w:r>
      <w:r>
        <w:rPr>
          <w:noProof/>
        </w:rPr>
      </w:r>
      <w:r>
        <w:rPr>
          <w:noProof/>
        </w:rPr>
        <w:fldChar w:fldCharType="separate"/>
      </w:r>
      <w:r>
        <w:rPr>
          <w:noProof/>
        </w:rPr>
        <w:t>84</w:t>
      </w:r>
      <w:r>
        <w:rPr>
          <w:noProof/>
        </w:rPr>
        <w:fldChar w:fldCharType="end"/>
      </w:r>
    </w:p>
    <w:p w14:paraId="7CE0F020" w14:textId="37F977E7" w:rsidR="0033768A" w:rsidRDefault="0033768A">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_Toc505535356 \h </w:instrText>
      </w:r>
      <w:r>
        <w:rPr>
          <w:noProof/>
        </w:rPr>
      </w:r>
      <w:r>
        <w:rPr>
          <w:noProof/>
        </w:rPr>
        <w:fldChar w:fldCharType="separate"/>
      </w:r>
      <w:r>
        <w:rPr>
          <w:noProof/>
        </w:rPr>
        <w:t>85</w:t>
      </w:r>
      <w:r>
        <w:rPr>
          <w:noProof/>
        </w:rPr>
        <w:fldChar w:fldCharType="end"/>
      </w:r>
    </w:p>
    <w:p w14:paraId="5C6905F1" w14:textId="43AD0D79" w:rsidR="0033768A" w:rsidRDefault="0033768A">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_Toc505535357 \h </w:instrText>
      </w:r>
      <w:r>
        <w:rPr>
          <w:noProof/>
        </w:rPr>
      </w:r>
      <w:r>
        <w:rPr>
          <w:noProof/>
        </w:rPr>
        <w:fldChar w:fldCharType="separate"/>
      </w:r>
      <w:r>
        <w:rPr>
          <w:noProof/>
        </w:rPr>
        <w:t>85</w:t>
      </w:r>
      <w:r>
        <w:rPr>
          <w:noProof/>
        </w:rPr>
        <w:fldChar w:fldCharType="end"/>
      </w:r>
    </w:p>
    <w:p w14:paraId="4415D461" w14:textId="75E77EBD" w:rsidR="0033768A" w:rsidRDefault="0033768A">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_Toc505535358 \h </w:instrText>
      </w:r>
      <w:r>
        <w:rPr>
          <w:noProof/>
        </w:rPr>
      </w:r>
      <w:r>
        <w:rPr>
          <w:noProof/>
        </w:rPr>
        <w:fldChar w:fldCharType="separate"/>
      </w:r>
      <w:r>
        <w:rPr>
          <w:noProof/>
        </w:rPr>
        <w:t>85</w:t>
      </w:r>
      <w:r>
        <w:rPr>
          <w:noProof/>
        </w:rPr>
        <w:fldChar w:fldCharType="end"/>
      </w:r>
    </w:p>
    <w:p w14:paraId="14816150" w14:textId="539076C7" w:rsidR="0033768A" w:rsidRDefault="0033768A">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_Toc505535359 \h </w:instrText>
      </w:r>
      <w:r>
        <w:rPr>
          <w:noProof/>
        </w:rPr>
      </w:r>
      <w:r>
        <w:rPr>
          <w:noProof/>
        </w:rPr>
        <w:fldChar w:fldCharType="separate"/>
      </w:r>
      <w:r>
        <w:rPr>
          <w:noProof/>
        </w:rPr>
        <w:t>85</w:t>
      </w:r>
      <w:r>
        <w:rPr>
          <w:noProof/>
        </w:rPr>
        <w:fldChar w:fldCharType="end"/>
      </w:r>
    </w:p>
    <w:p w14:paraId="427EE5E5" w14:textId="6325B77A" w:rsidR="0033768A" w:rsidRDefault="0033768A">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_Toc505535360 \h </w:instrText>
      </w:r>
      <w:r>
        <w:rPr>
          <w:noProof/>
        </w:rPr>
      </w:r>
      <w:r>
        <w:rPr>
          <w:noProof/>
        </w:rPr>
        <w:fldChar w:fldCharType="separate"/>
      </w:r>
      <w:r>
        <w:rPr>
          <w:noProof/>
        </w:rPr>
        <w:t>93</w:t>
      </w:r>
      <w:r>
        <w:rPr>
          <w:noProof/>
        </w:rPr>
        <w:fldChar w:fldCharType="end"/>
      </w:r>
    </w:p>
    <w:p w14:paraId="19466600" w14:textId="3FED258F" w:rsidR="0033768A" w:rsidRDefault="0033768A">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_Toc505535361 \h </w:instrText>
      </w:r>
      <w:r>
        <w:rPr>
          <w:noProof/>
        </w:rPr>
      </w:r>
      <w:r>
        <w:rPr>
          <w:noProof/>
        </w:rPr>
        <w:fldChar w:fldCharType="separate"/>
      </w:r>
      <w:r>
        <w:rPr>
          <w:noProof/>
        </w:rPr>
        <w:t>95</w:t>
      </w:r>
      <w:r>
        <w:rPr>
          <w:noProof/>
        </w:rPr>
        <w:fldChar w:fldCharType="end"/>
      </w:r>
    </w:p>
    <w:p w14:paraId="3CC3BF61" w14:textId="2B63C0D9" w:rsidR="0033768A" w:rsidRDefault="0033768A">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_Toc505535362 \h </w:instrText>
      </w:r>
      <w:r>
        <w:rPr>
          <w:noProof/>
        </w:rPr>
      </w:r>
      <w:r>
        <w:rPr>
          <w:noProof/>
        </w:rPr>
        <w:fldChar w:fldCharType="separate"/>
      </w:r>
      <w:r>
        <w:rPr>
          <w:noProof/>
        </w:rPr>
        <w:t>102</w:t>
      </w:r>
      <w:r>
        <w:rPr>
          <w:noProof/>
        </w:rPr>
        <w:fldChar w:fldCharType="end"/>
      </w:r>
    </w:p>
    <w:p w14:paraId="3C91BA9D" w14:textId="68109BA2" w:rsidR="0033768A" w:rsidRDefault="0033768A">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_Toc505535363 \h </w:instrText>
      </w:r>
      <w:r>
        <w:rPr>
          <w:noProof/>
        </w:rPr>
      </w:r>
      <w:r>
        <w:rPr>
          <w:noProof/>
        </w:rPr>
        <w:fldChar w:fldCharType="separate"/>
      </w:r>
      <w:r>
        <w:rPr>
          <w:noProof/>
        </w:rPr>
        <w:t>105</w:t>
      </w:r>
      <w:r>
        <w:rPr>
          <w:noProof/>
        </w:rPr>
        <w:fldChar w:fldCharType="end"/>
      </w:r>
    </w:p>
    <w:p w14:paraId="3DB0F2BA" w14:textId="14D25366" w:rsidR="0033768A" w:rsidRDefault="0033768A">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_Toc505535364 \h </w:instrText>
      </w:r>
      <w:r>
        <w:rPr>
          <w:noProof/>
        </w:rPr>
      </w:r>
      <w:r>
        <w:rPr>
          <w:noProof/>
        </w:rPr>
        <w:fldChar w:fldCharType="separate"/>
      </w:r>
      <w:r>
        <w:rPr>
          <w:noProof/>
        </w:rPr>
        <w:t>106</w:t>
      </w:r>
      <w:r>
        <w:rPr>
          <w:noProof/>
        </w:rPr>
        <w:fldChar w:fldCharType="end"/>
      </w:r>
    </w:p>
    <w:p w14:paraId="485C8D4E" w14:textId="4A2BC359" w:rsidR="0033768A" w:rsidRDefault="0033768A">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_Toc505535365 \h </w:instrText>
      </w:r>
      <w:r>
        <w:rPr>
          <w:noProof/>
        </w:rPr>
      </w:r>
      <w:r>
        <w:rPr>
          <w:noProof/>
        </w:rPr>
        <w:fldChar w:fldCharType="separate"/>
      </w:r>
      <w:r>
        <w:rPr>
          <w:noProof/>
        </w:rPr>
        <w:t>107</w:t>
      </w:r>
      <w:r>
        <w:rPr>
          <w:noProof/>
        </w:rPr>
        <w:fldChar w:fldCharType="end"/>
      </w:r>
    </w:p>
    <w:p w14:paraId="21A5CAF8" w14:textId="530F50D0" w:rsidR="0033768A" w:rsidRDefault="0033768A">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_Toc505535366 \h </w:instrText>
      </w:r>
      <w:r>
        <w:rPr>
          <w:noProof/>
        </w:rPr>
      </w:r>
      <w:r>
        <w:rPr>
          <w:noProof/>
        </w:rPr>
        <w:fldChar w:fldCharType="separate"/>
      </w:r>
      <w:r>
        <w:rPr>
          <w:noProof/>
        </w:rPr>
        <w:t>110</w:t>
      </w:r>
      <w:r>
        <w:rPr>
          <w:noProof/>
        </w:rPr>
        <w:fldChar w:fldCharType="end"/>
      </w:r>
    </w:p>
    <w:p w14:paraId="70685991" w14:textId="0AC788A8" w:rsidR="0033768A" w:rsidRDefault="0033768A">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_Toc505535367 \h </w:instrText>
      </w:r>
      <w:r>
        <w:rPr>
          <w:noProof/>
        </w:rPr>
      </w:r>
      <w:r>
        <w:rPr>
          <w:noProof/>
        </w:rPr>
        <w:fldChar w:fldCharType="separate"/>
      </w:r>
      <w:r>
        <w:rPr>
          <w:noProof/>
        </w:rPr>
        <w:t>113</w:t>
      </w:r>
      <w:r>
        <w:rPr>
          <w:noProof/>
        </w:rPr>
        <w:fldChar w:fldCharType="end"/>
      </w:r>
    </w:p>
    <w:p w14:paraId="6E4108D5" w14:textId="1D94066D" w:rsidR="0033768A" w:rsidRDefault="0033768A">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_Toc505535368 \h </w:instrText>
      </w:r>
      <w:r>
        <w:rPr>
          <w:noProof/>
        </w:rPr>
      </w:r>
      <w:r>
        <w:rPr>
          <w:noProof/>
        </w:rPr>
        <w:fldChar w:fldCharType="separate"/>
      </w:r>
      <w:r>
        <w:rPr>
          <w:noProof/>
        </w:rPr>
        <w:t>113</w:t>
      </w:r>
      <w:r>
        <w:rPr>
          <w:noProof/>
        </w:rPr>
        <w:fldChar w:fldCharType="end"/>
      </w:r>
    </w:p>
    <w:p w14:paraId="4FFCC8A4" w14:textId="0CB31C2F" w:rsidR="0033768A" w:rsidRDefault="0033768A">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_Toc505535369 \h </w:instrText>
      </w:r>
      <w:r>
        <w:rPr>
          <w:noProof/>
        </w:rPr>
      </w:r>
      <w:r>
        <w:rPr>
          <w:noProof/>
        </w:rPr>
        <w:fldChar w:fldCharType="separate"/>
      </w:r>
      <w:r>
        <w:rPr>
          <w:noProof/>
        </w:rPr>
        <w:t>119</w:t>
      </w:r>
      <w:r>
        <w:rPr>
          <w:noProof/>
        </w:rPr>
        <w:fldChar w:fldCharType="end"/>
      </w:r>
    </w:p>
    <w:p w14:paraId="2FAA1FC2" w14:textId="578FCD69" w:rsidR="0033768A" w:rsidRDefault="0033768A">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_Toc505535370 \h </w:instrText>
      </w:r>
      <w:r>
        <w:rPr>
          <w:noProof/>
        </w:rPr>
      </w:r>
      <w:r>
        <w:rPr>
          <w:noProof/>
        </w:rPr>
        <w:fldChar w:fldCharType="separate"/>
      </w:r>
      <w:r>
        <w:rPr>
          <w:noProof/>
        </w:rPr>
        <w:t>121</w:t>
      </w:r>
      <w:r>
        <w:rPr>
          <w:noProof/>
        </w:rPr>
        <w:fldChar w:fldCharType="end"/>
      </w:r>
    </w:p>
    <w:p w14:paraId="2C9129B3" w14:textId="1FC90D9C" w:rsidR="0033768A" w:rsidRDefault="0033768A">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_Toc505535371 \h </w:instrText>
      </w:r>
      <w:r>
        <w:rPr>
          <w:noProof/>
        </w:rPr>
      </w:r>
      <w:r>
        <w:rPr>
          <w:noProof/>
        </w:rPr>
        <w:fldChar w:fldCharType="separate"/>
      </w:r>
      <w:r>
        <w:rPr>
          <w:noProof/>
        </w:rPr>
        <w:t>122</w:t>
      </w:r>
      <w:r>
        <w:rPr>
          <w:noProof/>
        </w:rPr>
        <w:fldChar w:fldCharType="end"/>
      </w:r>
    </w:p>
    <w:p w14:paraId="57F971CC" w14:textId="03A8CD21" w:rsidR="0033768A" w:rsidRDefault="0033768A">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_Toc505535372 \h </w:instrText>
      </w:r>
      <w:r>
        <w:rPr>
          <w:noProof/>
        </w:rPr>
      </w:r>
      <w:r>
        <w:rPr>
          <w:noProof/>
        </w:rPr>
        <w:fldChar w:fldCharType="separate"/>
      </w:r>
      <w:r>
        <w:rPr>
          <w:noProof/>
        </w:rPr>
        <w:t>122</w:t>
      </w:r>
      <w:r>
        <w:rPr>
          <w:noProof/>
        </w:rPr>
        <w:fldChar w:fldCharType="end"/>
      </w:r>
    </w:p>
    <w:p w14:paraId="178F7AAD" w14:textId="22C85CC5" w:rsidR="0033768A" w:rsidRDefault="0033768A">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_Toc505535373 \h </w:instrText>
      </w:r>
      <w:r>
        <w:rPr>
          <w:noProof/>
        </w:rPr>
      </w:r>
      <w:r>
        <w:rPr>
          <w:noProof/>
        </w:rPr>
        <w:fldChar w:fldCharType="separate"/>
      </w:r>
      <w:r>
        <w:rPr>
          <w:noProof/>
        </w:rPr>
        <w:t>124</w:t>
      </w:r>
      <w:r>
        <w:rPr>
          <w:noProof/>
        </w:rPr>
        <w:fldChar w:fldCharType="end"/>
      </w:r>
    </w:p>
    <w:p w14:paraId="7661F0F9" w14:textId="36AA46F6" w:rsidR="0033768A" w:rsidRDefault="0033768A">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_Toc505535374 \h </w:instrText>
      </w:r>
      <w:r>
        <w:rPr>
          <w:noProof/>
        </w:rPr>
      </w:r>
      <w:r>
        <w:rPr>
          <w:noProof/>
        </w:rPr>
        <w:fldChar w:fldCharType="separate"/>
      </w:r>
      <w:r>
        <w:rPr>
          <w:noProof/>
        </w:rPr>
        <w:t>125</w:t>
      </w:r>
      <w:r>
        <w:rPr>
          <w:noProof/>
        </w:rPr>
        <w:fldChar w:fldCharType="end"/>
      </w:r>
    </w:p>
    <w:p w14:paraId="26666E27" w14:textId="6975AB71" w:rsidR="0033768A" w:rsidRDefault="0033768A">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_Toc505535375 \h </w:instrText>
      </w:r>
      <w:r>
        <w:rPr>
          <w:noProof/>
        </w:rPr>
      </w:r>
      <w:r>
        <w:rPr>
          <w:noProof/>
        </w:rPr>
        <w:fldChar w:fldCharType="separate"/>
      </w:r>
      <w:r>
        <w:rPr>
          <w:noProof/>
        </w:rPr>
        <w:t>125</w:t>
      </w:r>
      <w:r>
        <w:rPr>
          <w:noProof/>
        </w:rPr>
        <w:fldChar w:fldCharType="end"/>
      </w:r>
    </w:p>
    <w:p w14:paraId="429CA503" w14:textId="25CCB8A0" w:rsidR="0033768A" w:rsidRDefault="0033768A">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_Toc505535376 \h </w:instrText>
      </w:r>
      <w:r>
        <w:rPr>
          <w:noProof/>
        </w:rPr>
      </w:r>
      <w:r>
        <w:rPr>
          <w:noProof/>
        </w:rPr>
        <w:fldChar w:fldCharType="separate"/>
      </w:r>
      <w:r>
        <w:rPr>
          <w:noProof/>
        </w:rPr>
        <w:t>127</w:t>
      </w:r>
      <w:r>
        <w:rPr>
          <w:noProof/>
        </w:rPr>
        <w:fldChar w:fldCharType="end"/>
      </w:r>
    </w:p>
    <w:p w14:paraId="0E732B93" w14:textId="00AB8C57" w:rsidR="0033768A" w:rsidRDefault="0033768A">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_Toc505535377 \h </w:instrText>
      </w:r>
      <w:r>
        <w:rPr>
          <w:noProof/>
        </w:rPr>
      </w:r>
      <w:r>
        <w:rPr>
          <w:noProof/>
        </w:rPr>
        <w:fldChar w:fldCharType="separate"/>
      </w:r>
      <w:r>
        <w:rPr>
          <w:noProof/>
        </w:rPr>
        <w:t>127</w:t>
      </w:r>
      <w:r>
        <w:rPr>
          <w:noProof/>
        </w:rPr>
        <w:fldChar w:fldCharType="end"/>
      </w:r>
    </w:p>
    <w:p w14:paraId="735B64D1" w14:textId="54893385" w:rsidR="0033768A" w:rsidRDefault="0033768A">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_Toc505535378 \h </w:instrText>
      </w:r>
      <w:r>
        <w:rPr>
          <w:noProof/>
        </w:rPr>
      </w:r>
      <w:r>
        <w:rPr>
          <w:noProof/>
        </w:rPr>
        <w:fldChar w:fldCharType="separate"/>
      </w:r>
      <w:r>
        <w:rPr>
          <w:noProof/>
        </w:rPr>
        <w:t>128</w:t>
      </w:r>
      <w:r>
        <w:rPr>
          <w:noProof/>
        </w:rPr>
        <w:fldChar w:fldCharType="end"/>
      </w:r>
    </w:p>
    <w:p w14:paraId="14378B88" w14:textId="735A9F5E" w:rsidR="0033768A" w:rsidRDefault="0033768A">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_Toc505535379 \h </w:instrText>
      </w:r>
      <w:r>
        <w:rPr>
          <w:noProof/>
        </w:rPr>
      </w:r>
      <w:r>
        <w:rPr>
          <w:noProof/>
        </w:rPr>
        <w:fldChar w:fldCharType="separate"/>
      </w:r>
      <w:r>
        <w:rPr>
          <w:noProof/>
        </w:rPr>
        <w:t>132</w:t>
      </w:r>
      <w:r>
        <w:rPr>
          <w:noProof/>
        </w:rPr>
        <w:fldChar w:fldCharType="end"/>
      </w:r>
    </w:p>
    <w:p w14:paraId="31F09F92" w14:textId="0D2F05C7" w:rsidR="0033768A" w:rsidRDefault="0033768A">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_Toc505535380 \h </w:instrText>
      </w:r>
      <w:r>
        <w:rPr>
          <w:noProof/>
        </w:rPr>
      </w:r>
      <w:r>
        <w:rPr>
          <w:noProof/>
        </w:rPr>
        <w:fldChar w:fldCharType="separate"/>
      </w:r>
      <w:r>
        <w:rPr>
          <w:noProof/>
        </w:rPr>
        <w:t>132</w:t>
      </w:r>
      <w:r>
        <w:rPr>
          <w:noProof/>
        </w:rPr>
        <w:fldChar w:fldCharType="end"/>
      </w:r>
    </w:p>
    <w:p w14:paraId="77268298" w14:textId="486BDE7B" w:rsidR="0033768A" w:rsidRDefault="0033768A">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_Toc505535381 \h </w:instrText>
      </w:r>
      <w:r>
        <w:rPr>
          <w:noProof/>
        </w:rPr>
      </w:r>
      <w:r>
        <w:rPr>
          <w:noProof/>
        </w:rPr>
        <w:fldChar w:fldCharType="separate"/>
      </w:r>
      <w:r>
        <w:rPr>
          <w:noProof/>
        </w:rPr>
        <w:t>132</w:t>
      </w:r>
      <w:r>
        <w:rPr>
          <w:noProof/>
        </w:rPr>
        <w:fldChar w:fldCharType="end"/>
      </w:r>
    </w:p>
    <w:p w14:paraId="1B6D0A44" w14:textId="0B5DD4CF" w:rsidR="0033768A" w:rsidRDefault="0033768A">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_Toc505535382 \h </w:instrText>
      </w:r>
      <w:r>
        <w:rPr>
          <w:noProof/>
        </w:rPr>
      </w:r>
      <w:r>
        <w:rPr>
          <w:noProof/>
        </w:rPr>
        <w:fldChar w:fldCharType="separate"/>
      </w:r>
      <w:r>
        <w:rPr>
          <w:noProof/>
        </w:rPr>
        <w:t>132</w:t>
      </w:r>
      <w:r>
        <w:rPr>
          <w:noProof/>
        </w:rPr>
        <w:fldChar w:fldCharType="end"/>
      </w:r>
    </w:p>
    <w:p w14:paraId="412F8EB9" w14:textId="45750921" w:rsidR="0033768A" w:rsidRDefault="0033768A">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_Toc505535383 \h </w:instrText>
      </w:r>
      <w:r>
        <w:rPr>
          <w:noProof/>
        </w:rPr>
      </w:r>
      <w:r>
        <w:rPr>
          <w:noProof/>
        </w:rPr>
        <w:fldChar w:fldCharType="separate"/>
      </w:r>
      <w:r>
        <w:rPr>
          <w:noProof/>
        </w:rPr>
        <w:t>133</w:t>
      </w:r>
      <w:r>
        <w:rPr>
          <w:noProof/>
        </w:rPr>
        <w:fldChar w:fldCharType="end"/>
      </w:r>
    </w:p>
    <w:p w14:paraId="588315A3" w14:textId="62434761" w:rsidR="0033768A" w:rsidRDefault="0033768A">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_Toc505535384 \h </w:instrText>
      </w:r>
      <w:r>
        <w:rPr>
          <w:noProof/>
        </w:rPr>
      </w:r>
      <w:r>
        <w:rPr>
          <w:noProof/>
        </w:rPr>
        <w:fldChar w:fldCharType="separate"/>
      </w:r>
      <w:r>
        <w:rPr>
          <w:noProof/>
        </w:rPr>
        <w:t>133</w:t>
      </w:r>
      <w:r>
        <w:rPr>
          <w:noProof/>
        </w:rPr>
        <w:fldChar w:fldCharType="end"/>
      </w:r>
    </w:p>
    <w:p w14:paraId="37E20487" w14:textId="3179B9DB" w:rsidR="0033768A" w:rsidRDefault="0033768A">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_Toc505535385 \h </w:instrText>
      </w:r>
      <w:r>
        <w:rPr>
          <w:noProof/>
        </w:rPr>
      </w:r>
      <w:r>
        <w:rPr>
          <w:noProof/>
        </w:rPr>
        <w:fldChar w:fldCharType="separate"/>
      </w:r>
      <w:r>
        <w:rPr>
          <w:noProof/>
        </w:rPr>
        <w:t>134</w:t>
      </w:r>
      <w:r>
        <w:rPr>
          <w:noProof/>
        </w:rPr>
        <w:fldChar w:fldCharType="end"/>
      </w:r>
    </w:p>
    <w:p w14:paraId="74D4819C" w14:textId="1B92BE3C" w:rsidR="0033768A" w:rsidRDefault="0033768A">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_Toc505535386 \h </w:instrText>
      </w:r>
      <w:r>
        <w:rPr>
          <w:noProof/>
        </w:rPr>
      </w:r>
      <w:r>
        <w:rPr>
          <w:noProof/>
        </w:rPr>
        <w:fldChar w:fldCharType="separate"/>
      </w:r>
      <w:r>
        <w:rPr>
          <w:noProof/>
        </w:rPr>
        <w:t>134</w:t>
      </w:r>
      <w:r>
        <w:rPr>
          <w:noProof/>
        </w:rPr>
        <w:fldChar w:fldCharType="end"/>
      </w:r>
    </w:p>
    <w:p w14:paraId="177D4452" w14:textId="5A114615" w:rsidR="0033768A" w:rsidRDefault="0033768A">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_Toc505535387 \h </w:instrText>
      </w:r>
      <w:r>
        <w:rPr>
          <w:noProof/>
        </w:rPr>
      </w:r>
      <w:r>
        <w:rPr>
          <w:noProof/>
        </w:rPr>
        <w:fldChar w:fldCharType="separate"/>
      </w:r>
      <w:r>
        <w:rPr>
          <w:noProof/>
        </w:rPr>
        <w:t>135</w:t>
      </w:r>
      <w:r>
        <w:rPr>
          <w:noProof/>
        </w:rPr>
        <w:fldChar w:fldCharType="end"/>
      </w:r>
    </w:p>
    <w:p w14:paraId="3BB2C100" w14:textId="30BC7D4D" w:rsidR="0033768A" w:rsidRDefault="0033768A">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_Toc505535388 \h </w:instrText>
      </w:r>
      <w:r>
        <w:rPr>
          <w:noProof/>
        </w:rPr>
      </w:r>
      <w:r>
        <w:rPr>
          <w:noProof/>
        </w:rPr>
        <w:fldChar w:fldCharType="separate"/>
      </w:r>
      <w:r>
        <w:rPr>
          <w:noProof/>
        </w:rPr>
        <w:t>137</w:t>
      </w:r>
      <w:r>
        <w:rPr>
          <w:noProof/>
        </w:rPr>
        <w:fldChar w:fldCharType="end"/>
      </w:r>
    </w:p>
    <w:p w14:paraId="307D607D" w14:textId="49E06593"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505535278"/>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36560BE6"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A365C6">
        <w:t>8.</w:t>
      </w:r>
      <w:r w:rsidR="00A365C6">
        <w:t>3</w:t>
      </w:r>
      <w:r w:rsidR="00A365C6">
        <w:t>.4</w:t>
      </w:r>
      <w:r w:rsidR="00A365C6">
        <w:fldChar w:fldCharType="end"/>
      </w:r>
      <w:r w:rsidR="00A365C6">
        <w:t>)</w:t>
      </w:r>
      <w:r w:rsidR="00D94D1F">
        <w:t>.</w:t>
      </w:r>
    </w:p>
    <w:p w14:paraId="0DD5C9D4" w14:textId="3D824F60" w:rsidR="003420F8" w:rsidRDefault="003420F8" w:rsidP="007051CE">
      <w:pPr>
        <w:numPr>
          <w:ilvl w:val="0"/>
          <w:numId w:val="2"/>
        </w:numPr>
        <w:ind w:left="357" w:firstLine="0"/>
      </w:pPr>
      <w:r>
        <w:t>Addition of Canonical Rate Calculator.</w:t>
      </w:r>
    </w:p>
    <w:p w14:paraId="4B2BEF57" w14:textId="0E2258CB"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CE7433">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CE7433">
        <w:t>13.4</w:t>
      </w:r>
      <w:r w:rsidR="00CE7433">
        <w:fldChar w:fldCharType="end"/>
      </w:r>
      <w:r w:rsidR="00CE7433">
        <w:t>)</w:t>
      </w:r>
    </w:p>
    <w:p w14:paraId="564530F9" w14:textId="69F486AF" w:rsidR="00AC2B99" w:rsidRDefault="00AC2B99" w:rsidP="00AC2B99">
      <w:pPr>
        <w:ind w:left="357"/>
      </w:pPr>
      <w:r>
        <w:t>MESMER Input</w:t>
      </w:r>
      <w:r w:rsidR="007754BB">
        <w:t>, bug fixes</w:t>
      </w:r>
      <w:r>
        <w:t xml:space="preserve"> and Other Changes:</w:t>
      </w:r>
    </w:p>
    <w:p w14:paraId="377498E0" w14:textId="325FBBAB" w:rsidR="00812945" w:rsidRDefault="00AC2B99" w:rsidP="003420F8">
      <w:pPr>
        <w:numPr>
          <w:ilvl w:val="0"/>
          <w:numId w:val="2"/>
        </w:numPr>
        <w:ind w:left="357" w:firstLine="0"/>
      </w:pPr>
      <w:r>
        <w:t xml:space="preserve">The keyword </w:t>
      </w:r>
      <w:r w:rsidRPr="003420F8">
        <w:t>RRKM</w:t>
      </w:r>
      <w:r>
        <w:t xml:space="preserve"> replaces the deprecated keyword </w:t>
      </w:r>
      <w:r w:rsidRPr="003420F8">
        <w:t>SimpleRRKM</w:t>
      </w:r>
      <w:r>
        <w:t xml:space="preserve"> for the specification of an RRKM based microcanonical rate calculator, though the latter keyword will continue to function.</w:t>
      </w:r>
    </w:p>
    <w:p w14:paraId="1DAF4CA4" w14:textId="05395F2F" w:rsidR="007754BB" w:rsidRDefault="007754BB" w:rsidP="003420F8">
      <w:pPr>
        <w:numPr>
          <w:ilvl w:val="0"/>
          <w:numId w:val="2"/>
        </w:numPr>
        <w:ind w:left="357" w:firstLine="0"/>
      </w:pPr>
      <w:r>
        <w:t xml:space="preserve">An issue with the </w:t>
      </w:r>
      <w:r w:rsidRPr="003420F8">
        <w:t>drivedfrom</w:t>
      </w:r>
      <w:r>
        <w:t xml:space="preserve"> key word that allowed certain variables to be related during a fitting exercise has been addressed (see section ). </w:t>
      </w:r>
    </w:p>
    <w:p w14:paraId="0505405B" w14:textId="11ADDCFE" w:rsidR="003420F8" w:rsidRDefault="00BC128C" w:rsidP="003420F8">
      <w:pPr>
        <w:numPr>
          <w:ilvl w:val="0"/>
          <w:numId w:val="2"/>
        </w:numPr>
        <w:ind w:left="357" w:firstLine="0"/>
      </w:pPr>
      <w:r>
        <w:t>ILT Bug fix.</w:t>
      </w:r>
    </w:p>
    <w:p w14:paraId="4799373C" w14:textId="77777777" w:rsidR="00BC128C" w:rsidRPr="00812945" w:rsidRDefault="00BC128C" w:rsidP="003420F8">
      <w:pPr>
        <w:numPr>
          <w:ilvl w:val="0"/>
          <w:numId w:val="2"/>
        </w:numPr>
        <w:ind w:left="357" w:firstLine="0"/>
      </w:pPr>
    </w:p>
    <w:p w14:paraId="0F1989BE" w14:textId="77777777" w:rsidR="00F77C82" w:rsidRPr="00C05534" w:rsidRDefault="00F77C82" w:rsidP="00C05534">
      <w:pPr>
        <w:pStyle w:val="Heading1"/>
      </w:pPr>
      <w:bookmarkStart w:id="5" w:name="_Toc505535279"/>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05535280"/>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05535281"/>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64041E"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05535282"/>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05535283"/>
      <w:r>
        <w:lastRenderedPageBreak/>
        <w:t>Windows</w:t>
      </w:r>
      <w:bookmarkEnd w:id="10"/>
    </w:p>
    <w:p w14:paraId="3AA7B3A2" w14:textId="77777777" w:rsidR="00F77C82" w:rsidRDefault="00F77C82" w:rsidP="00C05534">
      <w:pPr>
        <w:pStyle w:val="Heading3"/>
      </w:pPr>
      <w:bookmarkStart w:id="11" w:name="_Toc505535284"/>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05535285"/>
      <w:r>
        <w:t>Compiling on Windows</w:t>
      </w:r>
      <w:bookmarkEnd w:id="12"/>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5F87814D"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A11E1">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64041E">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64041E">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05535286"/>
      <w:r>
        <w:lastRenderedPageBreak/>
        <w:t>Compiling P</w:t>
      </w:r>
      <w:r w:rsidR="00D51B79">
        <w:t>arallel MESMER on Windows</w:t>
      </w:r>
      <w:bookmarkEnd w:id="13"/>
      <w:bookmarkEnd w:id="14"/>
    </w:p>
    <w:p w14:paraId="12583667" w14:textId="676C21FD" w:rsidR="00D51B79" w:rsidRDefault="00084B4C" w:rsidP="00D51B79">
      <w:r>
        <w:t xml:space="preserve">In order to assist the building of parallel MESMER a configuration has been created in the solutions for both VS2012 and VS2015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05535287"/>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C3B9EA8"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A11E1">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6" w:name="_Toc505535288"/>
      <w:r>
        <w:lastRenderedPageBreak/>
        <w:t>Running P</w:t>
      </w:r>
      <w:r w:rsidR="00D51B79">
        <w:t>arallel MESMER on Windows</w:t>
      </w:r>
      <w:bookmarkEnd w:id="16"/>
    </w:p>
    <w:p w14:paraId="5918A3ED" w14:textId="6E546D4D"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1A11E1">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05535289"/>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05535290"/>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05535291"/>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5C95E59D"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1A11E1">
        <w:t>7.3.1</w:t>
      </w:r>
      <w:r>
        <w:fldChar w:fldCharType="end"/>
      </w:r>
      <w:r>
        <w:t xml:space="preserve">. </w:t>
      </w:r>
    </w:p>
    <w:p w14:paraId="7A0E535B" w14:textId="77777777" w:rsidR="00F77C82" w:rsidRDefault="004A0097" w:rsidP="00E41937">
      <w:pPr>
        <w:pStyle w:val="Heading3"/>
      </w:pPr>
      <w:bookmarkStart w:id="21" w:name="_Ref481614377"/>
      <w:bookmarkStart w:id="22" w:name="_Toc505535292"/>
      <w:r>
        <w:t xml:space="preserve">Compiling </w:t>
      </w:r>
      <w:r w:rsidR="00F77C82">
        <w:t>the Main Executable</w:t>
      </w:r>
      <w:bookmarkEnd w:id="21"/>
      <w:bookmarkEnd w:id="22"/>
    </w:p>
    <w:p w14:paraId="12A0C159" w14:textId="77777777"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05535293"/>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17668D8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1A11E1">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05535294"/>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05535295"/>
      <w:r>
        <w:t>Running Parallel MESMER on Linux/UNIX/Mac</w:t>
      </w:r>
      <w:bookmarkEnd w:id="26"/>
    </w:p>
    <w:p w14:paraId="2A4856FB" w14:textId="184F9AFD"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1A11E1">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05535296"/>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115999A"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A11E1">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05535297"/>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05535298"/>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05535299"/>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05535300"/>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64041E">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FA9EE7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1A11E1" w:rsidRPr="001A11E1">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05535301"/>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05535302"/>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05535303"/>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03C787CA"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1A11E1">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5B5AF02B"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A11E1">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DD5F8A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A11E1">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1E5548C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A11E1">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676D2BA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A11E1">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C56477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A11E1">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64041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CFF0D7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A11E1">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925BF1A"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7F4154">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734E203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1A11E1">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05535304"/>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5C6F782"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1A11E1">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CC27DF" w:rsidRDefault="00CC27DF"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CC27DF" w:rsidRDefault="00CC27DF"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CC27DF" w:rsidRDefault="00CC27DF"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CC27DF" w:rsidRDefault="00CC27DF"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CC27DF" w:rsidRDefault="00CC27DF"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CC27DF" w:rsidRDefault="00CC27DF"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CC27DF" w:rsidRDefault="00CC27DF"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CC27DF" w:rsidRDefault="00CC27DF"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CC27DF" w:rsidRDefault="00CC27DF"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CC27DF" w:rsidRDefault="00CC27DF"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CC27DF" w:rsidRDefault="00CC27DF"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CC27DF" w:rsidRDefault="00CC27DF"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CC27DF" w:rsidRDefault="00CC27DF"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CC27DF" w:rsidRDefault="00CC27DF"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CC27DF" w:rsidRDefault="00CC27DF"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CC27DF" w:rsidRDefault="00CC27DF"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CC27DF" w:rsidRDefault="00CC27DF"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CC27DF" w:rsidRDefault="00CC27DF"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CC27DF" w:rsidRDefault="00CC27DF"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CC27DF" w:rsidRDefault="00CC27DF"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CC27DF" w:rsidRDefault="00CC27DF"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CC27DF" w:rsidRDefault="00CC27DF"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CC27DF" w:rsidRDefault="00CC27D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CC27DF" w:rsidRDefault="00CC27DF"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CC27DF" w:rsidRDefault="00CC27DF"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CC27DF" w:rsidRDefault="00CC27DF"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CC27DF" w:rsidRPr="004F239A" w:rsidRDefault="00CC27D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CC27DF" w:rsidRDefault="00CC27DF"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CC27DF" w:rsidRDefault="00CC27DF"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CC27DF" w:rsidRDefault="00CC27DF"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CC27DF" w:rsidRDefault="00CC27D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05535305"/>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7777777"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77B1F4F"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1A11E1">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00D98890"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1A11E1">
        <w:t>11.2.7</w:t>
      </w:r>
      <w:r w:rsidR="00571972">
        <w:fldChar w:fldCharType="end"/>
      </w:r>
      <w:r w:rsidR="00571972">
        <w:t>.</w:t>
      </w:r>
    </w:p>
    <w:p w14:paraId="62DE3C72" w14:textId="77777777"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14:paraId="02C1CAEB" w14:textId="77777777" w:rsidR="00F77C82" w:rsidRDefault="00F77C82" w:rsidP="006D48A8">
      <w:pPr>
        <w:pStyle w:val="Heading3"/>
      </w:pPr>
      <w:bookmarkStart w:id="47" w:name="_Ref313049784"/>
      <w:bookmarkStart w:id="48" w:name="_Toc505535306"/>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9820860"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1A11E1">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05535307"/>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2D55C94B"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1A11E1">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05535308"/>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A2B52F9"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1A11E1">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lastRenderedPageBreak/>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05535309"/>
      <w:r>
        <w:t>Summary Table: Molecular input variables in MESMER</w:t>
      </w:r>
      <w:bookmarkEnd w:id="54"/>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64041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05535310"/>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05535311"/>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05535312"/>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7842696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1A11E1">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05535313"/>
      <w:r>
        <w:lastRenderedPageBreak/>
        <w:t xml:space="preserve">Comparing MESMER rate </w:t>
      </w:r>
      <w:r w:rsidR="00727400">
        <w:t>data</w:t>
      </w:r>
      <w:r>
        <w:t xml:space="preserve"> to experimental values</w:t>
      </w:r>
      <w:bookmarkEnd w:id="58"/>
      <w:bookmarkEnd w:id="59"/>
    </w:p>
    <w:p w14:paraId="4BC4265B" w14:textId="1B7F4C30"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A11E1">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64041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05535314"/>
      <w:r>
        <w:t>Experimental Rate Coefficients</w:t>
      </w:r>
      <w:bookmarkEnd w:id="60"/>
      <w:bookmarkEnd w:id="61"/>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05535315"/>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05535316"/>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05535317"/>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 xml:space="preserve">0.006 0.012 0.018 0.024 0.03 0.036 0.042 0.048 0.054 0.06 0.066 </w:t>
      </w:r>
      <w:r w:rsidRPr="000E267C">
        <w:rPr>
          <w:rFonts w:ascii="Courier New" w:hAnsi="Courier New" w:cs="Courier New"/>
          <w:color w:val="000000"/>
          <w:sz w:val="18"/>
          <w:szCs w:val="18"/>
          <w:lang w:eastAsia="en-GB"/>
        </w:rPr>
        <w:t>…</w:t>
      </w:r>
      <w:r w:rsidRPr="000E267C">
        <w:rPr>
          <w:rFonts w:ascii="Courier New" w:hAnsi="Courier New" w:cs="Courier New"/>
          <w:color w:val="000000"/>
          <w:sz w:val="18"/>
          <w:szCs w:val="18"/>
          <w:lang w:eastAsia="en-GB"/>
        </w:rPr>
        <w:t xml:space="preserve">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 xml:space="preserve">0.001906 0.001510 0.001569 0.001449 0.001254 0.001311 0.001461 </w:t>
      </w:r>
      <w:r w:rsidRPr="000E267C">
        <w:rPr>
          <w:rFonts w:ascii="Courier New" w:hAnsi="Courier New" w:cs="Courier New"/>
          <w:color w:val="000000"/>
          <w:sz w:val="18"/>
          <w:szCs w:val="18"/>
          <w:lang w:eastAsia="en-GB"/>
        </w:rPr>
        <w:t xml:space="preserve">… </w:t>
      </w:r>
      <w:r w:rsidRPr="000E267C">
        <w:rPr>
          <w:rFonts w:ascii="Courier New" w:hAnsi="Courier New" w:cs="Courier New"/>
          <w:color w:val="000000"/>
          <w:sz w:val="18"/>
          <w:szCs w:val="18"/>
          <w:lang w:eastAsia="en-GB"/>
        </w:rPr>
        <w:t>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778878C4" w14:textId="050458B8" w:rsidR="000E267C" w:rsidRDefault="000E267C" w:rsidP="00434A2E">
      <w:r>
        <w:t>The</w:t>
      </w:r>
      <w:r w:rsidR="00A365C6">
        <w:t xml:space="preserve"> definition of the time series data begins with the element . </w:t>
      </w:r>
    </w:p>
    <w:p w14:paraId="12CC3631" w14:textId="60A48CEC" w:rsidR="00A365C6" w:rsidRPr="000E267C" w:rsidRDefault="00A365C6" w:rsidP="00434A2E">
      <w:r>
        <w:t>Should re-run after analysis with best fit parameters to making sure there is no diffusion term.</w:t>
      </w:r>
    </w:p>
    <w:p w14:paraId="3D0A2A17" w14:textId="77777777" w:rsidR="00F77C82" w:rsidRDefault="00F77C82" w:rsidP="00F66AB7">
      <w:pPr>
        <w:pStyle w:val="Heading2"/>
      </w:pPr>
      <w:bookmarkStart w:id="66" w:name="_Ref378624763"/>
      <w:bookmarkStart w:id="67" w:name="_Toc505535318"/>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lastRenderedPageBreak/>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05535319"/>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64041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64041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64041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64041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64041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64041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64041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64041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64041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64041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05535320"/>
      <w:r>
        <w:t>Inverse Laplace Transforms (</w:t>
      </w:r>
      <w:r w:rsidR="00F77C82">
        <w:t>ILT</w:t>
      </w:r>
      <w:r>
        <w:t>)</w:t>
      </w:r>
      <w:bookmarkEnd w:id="70"/>
    </w:p>
    <w:p w14:paraId="46FFB86A" w14:textId="2A730CA4"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A11E1">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w:t>
      </w:r>
      <w:r w:rsidR="00C17686" w:rsidRPr="00B2799C">
        <w:lastRenderedPageBreak/>
        <w:t>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39D5506E"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A11E1">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61A7560B" w:rsidR="00261331" w:rsidRPr="00B2799C" w:rsidRDefault="0099224A" w:rsidP="00115263">
      <w:pPr>
        <w:spacing w:before="240"/>
      </w:pPr>
      <w:r w:rsidRPr="00B2799C">
        <w:lastRenderedPageBreak/>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A11E1">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05535321"/>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05535322"/>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05535323"/>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05535324"/>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05535325"/>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05535326"/>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64041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64041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05535327"/>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64041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05535328"/>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64041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05535329"/>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05535330"/>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05535331"/>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7914366D"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A11E1">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149B635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1A11E1">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05535332"/>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05535333"/>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05535334"/>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05535335"/>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05535336"/>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05535337"/>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05535338"/>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05535339"/>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05535340"/>
      <w:r w:rsidRPr="0082158A">
        <w:lastRenderedPageBreak/>
        <w:t>1</w:t>
      </w:r>
      <w:r w:rsidR="00F77C82">
        <w:t>-Pentyl Isomerization</w:t>
      </w:r>
      <w:bookmarkEnd w:id="96"/>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05535341"/>
      <w:r w:rsidRPr="00F66AB7">
        <w:lastRenderedPageBreak/>
        <w:t>Cyclopropene Isomerization + Reservoir State</w:t>
      </w:r>
      <w:bookmarkEnd w:id="97"/>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883B41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1A11E1">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05535342"/>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05535343"/>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0553534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05535345"/>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05535346"/>
      <w:r>
        <w:t>Benzene-OH Oxidation</w:t>
      </w:r>
      <w:bookmarkEnd w:id="103"/>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05535347"/>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15pt;height:14.6pt" o:ole="">
            <v:imagedata r:id="rId42" o:title=""/>
          </v:shape>
          <o:OLEObject Type="Embed" ProgID="Equation.3" ShapeID="_x0000_i1025" DrawAspect="Content" ObjectID="_1579277223"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05535348"/>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05535349"/>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7"/>
            <w:r>
              <w:rPr>
                <w:sz w:val="20"/>
              </w:rPr>
              <w:t>[refs]</w:t>
            </w:r>
            <w:commentRangeEnd w:id="107"/>
            <w:r>
              <w:rPr>
                <w:rStyle w:val="CommentReference"/>
              </w:rPr>
              <w:commentReference w:id="107"/>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8" w:name="_Toc505535350"/>
      <w:r w:rsidRPr="00C05534">
        <w:lastRenderedPageBreak/>
        <w:t>Adding Functionality to MESMER</w:t>
      </w:r>
      <w:bookmarkEnd w:id="108"/>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9" w:name="_Ref277428806"/>
      <w:bookmarkStart w:id="110" w:name="_Ref277416966"/>
      <w:bookmarkStart w:id="111" w:name="_Toc505535351"/>
      <w:r w:rsidRPr="00246233">
        <w:t>Data Access</w:t>
      </w:r>
      <w:bookmarkEnd w:id="111"/>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2" w:name="_Toc505535352"/>
      <w:r>
        <w:t>XmlMoveTo</w:t>
      </w:r>
      <w:bookmarkEnd w:id="112"/>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3" w:name="_Toc505535353"/>
      <w:r>
        <w:t>XmlRead</w:t>
      </w:r>
      <w:bookmarkEnd w:id="113"/>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4" w:name="_Toc505535354"/>
      <w:r>
        <w:t>XmlReadValue</w:t>
      </w:r>
      <w:bookmarkEnd w:id="114"/>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5" w:name="_Toc505535355"/>
      <w:r>
        <w:t>XmlReadDouble</w:t>
      </w:r>
      <w:bookmarkEnd w:id="115"/>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6" w:name="_Toc505535356"/>
      <w:r>
        <w:t>XmlReadInteger</w:t>
      </w:r>
      <w:bookmarkEnd w:id="116"/>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7" w:name="_Toc505535357"/>
      <w:r>
        <w:t>XmlReadBoolean</w:t>
      </w:r>
      <w:bookmarkEnd w:id="117"/>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8" w:name="_Ref376099370"/>
      <w:bookmarkStart w:id="119" w:name="_Toc505535358"/>
      <w:r w:rsidRPr="00246233">
        <w:t>Plug-in Classes</w:t>
      </w:r>
      <w:bookmarkEnd w:id="118"/>
      <w:bookmarkEnd w:id="119"/>
    </w:p>
    <w:p w14:paraId="6B442014" w14:textId="77777777" w:rsidR="00F77C82" w:rsidRDefault="00F77C82">
      <w:pPr>
        <w:pStyle w:val="Heading3"/>
        <w:tabs>
          <w:tab w:val="left" w:pos="567"/>
        </w:tabs>
        <w:ind w:left="426" w:hanging="426"/>
      </w:pPr>
      <w:bookmarkStart w:id="120" w:name="_Ref376106032"/>
      <w:bookmarkStart w:id="121" w:name="_Toc505535359"/>
      <w:r>
        <w:t>Calculation Methods</w:t>
      </w:r>
      <w:bookmarkEnd w:id="109"/>
      <w:bookmarkEnd w:id="120"/>
      <w:bookmarkEnd w:id="121"/>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1C6A7642"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1A11E1">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441D7F03"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1A11E1">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6CF37B37"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1A11E1">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7C99A8D"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1A11E1">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64041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64041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2" w:name="_Toc505535360"/>
      <w:r>
        <w:t>Collisional Energy Transfer Models</w:t>
      </w:r>
      <w:bookmarkEnd w:id="122"/>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64041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3" w:name="_Ref345764698"/>
      <w:bookmarkStart w:id="124" w:name="_Ref345765223"/>
      <w:bookmarkStart w:id="125" w:name="_Ref345772888"/>
      <w:bookmarkStart w:id="126" w:name="_Toc505535361"/>
      <w:r>
        <w:t>Density of States</w:t>
      </w:r>
      <w:bookmarkEnd w:id="110"/>
      <w:bookmarkEnd w:id="123"/>
      <w:bookmarkEnd w:id="124"/>
      <w:bookmarkEnd w:id="125"/>
      <w:bookmarkEnd w:id="126"/>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w:t>
      </w:r>
      <w:r w:rsidRPr="00EC08A8">
        <w:rPr>
          <w:b/>
          <w:szCs w:val="24"/>
        </w:rPr>
        <w:lastRenderedPageBreak/>
        <w:t xml:space="preserve">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73DA188C" w14:textId="25BBBA32"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56EAD">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lastRenderedPageBreak/>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64041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lastRenderedPageBreak/>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7" w:name="_Hlk481434587"/>
      <w:r w:rsidRPr="00701ACB">
        <w:rPr>
          <w:rFonts w:ascii="Courier New" w:hAnsi="Courier New" w:cs="Courier New"/>
          <w:color w:val="FF0000"/>
          <w:sz w:val="18"/>
          <w:szCs w:val="18"/>
          <w:lang w:eastAsia="en-GB"/>
        </w:rPr>
        <w:t>minx</w:t>
      </w:r>
      <w:bookmarkEnd w:id="127"/>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w:t>
      </w:r>
      <w:r w:rsidR="00EE0563">
        <w:rPr>
          <w:szCs w:val="24"/>
        </w:rPr>
        <w:lastRenderedPageBreak/>
        <w:t xml:space="preserve">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 xml:space="preserve">-functions in </w:t>
      </w:r>
      <w:r w:rsidR="00023CA3">
        <w:rPr>
          <w:szCs w:val="24"/>
        </w:rPr>
        <w:lastRenderedPageBreak/>
        <w:t>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8" w:name="_Ref344830943"/>
      <w:bookmarkStart w:id="129" w:name="_Toc505535362"/>
      <w:r>
        <w:t>Microcanonical Rates</w:t>
      </w:r>
      <w:bookmarkEnd w:id="128"/>
      <w:bookmarkEnd w:id="129"/>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lastRenderedPageBreak/>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BDE7A44"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14:paraId="2105743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14:paraId="69486960"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14:paraId="19FF6A55"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14:paraId="769F0C47"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14:paraId="4EA6F1FC"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14:paraId="759E237D"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14:paraId="4EC4758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14:paraId="61DDDDD0" w14:textId="77777777"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lastRenderedPageBreak/>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65F13C71" w14:textId="77777777" w:rsidR="007C02AF" w:rsidRPr="00E82D5C" w:rsidRDefault="007C02AF" w:rsidP="00B90659">
      <w:pPr>
        <w:numPr>
          <w:ilvl w:val="0"/>
          <w:numId w:val="2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14:paraId="72A89569" w14:textId="77777777"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4878DF98" w14:textId="77777777"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026AD33" w14:textId="77777777"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6CF5558" w14:textId="6D47058B"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s are used to interpolate the sum of states at a given point. Typically</w:t>
      </w:r>
      <w:r w:rsidR="00AA1715">
        <w:rPr>
          <w:szCs w:val="24"/>
        </w:rPr>
        <w:t>,</w:t>
      </w:r>
      <w:r w:rsidR="00E371D7">
        <w:rPr>
          <w:szCs w:val="24"/>
        </w:rPr>
        <w:t xml:space="preserve">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w:t>
      </w:r>
      <w:r w:rsidR="002A4536">
        <w:rPr>
          <w:szCs w:val="24"/>
        </w:rPr>
        <w:lastRenderedPageBreak/>
        <w:t xml:space="preserve">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14:paraId="1B09E651" w14:textId="77777777" w:rsidR="00F77C82" w:rsidRDefault="00542BED">
      <w:pPr>
        <w:pStyle w:val="Heading3"/>
        <w:tabs>
          <w:tab w:val="left" w:pos="567"/>
        </w:tabs>
        <w:ind w:left="426" w:hanging="426"/>
      </w:pPr>
      <w:bookmarkStart w:id="130" w:name="_Toc505535363"/>
      <w:r>
        <w:t>Tunne</w:t>
      </w:r>
      <w:r w:rsidR="007463C5">
        <w:t>l</w:t>
      </w:r>
      <w:r w:rsidR="00F77C82">
        <w:t>ing Corrections</w:t>
      </w:r>
      <w:bookmarkEnd w:id="130"/>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lastRenderedPageBreak/>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1" w:name="_Ref345774704"/>
      <w:bookmarkStart w:id="132" w:name="_Toc505535364"/>
      <w:r>
        <w:t>Distribution Calculator</w:t>
      </w:r>
      <w:bookmarkEnd w:id="131"/>
      <w:bookmarkEnd w:id="132"/>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lastRenderedPageBreak/>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64041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64041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3" w:name="_Ref481231055"/>
      <w:bookmarkStart w:id="134" w:name="_Toc505535365"/>
      <w:r>
        <w:t xml:space="preserve">Fragmentation </w:t>
      </w:r>
      <w:r w:rsidR="00AA6A35">
        <w:t>Distribution</w:t>
      </w:r>
      <w:bookmarkEnd w:id="133"/>
      <w:bookmarkEnd w:id="134"/>
      <w:r w:rsidR="00AA6A35">
        <w:t xml:space="preserve"> </w:t>
      </w:r>
    </w:p>
    <w:p w14:paraId="772093C9" w14:textId="37EB1947"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1A11E1">
        <w:rPr>
          <w:szCs w:val="24"/>
        </w:rPr>
        <w:t>7.3.2</w:t>
      </w:r>
      <w:r w:rsidR="003E1851">
        <w:rPr>
          <w:szCs w:val="24"/>
        </w:rPr>
        <w:fldChar w:fldCharType="end"/>
      </w:r>
      <w:r w:rsidR="003E1851">
        <w:rPr>
          <w:szCs w:val="24"/>
        </w:rPr>
        <w:t>)</w:t>
      </w:r>
      <w:r>
        <w:rPr>
          <w:szCs w:val="24"/>
        </w:rPr>
        <w:t xml:space="preserve">, for the situation where the </w:t>
      </w:r>
      <w:r>
        <w:rPr>
          <w:szCs w:val="24"/>
        </w:rPr>
        <w:lastRenderedPageBreak/>
        <w:t xml:space="preserve">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5" w:name="_Toc505535366"/>
      <w:r w:rsidRPr="00C05534">
        <w:lastRenderedPageBreak/>
        <w:t>MESMER FAQs</w:t>
      </w:r>
      <w:bookmarkEnd w:id="135"/>
    </w:p>
    <w:p w14:paraId="3F4CA177" w14:textId="77777777" w:rsidR="00F77C82" w:rsidRDefault="00F77C82">
      <w:pPr>
        <w:rPr>
          <w:b/>
        </w:rPr>
      </w:pPr>
      <w:r>
        <w:rPr>
          <w:b/>
        </w:rPr>
        <w:t>Q. What is qtot? What is sumc? What is sumg?</w:t>
      </w:r>
    </w:p>
    <w:p w14:paraId="79DB325C" w14:textId="0BBDAB4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A11E1">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B66F8E5" w:rsidR="00F77C82" w:rsidRDefault="00E7057E" w:rsidP="00E7057E">
      <w:pPr>
        <w:ind w:left="720"/>
      </w:pPr>
      <w:r>
        <w:t xml:space="preserve">See section </w:t>
      </w:r>
      <w:r>
        <w:fldChar w:fldCharType="begin"/>
      </w:r>
      <w:r>
        <w:instrText xml:space="preserve"> REF _Ref347659580 \r \h </w:instrText>
      </w:r>
      <w:r>
        <w:fldChar w:fldCharType="separate"/>
      </w:r>
      <w:r w:rsidR="001A11E1">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19EB597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A11E1">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6" w:name="_Toc505535367"/>
      <w:r w:rsidRPr="00C05534">
        <w:lastRenderedPageBreak/>
        <w:t>Theoretical Background</w:t>
      </w:r>
      <w:bookmarkEnd w:id="136"/>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7" w:name="_Toc505535368"/>
      <w:r w:rsidRPr="00246233">
        <w:t>Matrix Formulation of the EGME</w:t>
      </w:r>
      <w:bookmarkEnd w:id="137"/>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15pt;height:14.6pt" o:ole="" filled="t">
            <v:fill color2="black"/>
            <v:imagedata r:id="rId48" o:title=""/>
          </v:shape>
          <o:OLEObject Type="Embed" ProgID="Equation.3" ShapeID="_x0000_i1026" DrawAspect="Content" ObjectID="_1579277224"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64041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50E36438"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4pt;height:21.4pt" o:ole="" filled="t">
            <v:fill color2="black"/>
            <v:imagedata r:id="rId50" o:title=""/>
          </v:shape>
          <o:OLEObject Type="Embed" ProgID="Equation.3" ShapeID="_x0000_i1027" DrawAspect="Content" ObjectID="_1579277225"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6pt;height:14.6pt" o:ole="" filled="t">
            <v:fill color2="black"/>
            <v:imagedata r:id="rId53" o:title=""/>
          </v:shape>
          <o:OLEObject Type="Embed" ProgID="Equation.3" ShapeID="_x0000_i1028" DrawAspect="Content" ObjectID="_1579277226"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64041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8" w:name="_Toc505535369"/>
      <w:r>
        <w:t>The Bimolecular Source Term</w:t>
      </w:r>
      <w:bookmarkEnd w:id="13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64041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64041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64041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64041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64041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64041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9" w:name="_Toc505535370"/>
      <w:r>
        <w:t>Block Forms for Different Reaction Types</w:t>
      </w:r>
      <w:bookmarkEnd w:id="13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64041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64041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24B6BEA"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1A11E1">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0" w:name="_Toc505535371"/>
      <w:r w:rsidRPr="00246233">
        <w:lastRenderedPageBreak/>
        <w:t>Other Methods for solving the master equation</w:t>
      </w:r>
      <w:bookmarkEnd w:id="140"/>
    </w:p>
    <w:p w14:paraId="0D6D7015" w14:textId="77777777" w:rsidR="00F77C82" w:rsidRDefault="00F77C82">
      <w:pPr>
        <w:pStyle w:val="Heading3"/>
        <w:tabs>
          <w:tab w:val="left" w:pos="567"/>
        </w:tabs>
        <w:ind w:left="426" w:hanging="426"/>
      </w:pPr>
      <w:bookmarkStart w:id="141" w:name="_Ref353724376"/>
      <w:bookmarkStart w:id="142" w:name="_Toc505535372"/>
      <w:r>
        <w:t>The Reservoir State Approximation</w:t>
      </w:r>
      <w:bookmarkEnd w:id="141"/>
      <w:bookmarkEnd w:id="14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64041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64041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64041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64041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64041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64041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3" w:name="_Toc505535373"/>
      <w:r>
        <w:t>The Contracted Basis Set Approach</w:t>
      </w:r>
      <w:bookmarkEnd w:id="143"/>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64041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4" w:name="_Ref347673354"/>
      <w:bookmarkStart w:id="145" w:name="_Toc505535374"/>
      <w:r w:rsidRPr="00246233">
        <w:t>Inverse Laplace Transform</w:t>
      </w:r>
      <w:bookmarkEnd w:id="144"/>
      <w:bookmarkEnd w:id="14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6" w:name="_Ref353724256"/>
      <w:bookmarkStart w:id="147" w:name="_Toc505535375"/>
      <w:r>
        <w:t>Unimolecular ILT</w:t>
      </w:r>
      <w:bookmarkEnd w:id="146"/>
      <w:bookmarkEnd w:id="14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64041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64041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64041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64041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8" w:name="_Toc505535376"/>
      <w:r>
        <w:lastRenderedPageBreak/>
        <w:t>The association ILT</w:t>
      </w:r>
      <w:bookmarkEnd w:id="148"/>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64041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64041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FB9ABDD"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9" w:name="_Toc505535377"/>
      <w:r>
        <w:t>The C’ constant in MESMER ILT</w:t>
      </w:r>
      <w:bookmarkEnd w:id="14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64041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6pt;height:21.4pt" o:ole="" filled="t">
            <v:fill color2="black"/>
            <v:imagedata r:id="rId55" o:title=""/>
          </v:shape>
          <o:OLEObject Type="Embed" ProgID="Equation.3" ShapeID="_x0000_i1029" DrawAspect="Content" ObjectID="_1579277227"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64041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64041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64041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64041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64041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0" w:name="_Ref505516513"/>
      <w:bookmarkStart w:id="151" w:name="_Toc505535378"/>
      <w:r>
        <w:t xml:space="preserve">Classical Coupled Internal and External </w:t>
      </w:r>
      <w:r w:rsidR="002E7001">
        <w:t xml:space="preserve">Rotational </w:t>
      </w:r>
      <w:r>
        <w:t>Densities of States</w:t>
      </w:r>
      <w:bookmarkEnd w:id="150"/>
      <w:bookmarkEnd w:id="151"/>
    </w:p>
    <w:p w14:paraId="20D94004" w14:textId="45D6D8DC" w:rsidR="008F1E98" w:rsidRDefault="001534F6" w:rsidP="008F1E98">
      <w:r>
        <w:t xml:space="preserve">(Full details of the method used here can be see Gang et al.)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64041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r>
                          <w:rPr>
                            <w:rFonts w:ascii="Cambria Math" w:hAnsi="Cambria Math"/>
                          </w:rPr>
                          <m:t>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r>
                          <w:rPr>
                            <w:rFonts w:ascii="Cambria Math" w:hAnsi="Cambria Math"/>
                          </w:rPr>
                          <m:t>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64041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64041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3" w:name="_Toc505535379"/>
      <w:r>
        <w:lastRenderedPageBreak/>
        <w:t>Revision History</w:t>
      </w:r>
      <w:bookmarkEnd w:id="153"/>
    </w:p>
    <w:p w14:paraId="4139624D" w14:textId="77777777" w:rsidR="00411665" w:rsidRDefault="00411665" w:rsidP="00411665">
      <w:pPr>
        <w:pStyle w:val="Heading2"/>
      </w:pPr>
      <w:bookmarkStart w:id="154" w:name="_Toc505535380"/>
      <w:r>
        <w:t>MESMER 0.1 (Released 12/Jun/2009)</w:t>
      </w:r>
      <w:bookmarkEnd w:id="15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5" w:name="_Toc505535381"/>
      <w:r w:rsidRPr="00C05534">
        <w:t>MESMER 0.2</w:t>
      </w:r>
      <w:r>
        <w:t xml:space="preserve"> (Released 9/Jan/2011)</w:t>
      </w:r>
      <w:bookmarkEnd w:id="15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6" w:name="_Toc505535382"/>
      <w:r w:rsidRPr="00C05534">
        <w:t>MESMER 1.0</w:t>
      </w:r>
      <w:r>
        <w:t xml:space="preserve"> (Released </w:t>
      </w:r>
      <w:r w:rsidR="00411665">
        <w:t>10/Feb</w:t>
      </w:r>
      <w:r>
        <w:t>/2012)</w:t>
      </w:r>
      <w:bookmarkEnd w:id="15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7" w:name="_Toc505535383"/>
      <w:r w:rsidRPr="00C05534">
        <w:t xml:space="preserve">MESMER </w:t>
      </w:r>
      <w:r>
        <w:t>2</w:t>
      </w:r>
      <w:r w:rsidRPr="00C05534">
        <w:t>.0</w:t>
      </w:r>
      <w:r>
        <w:t xml:space="preserve"> (Released 10/Feb/2013)</w:t>
      </w:r>
      <w:bookmarkEnd w:id="157"/>
    </w:p>
    <w:p w14:paraId="0B307896" w14:textId="77777777" w:rsidR="00565B61" w:rsidRDefault="00565B61" w:rsidP="00565B61">
      <w:pPr>
        <w:ind w:left="357"/>
      </w:pPr>
      <w:r>
        <w:t>New features:</w:t>
      </w:r>
    </w:p>
    <w:p w14:paraId="5D8EC67E" w14:textId="5D5B63F8"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A11E1">
        <w:t>7.3.2</w:t>
      </w:r>
      <w:r>
        <w:fldChar w:fldCharType="end"/>
      </w:r>
      <w:r>
        <w:t xml:space="preserve">). </w:t>
      </w:r>
    </w:p>
    <w:p w14:paraId="4961ABDC" w14:textId="0A85D5E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A11E1">
        <w:t>11.2.4</w:t>
      </w:r>
      <w:r>
        <w:fldChar w:fldCharType="end"/>
      </w:r>
      <w:r>
        <w:t>).</w:t>
      </w:r>
    </w:p>
    <w:p w14:paraId="430AF9D4" w14:textId="1B60680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A11E1">
        <w:t>11.2.3</w:t>
      </w:r>
      <w:r>
        <w:fldChar w:fldCharType="end"/>
      </w:r>
      <w:r>
        <w:t xml:space="preserve">). </w:t>
      </w:r>
    </w:p>
    <w:p w14:paraId="171F0ADE" w14:textId="51F6E84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A11E1">
        <w:t>11.2.6</w:t>
      </w:r>
      <w:r>
        <w:fldChar w:fldCharType="end"/>
      </w:r>
      <w:r>
        <w:t>).</w:t>
      </w:r>
    </w:p>
    <w:p w14:paraId="1CF099C1" w14:textId="461615D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1A11E1">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8" w:name="_Toc505535384"/>
      <w:r w:rsidRPr="00C05534">
        <w:t xml:space="preserve">MESMER </w:t>
      </w:r>
      <w:r>
        <w:t>3</w:t>
      </w:r>
      <w:r w:rsidRPr="00C05534">
        <w:t>.0</w:t>
      </w:r>
      <w:r>
        <w:t xml:space="preserve"> (Released 24/Feb/2014)</w:t>
      </w:r>
      <w:bookmarkEnd w:id="15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285659C2"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1A11E1">
        <w:t>7.3.1</w:t>
      </w:r>
      <w:r>
        <w:fldChar w:fldCharType="end"/>
      </w:r>
      <w:r>
        <w:fldChar w:fldCharType="begin"/>
      </w:r>
      <w:r>
        <w:instrText xml:space="preserve"> REF _Ref353724732 \r \h </w:instrText>
      </w:r>
      <w:r>
        <w:fldChar w:fldCharType="separate"/>
      </w:r>
      <w:r w:rsidR="001A11E1">
        <w:t>(5)</w:t>
      </w:r>
      <w:r>
        <w:fldChar w:fldCharType="end"/>
      </w:r>
      <w:r>
        <w:t xml:space="preserve"> and </w:t>
      </w:r>
      <w:r>
        <w:fldChar w:fldCharType="begin"/>
      </w:r>
      <w:r>
        <w:instrText xml:space="preserve"> REF _Ref345764698 \r \h </w:instrText>
      </w:r>
      <w:r>
        <w:fldChar w:fldCharType="separate"/>
      </w:r>
      <w:r w:rsidR="001A11E1">
        <w:t>11.2.3</w:t>
      </w:r>
      <w:r>
        <w:fldChar w:fldCharType="end"/>
      </w:r>
      <w:r>
        <w:t>).</w:t>
      </w:r>
    </w:p>
    <w:p w14:paraId="27C4549A" w14:textId="04BA13A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1A11E1">
        <w:t>7.3.2</w:t>
      </w:r>
      <w:r>
        <w:fldChar w:fldCharType="end"/>
      </w:r>
      <w:r>
        <w:t>).</w:t>
      </w:r>
    </w:p>
    <w:p w14:paraId="31EE516B" w14:textId="561B07BF"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1A11E1">
        <w:t>11.2.1</w:t>
      </w:r>
      <w:r>
        <w:fldChar w:fldCharType="end"/>
      </w:r>
      <w:r>
        <w:t>).</w:t>
      </w:r>
    </w:p>
    <w:p w14:paraId="1EB63590" w14:textId="6DB8C61D"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1A11E1">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9" w:name="_Toc505535385"/>
      <w:r w:rsidRPr="00C05534">
        <w:t xml:space="preserve">MESMER </w:t>
      </w:r>
      <w:r>
        <w:t>4</w:t>
      </w:r>
      <w:r w:rsidRPr="00C05534">
        <w:t>.0</w:t>
      </w:r>
      <w:r>
        <w:t xml:space="preserve"> (Released 16/May/2015)</w:t>
      </w:r>
      <w:bookmarkEnd w:id="159"/>
    </w:p>
    <w:p w14:paraId="3C9E24EE" w14:textId="77777777" w:rsidR="003D6172" w:rsidRDefault="003D6172" w:rsidP="003D6172">
      <w:pPr>
        <w:ind w:left="357"/>
      </w:pPr>
      <w:r>
        <w:t>New features:</w:t>
      </w:r>
    </w:p>
    <w:p w14:paraId="19FBA364" w14:textId="4B776D0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1A11E1">
        <w:t>11.2.3</w:t>
      </w:r>
      <w:r>
        <w:fldChar w:fldCharType="end"/>
      </w:r>
      <w:r>
        <w:t>).</w:t>
      </w:r>
    </w:p>
    <w:p w14:paraId="65B80081" w14:textId="5D002569"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1A11E1">
        <w:t>7.3.5</w:t>
      </w:r>
      <w:r>
        <w:fldChar w:fldCharType="end"/>
      </w:r>
      <w:r>
        <w:t>).</w:t>
      </w:r>
    </w:p>
    <w:p w14:paraId="5EF83226" w14:textId="714E3E9E"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1A11E1">
        <w:t>7.3.2</w:t>
      </w:r>
      <w:r>
        <w:fldChar w:fldCharType="end"/>
      </w:r>
      <w:r>
        <w:t>).</w:t>
      </w:r>
    </w:p>
    <w:p w14:paraId="72A8BB1C" w14:textId="62FAE7E7"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1A11E1">
        <w:t>11.2.1</w:t>
      </w:r>
      <w:r>
        <w:fldChar w:fldCharType="end"/>
      </w:r>
      <w:r>
        <w:t>).</w:t>
      </w:r>
    </w:p>
    <w:p w14:paraId="4E1F232C" w14:textId="575F72D3"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1A11E1">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0" w:name="_Toc505535386"/>
      <w:r w:rsidRPr="00C05534">
        <w:t xml:space="preserve">MESMER </w:t>
      </w:r>
      <w:r>
        <w:t>4.1 (Released 27/Feb/2016)</w:t>
      </w:r>
      <w:bookmarkEnd w:id="160"/>
    </w:p>
    <w:p w14:paraId="6C277800" w14:textId="77777777" w:rsidR="00565B61" w:rsidRDefault="00565B61" w:rsidP="00565B61">
      <w:pPr>
        <w:ind w:left="357"/>
      </w:pPr>
      <w:r>
        <w:t>New features:</w:t>
      </w:r>
    </w:p>
    <w:p w14:paraId="4133914F" w14:textId="3334AD51"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1A11E1">
        <w:t>11.2.1</w:t>
      </w:r>
      <w:r>
        <w:fldChar w:fldCharType="end"/>
      </w:r>
      <w:r>
        <w:t>).</w:t>
      </w:r>
    </w:p>
    <w:p w14:paraId="725A6088" w14:textId="531E6843"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1A11E1">
        <w:t>11.2.1</w:t>
      </w:r>
      <w:r>
        <w:fldChar w:fldCharType="end"/>
      </w:r>
      <w:r>
        <w:t>).</w:t>
      </w:r>
    </w:p>
    <w:p w14:paraId="103643A3" w14:textId="29006E9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1A11E1">
        <w:t>11.2.1</w:t>
      </w:r>
      <w:r>
        <w:fldChar w:fldCharType="end"/>
      </w:r>
      <w:r>
        <w:t>).</w:t>
      </w:r>
    </w:p>
    <w:p w14:paraId="0CCD6C01" w14:textId="230B50AB"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1A11E1">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78188AD"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1A11E1">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1" w:name="_Toc505535387"/>
      <w:r w:rsidRPr="00C05534">
        <w:t xml:space="preserve">MESMER </w:t>
      </w:r>
      <w:r w:rsidR="0075141E">
        <w:t>5.0</w:t>
      </w:r>
      <w:r>
        <w:t xml:space="preserve"> (Released 7/Jun/2017)</w:t>
      </w:r>
      <w:bookmarkEnd w:id="161"/>
    </w:p>
    <w:p w14:paraId="65ED43F0" w14:textId="77777777" w:rsidR="00963927" w:rsidRDefault="00963927" w:rsidP="00963927">
      <w:pPr>
        <w:ind w:left="357"/>
      </w:pPr>
      <w:r>
        <w:t>New features:</w:t>
      </w:r>
    </w:p>
    <w:p w14:paraId="5A54287A" w14:textId="66109AE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1A11E1">
        <w:t>6.2</w:t>
      </w:r>
      <w:r>
        <w:fldChar w:fldCharType="end"/>
      </w:r>
      <w:r>
        <w:t>).</w:t>
      </w:r>
    </w:p>
    <w:p w14:paraId="69A1A570" w14:textId="2F48D6B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1A11E1">
        <w:t>11.2.7</w:t>
      </w:r>
      <w:r>
        <w:fldChar w:fldCharType="end"/>
      </w:r>
      <w:r>
        <w:t>).</w:t>
      </w:r>
    </w:p>
    <w:p w14:paraId="7954A0B6" w14:textId="67B8CD15"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1A11E1">
        <w:t>11.2.3</w:t>
      </w:r>
      <w:r>
        <w:fldChar w:fldCharType="end"/>
      </w:r>
      <w:r>
        <w:t>).</w:t>
      </w:r>
    </w:p>
    <w:p w14:paraId="3EA65CF4" w14:textId="26EBEF36"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1A11E1">
        <w:t>11.2.3</w:t>
      </w:r>
      <w:r>
        <w:fldChar w:fldCharType="end"/>
      </w:r>
      <w:r>
        <w:t>).</w:t>
      </w:r>
    </w:p>
    <w:p w14:paraId="0F48D9C8" w14:textId="17F04AB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1A11E1">
        <w:t>11.2.4</w:t>
      </w:r>
      <w:r>
        <w:fldChar w:fldCharType="end"/>
      </w:r>
      <w:r>
        <w:t>).</w:t>
      </w:r>
    </w:p>
    <w:p w14:paraId="78D778A9" w14:textId="77777777" w:rsidR="00963927" w:rsidRDefault="00963927" w:rsidP="00963927">
      <w:pPr>
        <w:ind w:left="357"/>
      </w:pPr>
      <w:r>
        <w:t>Other changes:</w:t>
      </w:r>
    </w:p>
    <w:p w14:paraId="7D3CF5A2" w14:textId="45ECDAF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1A11E1">
        <w:t>8.3.1</w:t>
      </w:r>
      <w:r>
        <w:fldChar w:fldCharType="end"/>
      </w:r>
      <w:r>
        <w:t>).</w:t>
      </w:r>
    </w:p>
    <w:p w14:paraId="26A84D00" w14:textId="72DF711B"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1A11E1">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2" w:name="_Toc505535388"/>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 w:author="David Glowacki" w:date="2017-06-09T11:26:00Z" w:initials="DG">
    <w:p w14:paraId="06F408D4" w14:textId="77777777" w:rsidR="00CC27DF" w:rsidRDefault="00CC27DF">
      <w:pPr>
        <w:pStyle w:val="CommentText"/>
      </w:pPr>
      <w:r>
        <w:rPr>
          <w:rStyle w:val="CommentReference"/>
        </w:rPr>
        <w:annotationRef/>
      </w:r>
      <w:r>
        <w:t>Insert refs to:</w:t>
      </w:r>
    </w:p>
    <w:p w14:paraId="5B036699" w14:textId="77777777" w:rsidR="00CC27DF" w:rsidRDefault="00CC27DF"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CC27DF" w:rsidRDefault="00CC27DF"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8CBF" w14:textId="77777777" w:rsidR="00313BC5" w:rsidRDefault="00313BC5">
      <w:pPr>
        <w:spacing w:after="0" w:line="240" w:lineRule="auto"/>
      </w:pPr>
      <w:r>
        <w:separator/>
      </w:r>
    </w:p>
  </w:endnote>
  <w:endnote w:type="continuationSeparator" w:id="0">
    <w:p w14:paraId="7547F1D2" w14:textId="77777777" w:rsidR="00313BC5" w:rsidRDefault="0031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0FD7C20B" w:rsidR="00CC27DF" w:rsidRDefault="00CC27DF">
    <w:pPr>
      <w:pStyle w:val="Footer"/>
      <w:jc w:val="center"/>
    </w:pPr>
    <w:r>
      <w:fldChar w:fldCharType="begin"/>
    </w:r>
    <w:r>
      <w:instrText xml:space="preserve"> PAGE   \* MERGEFORMAT </w:instrText>
    </w:r>
    <w:r>
      <w:fldChar w:fldCharType="separate"/>
    </w:r>
    <w:r w:rsidR="0033768A">
      <w:rPr>
        <w:noProof/>
      </w:rPr>
      <w:t>20</w:t>
    </w:r>
    <w:r>
      <w:rPr>
        <w:noProof/>
      </w:rPr>
      <w:fldChar w:fldCharType="end"/>
    </w:r>
  </w:p>
  <w:p w14:paraId="7716DCC5" w14:textId="77777777" w:rsidR="00CC27DF" w:rsidRDefault="00CC27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DF58" w14:textId="77777777" w:rsidR="00313BC5" w:rsidRDefault="00313BC5">
      <w:pPr>
        <w:spacing w:after="0" w:line="240" w:lineRule="auto"/>
      </w:pPr>
      <w:r>
        <w:separator/>
      </w:r>
    </w:p>
  </w:footnote>
  <w:footnote w:type="continuationSeparator" w:id="0">
    <w:p w14:paraId="61017744" w14:textId="77777777" w:rsidR="00313BC5" w:rsidRDefault="0031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5D39"/>
    <w:rsid w:val="000973EF"/>
    <w:rsid w:val="000A2B6C"/>
    <w:rsid w:val="000A6CA3"/>
    <w:rsid w:val="000B6CF0"/>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D13"/>
    <w:rsid w:val="001310E2"/>
    <w:rsid w:val="001312A0"/>
    <w:rsid w:val="00135E1B"/>
    <w:rsid w:val="0014122B"/>
    <w:rsid w:val="00145BAA"/>
    <w:rsid w:val="00145FA6"/>
    <w:rsid w:val="001534F6"/>
    <w:rsid w:val="00155CB9"/>
    <w:rsid w:val="00156709"/>
    <w:rsid w:val="0015696B"/>
    <w:rsid w:val="001578F4"/>
    <w:rsid w:val="00160494"/>
    <w:rsid w:val="001613D8"/>
    <w:rsid w:val="00164324"/>
    <w:rsid w:val="0017255D"/>
    <w:rsid w:val="001744E1"/>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62C"/>
    <w:rsid w:val="002A3281"/>
    <w:rsid w:val="002A38A0"/>
    <w:rsid w:val="002A3DCA"/>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3BC5"/>
    <w:rsid w:val="00314571"/>
    <w:rsid w:val="003205A1"/>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C4F"/>
    <w:rsid w:val="00C87E87"/>
    <w:rsid w:val="00C9198A"/>
    <w:rsid w:val="00C96413"/>
    <w:rsid w:val="00CA18E9"/>
    <w:rsid w:val="00CA537D"/>
    <w:rsid w:val="00CB07AD"/>
    <w:rsid w:val="00CB190A"/>
    <w:rsid w:val="00CB34D3"/>
    <w:rsid w:val="00CB4861"/>
    <w:rsid w:val="00CB4878"/>
    <w:rsid w:val="00CC06FF"/>
    <w:rsid w:val="00CC27DF"/>
    <w:rsid w:val="00CC4C90"/>
    <w:rsid w:val="00CD11A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2CB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3F63"/>
    <w:rsid w:val="00DB27E4"/>
    <w:rsid w:val="00DB308F"/>
    <w:rsid w:val="00DB3D24"/>
    <w:rsid w:val="00DB4385"/>
    <w:rsid w:val="00DB46A2"/>
    <w:rsid w:val="00DB4806"/>
    <w:rsid w:val="00DB6341"/>
    <w:rsid w:val="00DC2416"/>
    <w:rsid w:val="00DC4045"/>
    <w:rsid w:val="00DC42E9"/>
    <w:rsid w:val="00DC4B21"/>
    <w:rsid w:val="00DC6703"/>
    <w:rsid w:val="00DD0349"/>
    <w:rsid w:val="00DD2803"/>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5FCF"/>
    <w:rsid w:val="00E469A1"/>
    <w:rsid w:val="00E5226E"/>
    <w:rsid w:val="00E53FF7"/>
    <w:rsid w:val="00E5687B"/>
    <w:rsid w:val="00E56F59"/>
    <w:rsid w:val="00E60070"/>
    <w:rsid w:val="00E67F3C"/>
    <w:rsid w:val="00E7057E"/>
    <w:rsid w:val="00E7248F"/>
    <w:rsid w:val="00E73964"/>
    <w:rsid w:val="00E752EC"/>
    <w:rsid w:val="00E80030"/>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C5C78"/>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5031D-F0E7-4186-9993-13AB1451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5485</TotalTime>
  <Pages>139</Pages>
  <Words>46330</Words>
  <Characters>264083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309794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48</cp:revision>
  <cp:lastPrinted>2017-12-10T23:43:00Z</cp:lastPrinted>
  <dcterms:created xsi:type="dcterms:W3CDTF">2017-06-02T08:18:00Z</dcterms:created>
  <dcterms:modified xsi:type="dcterms:W3CDTF">2018-02-04T19:19:00Z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