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9D6365">
        <w:rPr>
          <w:noProof/>
        </w:rPr>
        <w:t>14 March 2017</w:t>
      </w:r>
      <w:r w:rsidR="007A15CE">
        <w:fldChar w:fldCharType="end"/>
      </w:r>
    </w:p>
    <w:p w:rsidR="00F77C82" w:rsidRPr="00C05534" w:rsidRDefault="00F77C82" w:rsidP="00C05534">
      <w:pPr>
        <w:pStyle w:val="Heading1"/>
      </w:pPr>
      <w:bookmarkStart w:id="1" w:name="_Toc477298105"/>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77298106"/>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77298107"/>
      <w:r w:rsidRPr="00C05534">
        <w:lastRenderedPageBreak/>
        <w:t>Contents</w:t>
      </w:r>
      <w:bookmarkEnd w:id="3"/>
    </w:p>
    <w:p w:rsidR="004C0CA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4C0CA9">
        <w:rPr>
          <w:noProof/>
        </w:rPr>
        <w:t>1</w:t>
      </w:r>
      <w:r w:rsidR="004C0CA9">
        <w:rPr>
          <w:rFonts w:asciiTheme="minorHAnsi" w:eastAsiaTheme="minorEastAsia" w:hAnsiTheme="minorHAnsi" w:cstheme="minorBidi"/>
          <w:noProof/>
          <w:szCs w:val="22"/>
          <w:lang w:eastAsia="en-GB"/>
        </w:rPr>
        <w:tab/>
      </w:r>
      <w:r w:rsidR="004C0CA9">
        <w:rPr>
          <w:noProof/>
        </w:rPr>
        <w:t>Acknowledgements and Citation</w:t>
      </w:r>
      <w:r w:rsidR="004C0CA9">
        <w:rPr>
          <w:noProof/>
        </w:rPr>
        <w:tab/>
      </w:r>
      <w:r w:rsidR="004C0CA9">
        <w:rPr>
          <w:noProof/>
        </w:rPr>
        <w:fldChar w:fldCharType="begin"/>
      </w:r>
      <w:r w:rsidR="004C0CA9">
        <w:rPr>
          <w:noProof/>
        </w:rPr>
        <w:instrText xml:space="preserve"> PAGEREF _Toc477298105 \h </w:instrText>
      </w:r>
      <w:r w:rsidR="004C0CA9">
        <w:rPr>
          <w:noProof/>
        </w:rPr>
      </w:r>
      <w:r w:rsidR="004C0CA9">
        <w:rPr>
          <w:noProof/>
        </w:rPr>
        <w:fldChar w:fldCharType="separate"/>
      </w:r>
      <w:r w:rsidR="009D6365">
        <w:rPr>
          <w:noProof/>
        </w:rPr>
        <w:t>2</w:t>
      </w:r>
      <w:r w:rsidR="004C0CA9">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_Toc477298106 \h </w:instrText>
      </w:r>
      <w:r>
        <w:rPr>
          <w:noProof/>
        </w:rPr>
      </w:r>
      <w:r>
        <w:rPr>
          <w:noProof/>
        </w:rPr>
        <w:fldChar w:fldCharType="separate"/>
      </w:r>
      <w:r w:rsidR="009D6365">
        <w:rPr>
          <w:noProof/>
        </w:rPr>
        <w:t>3</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_Toc477298107 \h </w:instrText>
      </w:r>
      <w:r>
        <w:rPr>
          <w:noProof/>
        </w:rPr>
      </w:r>
      <w:r>
        <w:rPr>
          <w:noProof/>
        </w:rPr>
        <w:fldChar w:fldCharType="separate"/>
      </w:r>
      <w:r w:rsidR="009D6365">
        <w:rPr>
          <w:noProof/>
        </w:rPr>
        <w:t>5</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_Toc477298108 \h </w:instrText>
      </w:r>
      <w:r>
        <w:rPr>
          <w:noProof/>
        </w:rPr>
      </w:r>
      <w:r>
        <w:rPr>
          <w:noProof/>
        </w:rPr>
        <w:fldChar w:fldCharType="separate"/>
      </w:r>
      <w:r w:rsidR="009D6365">
        <w:rPr>
          <w:noProof/>
        </w:rPr>
        <w:t>9</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_Toc477298109 \h </w:instrText>
      </w:r>
      <w:r>
        <w:rPr>
          <w:noProof/>
        </w:rPr>
      </w:r>
      <w:r>
        <w:rPr>
          <w:noProof/>
        </w:rPr>
        <w:fldChar w:fldCharType="separate"/>
      </w:r>
      <w:r w:rsidR="009D6365">
        <w:rPr>
          <w:noProof/>
        </w:rPr>
        <w:t>10</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_Toc477298110 \h </w:instrText>
      </w:r>
      <w:r>
        <w:rPr>
          <w:noProof/>
        </w:rPr>
      </w:r>
      <w:r>
        <w:rPr>
          <w:noProof/>
        </w:rPr>
        <w:fldChar w:fldCharType="separate"/>
      </w:r>
      <w:r w:rsidR="009D6365">
        <w:rPr>
          <w:noProof/>
        </w:rPr>
        <w:t>13</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_Toc477298111 \h </w:instrText>
      </w:r>
      <w:r>
        <w:rPr>
          <w:noProof/>
        </w:rPr>
      </w:r>
      <w:r>
        <w:rPr>
          <w:noProof/>
        </w:rPr>
        <w:fldChar w:fldCharType="separate"/>
      </w:r>
      <w:r w:rsidR="009D6365">
        <w:rPr>
          <w:noProof/>
        </w:rPr>
        <w:t>13</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_Toc477298112 \h </w:instrText>
      </w:r>
      <w:r>
        <w:rPr>
          <w:noProof/>
        </w:rPr>
      </w:r>
      <w:r>
        <w:rPr>
          <w:noProof/>
        </w:rPr>
        <w:fldChar w:fldCharType="separate"/>
      </w:r>
      <w:r w:rsidR="009D6365">
        <w:rPr>
          <w:noProof/>
        </w:rPr>
        <w:t>13</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_Toc477298113 \h </w:instrText>
      </w:r>
      <w:r>
        <w:rPr>
          <w:noProof/>
        </w:rPr>
      </w:r>
      <w:r>
        <w:rPr>
          <w:noProof/>
        </w:rPr>
        <w:fldChar w:fldCharType="separate"/>
      </w:r>
      <w:r w:rsidR="009D6365">
        <w:rPr>
          <w:noProof/>
        </w:rPr>
        <w:t>13</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_Toc477298114 \h </w:instrText>
      </w:r>
      <w:r>
        <w:rPr>
          <w:noProof/>
        </w:rPr>
      </w:r>
      <w:r>
        <w:rPr>
          <w:noProof/>
        </w:rPr>
        <w:fldChar w:fldCharType="separate"/>
      </w:r>
      <w:r w:rsidR="009D6365">
        <w:rPr>
          <w:noProof/>
        </w:rPr>
        <w:t>13</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_Toc477298115 \h </w:instrText>
      </w:r>
      <w:r>
        <w:rPr>
          <w:noProof/>
        </w:rPr>
      </w:r>
      <w:r>
        <w:rPr>
          <w:noProof/>
        </w:rPr>
        <w:fldChar w:fldCharType="separate"/>
      </w:r>
      <w:r w:rsidR="009D6365">
        <w:rPr>
          <w:noProof/>
        </w:rPr>
        <w:t>14</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_Toc477298116 \h </w:instrText>
      </w:r>
      <w:r>
        <w:rPr>
          <w:noProof/>
        </w:rPr>
      </w:r>
      <w:r>
        <w:rPr>
          <w:noProof/>
        </w:rPr>
        <w:fldChar w:fldCharType="separate"/>
      </w:r>
      <w:r w:rsidR="009D6365">
        <w:rPr>
          <w:noProof/>
        </w:rPr>
        <w:t>15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_Toc477298117 \h </w:instrText>
      </w:r>
      <w:r>
        <w:rPr>
          <w:noProof/>
        </w:rPr>
      </w:r>
      <w:r>
        <w:rPr>
          <w:noProof/>
        </w:rPr>
        <w:fldChar w:fldCharType="separate"/>
      </w:r>
      <w:r w:rsidR="009D6365">
        <w:rPr>
          <w:noProof/>
        </w:rPr>
        <w:t>15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_Toc477298118 \h </w:instrText>
      </w:r>
      <w:r>
        <w:rPr>
          <w:noProof/>
        </w:rPr>
      </w:r>
      <w:r>
        <w:rPr>
          <w:noProof/>
        </w:rPr>
        <w:fldChar w:fldCharType="separate"/>
      </w:r>
      <w:r w:rsidR="009D6365">
        <w:rPr>
          <w:noProof/>
        </w:rPr>
        <w:t>15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_Toc477298119 \h </w:instrText>
      </w:r>
      <w:r>
        <w:rPr>
          <w:noProof/>
        </w:rPr>
      </w:r>
      <w:r>
        <w:rPr>
          <w:noProof/>
        </w:rPr>
        <w:fldChar w:fldCharType="separate"/>
      </w:r>
      <w:r w:rsidR="009D6365">
        <w:rPr>
          <w:noProof/>
        </w:rPr>
        <w:t>16</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_Toc477298120 \h </w:instrText>
      </w:r>
      <w:r>
        <w:rPr>
          <w:noProof/>
        </w:rPr>
      </w:r>
      <w:r>
        <w:rPr>
          <w:noProof/>
        </w:rPr>
        <w:fldChar w:fldCharType="separate"/>
      </w:r>
      <w:r w:rsidR="009D6365">
        <w:rPr>
          <w:noProof/>
        </w:rPr>
        <w:t>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_Toc477298121 \h </w:instrText>
      </w:r>
      <w:r>
        <w:rPr>
          <w:noProof/>
        </w:rPr>
      </w:r>
      <w:r>
        <w:rPr>
          <w:noProof/>
        </w:rPr>
        <w:fldChar w:fldCharType="separate"/>
      </w:r>
      <w:r w:rsidR="009D6365">
        <w:rPr>
          <w:noProof/>
        </w:rPr>
        <w:t>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_Toc477298122 \h </w:instrText>
      </w:r>
      <w:r>
        <w:rPr>
          <w:noProof/>
        </w:rPr>
      </w:r>
      <w:r>
        <w:rPr>
          <w:noProof/>
        </w:rPr>
        <w:fldChar w:fldCharType="separate"/>
      </w:r>
      <w:r w:rsidR="009D6365">
        <w:rPr>
          <w:noProof/>
        </w:rPr>
        <w:t>19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_Toc477298123 \h </w:instrText>
      </w:r>
      <w:r>
        <w:rPr>
          <w:noProof/>
        </w:rPr>
      </w:r>
      <w:r>
        <w:rPr>
          <w:noProof/>
        </w:rPr>
        <w:fldChar w:fldCharType="separate"/>
      </w:r>
      <w:r w:rsidR="009D6365">
        <w:rPr>
          <w:noProof/>
        </w:rPr>
        <w:t>20</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_Toc477298124 \h </w:instrText>
      </w:r>
      <w:r>
        <w:rPr>
          <w:noProof/>
        </w:rPr>
      </w:r>
      <w:r>
        <w:rPr>
          <w:noProof/>
        </w:rPr>
        <w:fldChar w:fldCharType="separate"/>
      </w:r>
      <w:r w:rsidR="009D6365">
        <w:rPr>
          <w:noProof/>
        </w:rPr>
        <w:t>22</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_Toc477298125 \h </w:instrText>
      </w:r>
      <w:r>
        <w:rPr>
          <w:noProof/>
        </w:rPr>
      </w:r>
      <w:r>
        <w:rPr>
          <w:noProof/>
        </w:rPr>
        <w:fldChar w:fldCharType="separate"/>
      </w:r>
      <w:r w:rsidR="009D6365">
        <w:rPr>
          <w:noProof/>
        </w:rPr>
        <w:t>22</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_Toc477298126 \h </w:instrText>
      </w:r>
      <w:r>
        <w:rPr>
          <w:noProof/>
        </w:rPr>
      </w:r>
      <w:r>
        <w:rPr>
          <w:noProof/>
        </w:rPr>
        <w:fldChar w:fldCharType="separate"/>
      </w:r>
      <w:r w:rsidR="009D6365">
        <w:rPr>
          <w:noProof/>
        </w:rPr>
        <w:t>24</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_Toc477298127 \h </w:instrText>
      </w:r>
      <w:r>
        <w:rPr>
          <w:noProof/>
        </w:rPr>
      </w:r>
      <w:r>
        <w:rPr>
          <w:noProof/>
        </w:rPr>
        <w:fldChar w:fldCharType="separate"/>
      </w:r>
      <w:r w:rsidR="009D6365">
        <w:rPr>
          <w:noProof/>
        </w:rPr>
        <w:t>25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_Toc477298128 \h </w:instrText>
      </w:r>
      <w:r>
        <w:rPr>
          <w:noProof/>
        </w:rPr>
      </w:r>
      <w:r>
        <w:rPr>
          <w:noProof/>
        </w:rPr>
        <w:fldChar w:fldCharType="separate"/>
      </w:r>
      <w:r w:rsidR="009D6365">
        <w:rPr>
          <w:noProof/>
        </w:rPr>
        <w:t>26</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_Toc477298129 \h </w:instrText>
      </w:r>
      <w:r>
        <w:rPr>
          <w:noProof/>
        </w:rPr>
      </w:r>
      <w:r>
        <w:rPr>
          <w:noProof/>
        </w:rPr>
        <w:fldChar w:fldCharType="separate"/>
      </w:r>
      <w:r w:rsidR="009D6365">
        <w:rPr>
          <w:noProof/>
        </w:rPr>
        <w:t>30</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_Toc477298130 \h </w:instrText>
      </w:r>
      <w:r>
        <w:rPr>
          <w:noProof/>
        </w:rPr>
      </w:r>
      <w:r>
        <w:rPr>
          <w:noProof/>
        </w:rPr>
        <w:fldChar w:fldCharType="separate"/>
      </w:r>
      <w:r w:rsidR="009D6365">
        <w:rPr>
          <w:noProof/>
        </w:rPr>
        <w:t>33</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_Toc477298131 \h </w:instrText>
      </w:r>
      <w:r>
        <w:rPr>
          <w:noProof/>
        </w:rPr>
      </w:r>
      <w:r>
        <w:rPr>
          <w:noProof/>
        </w:rPr>
        <w:fldChar w:fldCharType="separate"/>
      </w:r>
      <w:r w:rsidR="009D6365">
        <w:rPr>
          <w:noProof/>
        </w:rPr>
        <w:t>37</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_Toc477298132 \h </w:instrText>
      </w:r>
      <w:r>
        <w:rPr>
          <w:noProof/>
        </w:rPr>
      </w:r>
      <w:r>
        <w:rPr>
          <w:noProof/>
        </w:rPr>
        <w:fldChar w:fldCharType="separate"/>
      </w:r>
      <w:r w:rsidR="009D6365">
        <w:rPr>
          <w:noProof/>
        </w:rPr>
        <w:t>38</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_Toc477298133 \h </w:instrText>
      </w:r>
      <w:r>
        <w:rPr>
          <w:noProof/>
        </w:rPr>
      </w:r>
      <w:r>
        <w:rPr>
          <w:noProof/>
        </w:rPr>
        <w:fldChar w:fldCharType="separate"/>
      </w:r>
      <w:r w:rsidR="009D6365">
        <w:rPr>
          <w:noProof/>
        </w:rPr>
        <w:t>39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_Toc477298134 \h </w:instrText>
      </w:r>
      <w:r>
        <w:rPr>
          <w:noProof/>
        </w:rPr>
      </w:r>
      <w:r>
        <w:rPr>
          <w:noProof/>
        </w:rPr>
        <w:fldChar w:fldCharType="separate"/>
      </w:r>
      <w:r w:rsidR="009D6365">
        <w:rPr>
          <w:noProof/>
        </w:rPr>
        <w:t>44</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_Toc477298135 \h </w:instrText>
      </w:r>
      <w:r>
        <w:rPr>
          <w:noProof/>
        </w:rPr>
      </w:r>
      <w:r>
        <w:rPr>
          <w:noProof/>
        </w:rPr>
        <w:fldChar w:fldCharType="separate"/>
      </w:r>
      <w:r w:rsidR="009D6365">
        <w:rPr>
          <w:noProof/>
        </w:rPr>
        <w:t>46</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_Toc477298136 \h </w:instrText>
      </w:r>
      <w:r>
        <w:rPr>
          <w:noProof/>
        </w:rPr>
      </w:r>
      <w:r>
        <w:rPr>
          <w:noProof/>
        </w:rPr>
        <w:fldChar w:fldCharType="separate"/>
      </w:r>
      <w:r w:rsidR="009D6365">
        <w:rPr>
          <w:noProof/>
        </w:rPr>
        <w:t>46</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_Toc477298137 \h </w:instrText>
      </w:r>
      <w:r>
        <w:rPr>
          <w:noProof/>
        </w:rPr>
      </w:r>
      <w:r>
        <w:rPr>
          <w:noProof/>
        </w:rPr>
        <w:fldChar w:fldCharType="separate"/>
      </w:r>
      <w:r w:rsidR="009D6365">
        <w:rPr>
          <w:noProof/>
        </w:rPr>
        <w:t>47</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_Toc477298138 \h </w:instrText>
      </w:r>
      <w:r>
        <w:rPr>
          <w:noProof/>
        </w:rPr>
      </w:r>
      <w:r>
        <w:rPr>
          <w:noProof/>
        </w:rPr>
        <w:fldChar w:fldCharType="separate"/>
      </w:r>
      <w:r w:rsidR="009D6365">
        <w:rPr>
          <w:noProof/>
        </w:rPr>
        <w:t>49</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_Toc477298139 \h </w:instrText>
      </w:r>
      <w:r>
        <w:rPr>
          <w:noProof/>
        </w:rPr>
      </w:r>
      <w:r>
        <w:rPr>
          <w:noProof/>
        </w:rPr>
        <w:fldChar w:fldCharType="separate"/>
      </w:r>
      <w:r w:rsidR="009D6365">
        <w:rPr>
          <w:noProof/>
        </w:rPr>
        <w:t>49</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_Toc477298140 \h </w:instrText>
      </w:r>
      <w:r>
        <w:rPr>
          <w:noProof/>
        </w:rPr>
      </w:r>
      <w:r>
        <w:rPr>
          <w:noProof/>
        </w:rPr>
        <w:fldChar w:fldCharType="separate"/>
      </w:r>
      <w:r w:rsidR="009D6365">
        <w:rPr>
          <w:noProof/>
        </w:rPr>
        <w:t>50</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_Toc477298141 \h </w:instrText>
      </w:r>
      <w:r>
        <w:rPr>
          <w:noProof/>
        </w:rPr>
      </w:r>
      <w:r>
        <w:rPr>
          <w:noProof/>
        </w:rPr>
        <w:fldChar w:fldCharType="separate"/>
      </w:r>
      <w:r w:rsidR="009D6365">
        <w:rPr>
          <w:noProof/>
        </w:rPr>
        <w:t>51</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_Toc477298142 \h </w:instrText>
      </w:r>
      <w:r>
        <w:rPr>
          <w:noProof/>
        </w:rPr>
      </w:r>
      <w:r>
        <w:rPr>
          <w:noProof/>
        </w:rPr>
        <w:fldChar w:fldCharType="separate"/>
      </w:r>
      <w:r w:rsidR="009D6365">
        <w:rPr>
          <w:noProof/>
        </w:rPr>
        <w:t>51</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_Toc477298143 \h </w:instrText>
      </w:r>
      <w:r>
        <w:rPr>
          <w:noProof/>
        </w:rPr>
      </w:r>
      <w:r>
        <w:rPr>
          <w:noProof/>
        </w:rPr>
        <w:fldChar w:fldCharType="separate"/>
      </w:r>
      <w:r w:rsidR="009D6365">
        <w:rPr>
          <w:noProof/>
        </w:rPr>
        <w:t>51</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_Toc477298144 \h </w:instrText>
      </w:r>
      <w:r>
        <w:rPr>
          <w:noProof/>
        </w:rPr>
      </w:r>
      <w:r>
        <w:rPr>
          <w:noProof/>
        </w:rPr>
        <w:fldChar w:fldCharType="separate"/>
      </w:r>
      <w:r w:rsidR="009D6365">
        <w:rPr>
          <w:noProof/>
        </w:rPr>
        <w:t>54</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_Toc477298145 \h </w:instrText>
      </w:r>
      <w:r>
        <w:rPr>
          <w:noProof/>
        </w:rPr>
      </w:r>
      <w:r>
        <w:rPr>
          <w:noProof/>
        </w:rPr>
        <w:fldChar w:fldCharType="separate"/>
      </w:r>
      <w:r w:rsidR="009D6365">
        <w:rPr>
          <w:noProof/>
        </w:rPr>
        <w:t>57</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_Toc477298146 \h </w:instrText>
      </w:r>
      <w:r>
        <w:rPr>
          <w:noProof/>
        </w:rPr>
      </w:r>
      <w:r>
        <w:rPr>
          <w:noProof/>
        </w:rPr>
        <w:fldChar w:fldCharType="separate"/>
      </w:r>
      <w:r w:rsidR="009D6365">
        <w:rPr>
          <w:noProof/>
        </w:rPr>
        <w:t>57</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_Toc477298147 \h </w:instrText>
      </w:r>
      <w:r>
        <w:rPr>
          <w:noProof/>
        </w:rPr>
      </w:r>
      <w:r>
        <w:rPr>
          <w:noProof/>
        </w:rPr>
        <w:fldChar w:fldCharType="separate"/>
      </w:r>
      <w:r w:rsidR="009D6365">
        <w:rPr>
          <w:noProof/>
        </w:rPr>
        <w:t>57</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_Toc477298148 \h </w:instrText>
      </w:r>
      <w:r>
        <w:rPr>
          <w:noProof/>
        </w:rPr>
      </w:r>
      <w:r>
        <w:rPr>
          <w:noProof/>
        </w:rPr>
        <w:fldChar w:fldCharType="separate"/>
      </w:r>
      <w:r w:rsidR="009D6365">
        <w:rPr>
          <w:noProof/>
        </w:rPr>
        <w:t>57</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2C06CA">
        <w:rPr>
          <w:i/>
          <w:noProof/>
        </w:rPr>
        <w:t>k</w:t>
      </w:r>
      <w:r>
        <w:rPr>
          <w:noProof/>
        </w:rPr>
        <w:t>(</w:t>
      </w:r>
      <w:r w:rsidRPr="002C06CA">
        <w:rPr>
          <w:i/>
          <w:noProof/>
        </w:rPr>
        <w:t>E</w:t>
      </w:r>
      <w:r>
        <w:rPr>
          <w:noProof/>
        </w:rPr>
        <w:t>)s &amp; Tunnelling Corrections</w:t>
      </w:r>
      <w:r>
        <w:rPr>
          <w:noProof/>
        </w:rPr>
        <w:tab/>
      </w:r>
      <w:r>
        <w:rPr>
          <w:noProof/>
        </w:rPr>
        <w:fldChar w:fldCharType="begin"/>
      </w:r>
      <w:r>
        <w:rPr>
          <w:noProof/>
        </w:rPr>
        <w:instrText xml:space="preserve"> PAGEREF _Toc477298149 \h </w:instrText>
      </w:r>
      <w:r>
        <w:rPr>
          <w:noProof/>
        </w:rPr>
      </w:r>
      <w:r>
        <w:rPr>
          <w:noProof/>
        </w:rPr>
        <w:fldChar w:fldCharType="separate"/>
      </w:r>
      <w:r w:rsidR="009D6365">
        <w:rPr>
          <w:noProof/>
        </w:rPr>
        <w:t>58</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_Toc477298150 \h </w:instrText>
      </w:r>
      <w:r>
        <w:rPr>
          <w:noProof/>
        </w:rPr>
      </w:r>
      <w:r>
        <w:rPr>
          <w:noProof/>
        </w:rPr>
        <w:fldChar w:fldCharType="separate"/>
      </w:r>
      <w:r w:rsidR="009D6365">
        <w:rPr>
          <w:noProof/>
        </w:rPr>
        <w:t>58</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_Toc477298151 \h </w:instrText>
      </w:r>
      <w:r>
        <w:rPr>
          <w:noProof/>
        </w:rPr>
      </w:r>
      <w:r>
        <w:rPr>
          <w:noProof/>
        </w:rPr>
        <w:fldChar w:fldCharType="separate"/>
      </w:r>
      <w:r w:rsidR="009D6365">
        <w:rPr>
          <w:noProof/>
        </w:rPr>
        <w:t>59</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_Toc477298152 \h </w:instrText>
      </w:r>
      <w:r>
        <w:rPr>
          <w:noProof/>
        </w:rPr>
      </w:r>
      <w:r>
        <w:rPr>
          <w:noProof/>
        </w:rPr>
        <w:fldChar w:fldCharType="separate"/>
      </w:r>
      <w:r w:rsidR="009D6365">
        <w:rPr>
          <w:noProof/>
        </w:rPr>
        <w:t>60</w:t>
      </w:r>
      <w:r>
        <w:rPr>
          <w:noProof/>
        </w:rPr>
        <w:fldChar w:fldCharType="end"/>
      </w:r>
    </w:p>
    <w:p w:rsidR="004C0CA9" w:rsidRDefault="004C0CA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_Toc477298153 \h </w:instrText>
      </w:r>
      <w:r>
        <w:rPr>
          <w:noProof/>
        </w:rPr>
      </w:r>
      <w:r>
        <w:rPr>
          <w:noProof/>
        </w:rPr>
        <w:fldChar w:fldCharType="separate"/>
      </w:r>
      <w:r w:rsidR="009D6365">
        <w:rPr>
          <w:noProof/>
        </w:rPr>
        <w:t>61</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_Toc477298154 \h </w:instrText>
      </w:r>
      <w:r>
        <w:rPr>
          <w:noProof/>
        </w:rPr>
      </w:r>
      <w:r>
        <w:rPr>
          <w:noProof/>
        </w:rPr>
        <w:fldChar w:fldCharType="separate"/>
      </w:r>
      <w:r w:rsidR="009D6365">
        <w:rPr>
          <w:noProof/>
        </w:rPr>
        <w:t>62</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_Toc477298155 \h </w:instrText>
      </w:r>
      <w:r>
        <w:rPr>
          <w:noProof/>
        </w:rPr>
      </w:r>
      <w:r>
        <w:rPr>
          <w:noProof/>
        </w:rPr>
        <w:fldChar w:fldCharType="separate"/>
      </w:r>
      <w:r w:rsidR="009D6365">
        <w:rPr>
          <w:noProof/>
        </w:rPr>
        <w:t>63</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_Toc477298156 \h </w:instrText>
      </w:r>
      <w:r>
        <w:rPr>
          <w:noProof/>
        </w:rPr>
      </w:r>
      <w:r>
        <w:rPr>
          <w:noProof/>
        </w:rPr>
        <w:fldChar w:fldCharType="separate"/>
      </w:r>
      <w:r w:rsidR="009D6365">
        <w:rPr>
          <w:noProof/>
        </w:rPr>
        <w:t>65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_Toc477298157 \h </w:instrText>
      </w:r>
      <w:r>
        <w:rPr>
          <w:noProof/>
        </w:rPr>
      </w:r>
      <w:r>
        <w:rPr>
          <w:noProof/>
        </w:rPr>
        <w:fldChar w:fldCharType="separate"/>
      </w:r>
      <w:r w:rsidR="009D6365">
        <w:rPr>
          <w:noProof/>
        </w:rPr>
        <w:t>65</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_Toc477298158 \h </w:instrText>
      </w:r>
      <w:r>
        <w:rPr>
          <w:noProof/>
        </w:rPr>
      </w:r>
      <w:r>
        <w:rPr>
          <w:noProof/>
        </w:rPr>
        <w:fldChar w:fldCharType="separate"/>
      </w:r>
      <w:r w:rsidR="009D6365">
        <w:rPr>
          <w:noProof/>
        </w:rPr>
        <w:t>66</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_Toc477298159 \h </w:instrText>
      </w:r>
      <w:r>
        <w:rPr>
          <w:noProof/>
        </w:rPr>
      </w:r>
      <w:r>
        <w:rPr>
          <w:noProof/>
        </w:rPr>
        <w:fldChar w:fldCharType="separate"/>
      </w:r>
      <w:r w:rsidR="009D6365">
        <w:rPr>
          <w:noProof/>
        </w:rPr>
        <w:t>66</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_Toc477298160 \h </w:instrText>
      </w:r>
      <w:r>
        <w:rPr>
          <w:noProof/>
        </w:rPr>
      </w:r>
      <w:r>
        <w:rPr>
          <w:noProof/>
        </w:rPr>
        <w:fldChar w:fldCharType="separate"/>
      </w:r>
      <w:r w:rsidR="009D6365">
        <w:rPr>
          <w:noProof/>
        </w:rPr>
        <w:t>67</w:t>
      </w:r>
      <w:r>
        <w:rPr>
          <w:noProof/>
        </w:rPr>
        <w:fldChar w:fldCharType="end"/>
      </w:r>
    </w:p>
    <w:p w:rsidR="004C0CA9" w:rsidRDefault="004C0CA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_Toc477298161 \h </w:instrText>
      </w:r>
      <w:r>
        <w:rPr>
          <w:noProof/>
        </w:rPr>
      </w:r>
      <w:r>
        <w:rPr>
          <w:noProof/>
        </w:rPr>
        <w:fldChar w:fldCharType="separate"/>
      </w:r>
      <w:r w:rsidR="009D6365">
        <w:rPr>
          <w:noProof/>
        </w:rPr>
        <w:t>67</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_Toc477298162 \h </w:instrText>
      </w:r>
      <w:r>
        <w:rPr>
          <w:noProof/>
        </w:rPr>
      </w:r>
      <w:r>
        <w:rPr>
          <w:noProof/>
        </w:rPr>
        <w:fldChar w:fldCharType="separate"/>
      </w:r>
      <w:r w:rsidR="009D6365">
        <w:rPr>
          <w:noProof/>
        </w:rPr>
        <w:t>68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_Toc477298163 \h </w:instrText>
      </w:r>
      <w:r>
        <w:rPr>
          <w:noProof/>
        </w:rPr>
      </w:r>
      <w:r>
        <w:rPr>
          <w:noProof/>
        </w:rPr>
        <w:fldChar w:fldCharType="separate"/>
      </w:r>
      <w:r w:rsidR="009D6365">
        <w:rPr>
          <w:noProof/>
        </w:rPr>
        <w:t>68</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_Toc477298164 \h </w:instrText>
      </w:r>
      <w:r>
        <w:rPr>
          <w:noProof/>
        </w:rPr>
      </w:r>
      <w:r>
        <w:rPr>
          <w:noProof/>
        </w:rPr>
        <w:fldChar w:fldCharType="separate"/>
      </w:r>
      <w:r w:rsidR="009D6365">
        <w:rPr>
          <w:noProof/>
        </w:rPr>
        <w:t>69</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_Toc477298165 \h </w:instrText>
      </w:r>
      <w:r>
        <w:rPr>
          <w:noProof/>
        </w:rPr>
      </w:r>
      <w:r>
        <w:rPr>
          <w:noProof/>
        </w:rPr>
        <w:fldChar w:fldCharType="separate"/>
      </w:r>
      <w:r w:rsidR="009D6365">
        <w:rPr>
          <w:noProof/>
        </w:rPr>
        <w:t>70</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2C06CA">
        <w:rPr>
          <w:noProof/>
          <w:vertAlign w:val="subscript"/>
        </w:rPr>
        <w:t>2</w:t>
      </w:r>
      <w:r>
        <w:rPr>
          <w:noProof/>
        </w:rPr>
        <w:tab/>
      </w:r>
      <w:r>
        <w:rPr>
          <w:noProof/>
        </w:rPr>
        <w:fldChar w:fldCharType="begin"/>
      </w:r>
      <w:r>
        <w:rPr>
          <w:noProof/>
        </w:rPr>
        <w:instrText xml:space="preserve"> PAGEREF _Toc477298166 \h </w:instrText>
      </w:r>
      <w:r>
        <w:rPr>
          <w:noProof/>
        </w:rPr>
      </w:r>
      <w:r>
        <w:rPr>
          <w:noProof/>
        </w:rPr>
        <w:fldChar w:fldCharType="separate"/>
      </w:r>
      <w:r w:rsidR="009D6365">
        <w:rPr>
          <w:noProof/>
        </w:rPr>
        <w:t>71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2C06CA">
        <w:rPr>
          <w:noProof/>
          <w:vertAlign w:val="subscript"/>
        </w:rPr>
        <w:t>2</w:t>
      </w:r>
      <w:r>
        <w:rPr>
          <w:noProof/>
        </w:rPr>
        <w:t>H</w:t>
      </w:r>
      <w:r w:rsidRPr="002C06CA">
        <w:rPr>
          <w:noProof/>
          <w:vertAlign w:val="subscript"/>
        </w:rPr>
        <w:t>2</w:t>
      </w:r>
      <w:r>
        <w:rPr>
          <w:noProof/>
        </w:rPr>
        <w:tab/>
      </w:r>
      <w:r>
        <w:rPr>
          <w:noProof/>
        </w:rPr>
        <w:fldChar w:fldCharType="begin"/>
      </w:r>
      <w:r>
        <w:rPr>
          <w:noProof/>
        </w:rPr>
        <w:instrText xml:space="preserve"> PAGEREF _Toc477298167 \h </w:instrText>
      </w:r>
      <w:r>
        <w:rPr>
          <w:noProof/>
        </w:rPr>
      </w:r>
      <w:r>
        <w:rPr>
          <w:noProof/>
        </w:rPr>
        <w:fldChar w:fldCharType="separate"/>
      </w:r>
      <w:r w:rsidR="009D6365">
        <w:rPr>
          <w:noProof/>
        </w:rPr>
        <w:t>72</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2C06CA">
        <w:rPr>
          <w:noProof/>
          <w:vertAlign w:val="subscript"/>
        </w:rPr>
        <w:t>3</w:t>
      </w:r>
      <w:r>
        <w:rPr>
          <w:noProof/>
        </w:rPr>
        <w:t>CO + O</w:t>
      </w:r>
      <w:r w:rsidRPr="002C06CA">
        <w:rPr>
          <w:noProof/>
          <w:vertAlign w:val="subscript"/>
        </w:rPr>
        <w:t>2</w:t>
      </w:r>
      <w:r>
        <w:rPr>
          <w:noProof/>
        </w:rPr>
        <w:tab/>
      </w:r>
      <w:r>
        <w:rPr>
          <w:noProof/>
        </w:rPr>
        <w:fldChar w:fldCharType="begin"/>
      </w:r>
      <w:r>
        <w:rPr>
          <w:noProof/>
        </w:rPr>
        <w:instrText xml:space="preserve"> PAGEREF _Toc477298168 \h </w:instrText>
      </w:r>
      <w:r>
        <w:rPr>
          <w:noProof/>
        </w:rPr>
      </w:r>
      <w:r>
        <w:rPr>
          <w:noProof/>
        </w:rPr>
        <w:fldChar w:fldCharType="separate"/>
      </w:r>
      <w:r w:rsidR="009D6365">
        <w:rPr>
          <w:noProof/>
        </w:rPr>
        <w:t>73</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2C06CA">
        <w:rPr>
          <w:i/>
          <w:noProof/>
        </w:rPr>
        <w:t>i-</w:t>
      </w:r>
      <w:r>
        <w:rPr>
          <w:noProof/>
        </w:rPr>
        <w:t>propyl)</w:t>
      </w:r>
      <w:r>
        <w:rPr>
          <w:noProof/>
        </w:rPr>
        <w:tab/>
      </w:r>
      <w:r>
        <w:rPr>
          <w:noProof/>
        </w:rPr>
        <w:fldChar w:fldCharType="begin"/>
      </w:r>
      <w:r>
        <w:rPr>
          <w:noProof/>
        </w:rPr>
        <w:instrText xml:space="preserve"> PAGEREF _Toc477298169 \h </w:instrText>
      </w:r>
      <w:r>
        <w:rPr>
          <w:noProof/>
        </w:rPr>
      </w:r>
      <w:r>
        <w:rPr>
          <w:noProof/>
        </w:rPr>
        <w:fldChar w:fldCharType="separate"/>
      </w:r>
      <w:r w:rsidR="009D6365">
        <w:rPr>
          <w:noProof/>
        </w:rPr>
        <w:t>73</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_Toc477298170 \h </w:instrText>
      </w:r>
      <w:r>
        <w:rPr>
          <w:noProof/>
        </w:rPr>
      </w:r>
      <w:r>
        <w:rPr>
          <w:noProof/>
        </w:rPr>
        <w:fldChar w:fldCharType="separate"/>
      </w:r>
      <w:r w:rsidR="009D6365">
        <w:rPr>
          <w:noProof/>
        </w:rPr>
        <w:t>74</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_Toc477298171 \h </w:instrText>
      </w:r>
      <w:r>
        <w:rPr>
          <w:noProof/>
        </w:rPr>
      </w:r>
      <w:r>
        <w:rPr>
          <w:noProof/>
        </w:rPr>
        <w:fldChar w:fldCharType="separate"/>
      </w:r>
      <w:r w:rsidR="009D6365">
        <w:rPr>
          <w:noProof/>
        </w:rPr>
        <w:t>74</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_Toc477298172 \h </w:instrText>
      </w:r>
      <w:r>
        <w:rPr>
          <w:noProof/>
        </w:rPr>
      </w:r>
      <w:r>
        <w:rPr>
          <w:noProof/>
        </w:rPr>
        <w:fldChar w:fldCharType="separate"/>
      </w:r>
      <w:r w:rsidR="009D6365">
        <w:rPr>
          <w:noProof/>
        </w:rPr>
        <w:t>74</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_Toc477298173 \h </w:instrText>
      </w:r>
      <w:r>
        <w:rPr>
          <w:noProof/>
        </w:rPr>
      </w:r>
      <w:r>
        <w:rPr>
          <w:noProof/>
        </w:rPr>
        <w:fldChar w:fldCharType="separate"/>
      </w:r>
      <w:r w:rsidR="009D6365">
        <w:rPr>
          <w:noProof/>
        </w:rPr>
        <w:t>75</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_Toc477298174 \h </w:instrText>
      </w:r>
      <w:r>
        <w:rPr>
          <w:noProof/>
        </w:rPr>
      </w:r>
      <w:r>
        <w:rPr>
          <w:noProof/>
        </w:rPr>
        <w:fldChar w:fldCharType="separate"/>
      </w:r>
      <w:r w:rsidR="009D6365">
        <w:rPr>
          <w:noProof/>
        </w:rPr>
        <w:t>79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_Toc477298175 \h </w:instrText>
      </w:r>
      <w:r>
        <w:rPr>
          <w:noProof/>
        </w:rPr>
      </w:r>
      <w:r>
        <w:rPr>
          <w:noProof/>
        </w:rPr>
        <w:fldChar w:fldCharType="separate"/>
      </w:r>
      <w:r w:rsidR="009D6365">
        <w:rPr>
          <w:noProof/>
        </w:rPr>
        <w:t>79</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_Toc477298176 \h </w:instrText>
      </w:r>
      <w:r>
        <w:rPr>
          <w:noProof/>
        </w:rPr>
      </w:r>
      <w:r>
        <w:rPr>
          <w:noProof/>
        </w:rPr>
        <w:fldChar w:fldCharType="separate"/>
      </w:r>
      <w:r w:rsidR="009D6365">
        <w:rPr>
          <w:noProof/>
        </w:rPr>
        <w:t>80</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_Toc477298177 \h </w:instrText>
      </w:r>
      <w:r>
        <w:rPr>
          <w:noProof/>
        </w:rPr>
      </w:r>
      <w:r>
        <w:rPr>
          <w:noProof/>
        </w:rPr>
        <w:fldChar w:fldCharType="separate"/>
      </w:r>
      <w:r w:rsidR="009D6365">
        <w:rPr>
          <w:noProof/>
        </w:rPr>
        <w:t>80</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_Toc477298178 \h </w:instrText>
      </w:r>
      <w:r>
        <w:rPr>
          <w:noProof/>
        </w:rPr>
      </w:r>
      <w:r>
        <w:rPr>
          <w:noProof/>
        </w:rPr>
        <w:fldChar w:fldCharType="separate"/>
      </w:r>
      <w:r w:rsidR="009D6365">
        <w:rPr>
          <w:noProof/>
        </w:rPr>
        <w:t>80</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_Toc477298179 \h </w:instrText>
      </w:r>
      <w:r>
        <w:rPr>
          <w:noProof/>
        </w:rPr>
      </w:r>
      <w:r>
        <w:rPr>
          <w:noProof/>
        </w:rPr>
        <w:fldChar w:fldCharType="separate"/>
      </w:r>
      <w:r w:rsidR="009D6365">
        <w:rPr>
          <w:noProof/>
        </w:rPr>
        <w:t>80</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_Toc477298180 \h </w:instrText>
      </w:r>
      <w:r>
        <w:rPr>
          <w:noProof/>
        </w:rPr>
      </w:r>
      <w:r>
        <w:rPr>
          <w:noProof/>
        </w:rPr>
        <w:fldChar w:fldCharType="separate"/>
      </w:r>
      <w:r w:rsidR="009D6365">
        <w:rPr>
          <w:noProof/>
        </w:rPr>
        <w:t>81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_Toc477298181 \h </w:instrText>
      </w:r>
      <w:r>
        <w:rPr>
          <w:noProof/>
        </w:rPr>
      </w:r>
      <w:r>
        <w:rPr>
          <w:noProof/>
        </w:rPr>
        <w:fldChar w:fldCharType="separate"/>
      </w:r>
      <w:r w:rsidR="009D6365">
        <w:rPr>
          <w:noProof/>
        </w:rPr>
        <w:t>81</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_Toc477298182 \h </w:instrText>
      </w:r>
      <w:r>
        <w:rPr>
          <w:noProof/>
        </w:rPr>
      </w:r>
      <w:r>
        <w:rPr>
          <w:noProof/>
        </w:rPr>
        <w:fldChar w:fldCharType="separate"/>
      </w:r>
      <w:r w:rsidR="009D6365">
        <w:rPr>
          <w:noProof/>
        </w:rPr>
        <w:t>81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_Toc477298183 \h </w:instrText>
      </w:r>
      <w:r>
        <w:rPr>
          <w:noProof/>
        </w:rPr>
      </w:r>
      <w:r>
        <w:rPr>
          <w:noProof/>
        </w:rPr>
        <w:fldChar w:fldCharType="separate"/>
      </w:r>
      <w:r w:rsidR="009D6365">
        <w:rPr>
          <w:noProof/>
        </w:rPr>
        <w:t>81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_Toc477298184 \h </w:instrText>
      </w:r>
      <w:r>
        <w:rPr>
          <w:noProof/>
        </w:rPr>
      </w:r>
      <w:r>
        <w:rPr>
          <w:noProof/>
        </w:rPr>
        <w:fldChar w:fldCharType="separate"/>
      </w:r>
      <w:r w:rsidR="009D6365">
        <w:rPr>
          <w:noProof/>
        </w:rPr>
        <w:t>89</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_Toc477298185 \h </w:instrText>
      </w:r>
      <w:r>
        <w:rPr>
          <w:noProof/>
        </w:rPr>
      </w:r>
      <w:r>
        <w:rPr>
          <w:noProof/>
        </w:rPr>
        <w:fldChar w:fldCharType="separate"/>
      </w:r>
      <w:r w:rsidR="009D6365">
        <w:rPr>
          <w:noProof/>
        </w:rPr>
        <w:t>91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_Toc477298186 \h </w:instrText>
      </w:r>
      <w:r>
        <w:rPr>
          <w:noProof/>
        </w:rPr>
      </w:r>
      <w:r>
        <w:rPr>
          <w:noProof/>
        </w:rPr>
        <w:fldChar w:fldCharType="separate"/>
      </w:r>
      <w:r w:rsidR="009D6365">
        <w:rPr>
          <w:noProof/>
        </w:rPr>
        <w:t>94</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_Toc477298187 \h </w:instrText>
      </w:r>
      <w:r>
        <w:rPr>
          <w:noProof/>
        </w:rPr>
      </w:r>
      <w:r>
        <w:rPr>
          <w:noProof/>
        </w:rPr>
        <w:fldChar w:fldCharType="separate"/>
      </w:r>
      <w:r w:rsidR="009D6365">
        <w:rPr>
          <w:noProof/>
        </w:rPr>
        <w:t>96</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_Toc477298188 \h </w:instrText>
      </w:r>
      <w:r>
        <w:rPr>
          <w:noProof/>
        </w:rPr>
      </w:r>
      <w:r>
        <w:rPr>
          <w:noProof/>
        </w:rPr>
        <w:fldChar w:fldCharType="separate"/>
      </w:r>
      <w:r w:rsidR="009D6365">
        <w:rPr>
          <w:noProof/>
        </w:rPr>
        <w:t>98</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_Toc477298189 \h </w:instrText>
      </w:r>
      <w:r>
        <w:rPr>
          <w:noProof/>
        </w:rPr>
      </w:r>
      <w:r>
        <w:rPr>
          <w:noProof/>
        </w:rPr>
        <w:fldChar w:fldCharType="separate"/>
      </w:r>
      <w:r w:rsidR="009D6365">
        <w:rPr>
          <w:noProof/>
        </w:rPr>
        <w:t>100</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_Toc477298190 \h </w:instrText>
      </w:r>
      <w:r>
        <w:rPr>
          <w:noProof/>
        </w:rPr>
      </w:r>
      <w:r>
        <w:rPr>
          <w:noProof/>
        </w:rPr>
        <w:fldChar w:fldCharType="separate"/>
      </w:r>
      <w:r w:rsidR="009D6365">
        <w:rPr>
          <w:noProof/>
        </w:rPr>
        <w:t>103</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_Toc477298191 \h </w:instrText>
      </w:r>
      <w:r>
        <w:rPr>
          <w:noProof/>
        </w:rPr>
      </w:r>
      <w:r>
        <w:rPr>
          <w:noProof/>
        </w:rPr>
        <w:fldChar w:fldCharType="separate"/>
      </w:r>
      <w:r w:rsidR="009D6365">
        <w:rPr>
          <w:noProof/>
        </w:rPr>
        <w:t>103</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_Toc477298192 \h </w:instrText>
      </w:r>
      <w:r>
        <w:rPr>
          <w:noProof/>
        </w:rPr>
      </w:r>
      <w:r>
        <w:rPr>
          <w:noProof/>
        </w:rPr>
        <w:fldChar w:fldCharType="separate"/>
      </w:r>
      <w:r w:rsidR="009D6365">
        <w:rPr>
          <w:noProof/>
        </w:rPr>
        <w:t>109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_Toc477298193 \h </w:instrText>
      </w:r>
      <w:r>
        <w:rPr>
          <w:noProof/>
        </w:rPr>
      </w:r>
      <w:r>
        <w:rPr>
          <w:noProof/>
        </w:rPr>
        <w:fldChar w:fldCharType="separate"/>
      </w:r>
      <w:r w:rsidR="009D6365">
        <w:rPr>
          <w:noProof/>
        </w:rPr>
        <w:t>111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_Toc477298194 \h </w:instrText>
      </w:r>
      <w:r>
        <w:rPr>
          <w:noProof/>
        </w:rPr>
      </w:r>
      <w:r>
        <w:rPr>
          <w:noProof/>
        </w:rPr>
        <w:fldChar w:fldCharType="separate"/>
      </w:r>
      <w:r w:rsidR="009D6365">
        <w:rPr>
          <w:noProof/>
        </w:rPr>
        <w:t>111</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_Toc477298195 \h </w:instrText>
      </w:r>
      <w:r>
        <w:rPr>
          <w:noProof/>
        </w:rPr>
      </w:r>
      <w:r>
        <w:rPr>
          <w:noProof/>
        </w:rPr>
        <w:fldChar w:fldCharType="separate"/>
      </w:r>
      <w:r w:rsidR="009D6365">
        <w:rPr>
          <w:noProof/>
        </w:rPr>
        <w:t>113</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_Toc477298196 \h </w:instrText>
      </w:r>
      <w:r>
        <w:rPr>
          <w:noProof/>
        </w:rPr>
      </w:r>
      <w:r>
        <w:rPr>
          <w:noProof/>
        </w:rPr>
        <w:fldChar w:fldCharType="separate"/>
      </w:r>
      <w:r w:rsidR="009D6365">
        <w:rPr>
          <w:noProof/>
        </w:rPr>
        <w:t>114</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_Toc477298197 \h </w:instrText>
      </w:r>
      <w:r>
        <w:rPr>
          <w:noProof/>
        </w:rPr>
      </w:r>
      <w:r>
        <w:rPr>
          <w:noProof/>
        </w:rPr>
        <w:fldChar w:fldCharType="separate"/>
      </w:r>
      <w:r w:rsidR="009D6365">
        <w:rPr>
          <w:noProof/>
        </w:rPr>
        <w:t>114</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_Toc477298198 \h </w:instrText>
      </w:r>
      <w:r>
        <w:rPr>
          <w:noProof/>
        </w:rPr>
      </w:r>
      <w:r>
        <w:rPr>
          <w:noProof/>
        </w:rPr>
        <w:fldChar w:fldCharType="separate"/>
      </w:r>
      <w:r w:rsidR="009D6365">
        <w:rPr>
          <w:noProof/>
        </w:rPr>
        <w:t>116</w:t>
      </w:r>
      <w:r>
        <w:rPr>
          <w:noProof/>
        </w:rPr>
        <w:fldChar w:fldCharType="end"/>
      </w:r>
    </w:p>
    <w:p w:rsidR="004C0CA9" w:rsidRDefault="004C0CA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_Toc477298199 \h </w:instrText>
      </w:r>
      <w:r>
        <w:rPr>
          <w:noProof/>
        </w:rPr>
      </w:r>
      <w:r>
        <w:rPr>
          <w:noProof/>
        </w:rPr>
        <w:fldChar w:fldCharType="separate"/>
      </w:r>
      <w:r w:rsidR="009D6365">
        <w:rPr>
          <w:noProof/>
        </w:rPr>
        <w:t>116</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_Toc477298200 \h </w:instrText>
      </w:r>
      <w:r>
        <w:rPr>
          <w:noProof/>
        </w:rPr>
      </w:r>
      <w:r>
        <w:rPr>
          <w:noProof/>
        </w:rPr>
        <w:fldChar w:fldCharType="separate"/>
      </w:r>
      <w:r w:rsidR="009D6365">
        <w:rPr>
          <w:noProof/>
        </w:rPr>
        <w:t>118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_Toc477298201 \h </w:instrText>
      </w:r>
      <w:r>
        <w:rPr>
          <w:noProof/>
        </w:rPr>
      </w:r>
      <w:r>
        <w:rPr>
          <w:noProof/>
        </w:rPr>
        <w:fldChar w:fldCharType="separate"/>
      </w:r>
      <w:r w:rsidR="009D6365">
        <w:rPr>
          <w:noProof/>
        </w:rPr>
        <w:t>118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_Toc477298202 \h </w:instrText>
      </w:r>
      <w:r>
        <w:rPr>
          <w:noProof/>
        </w:rPr>
      </w:r>
      <w:r>
        <w:rPr>
          <w:noProof/>
        </w:rPr>
        <w:fldChar w:fldCharType="separate"/>
      </w:r>
      <w:r w:rsidR="009D6365">
        <w:rPr>
          <w:noProof/>
        </w:rPr>
        <w:t>118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_Toc477298203 \h </w:instrText>
      </w:r>
      <w:r>
        <w:rPr>
          <w:noProof/>
        </w:rPr>
      </w:r>
      <w:r>
        <w:rPr>
          <w:noProof/>
        </w:rPr>
        <w:fldChar w:fldCharType="separate"/>
      </w:r>
      <w:r w:rsidR="009D6365">
        <w:rPr>
          <w:noProof/>
        </w:rPr>
        <w:t>118</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_Toc477298204 \h </w:instrText>
      </w:r>
      <w:r>
        <w:rPr>
          <w:noProof/>
        </w:rPr>
      </w:r>
      <w:r>
        <w:rPr>
          <w:noProof/>
        </w:rPr>
        <w:fldChar w:fldCharType="separate"/>
      </w:r>
      <w:r w:rsidR="009D6365">
        <w:rPr>
          <w:noProof/>
        </w:rPr>
        <w:t>119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_Toc477298205 \h </w:instrText>
      </w:r>
      <w:r>
        <w:rPr>
          <w:noProof/>
        </w:rPr>
      </w:r>
      <w:r>
        <w:rPr>
          <w:noProof/>
        </w:rPr>
        <w:fldChar w:fldCharType="separate"/>
      </w:r>
      <w:r w:rsidR="009D6365">
        <w:rPr>
          <w:noProof/>
        </w:rPr>
        <w:t>119</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_Toc477298206 \h </w:instrText>
      </w:r>
      <w:r>
        <w:rPr>
          <w:noProof/>
        </w:rPr>
      </w:r>
      <w:r>
        <w:rPr>
          <w:noProof/>
        </w:rPr>
        <w:fldChar w:fldCharType="separate"/>
      </w:r>
      <w:r w:rsidR="009D6365">
        <w:rPr>
          <w:noProof/>
        </w:rPr>
        <w:t>120</w:t>
      </w:r>
      <w:r>
        <w:rPr>
          <w:noProof/>
        </w:rPr>
        <w:fldChar w:fldCharType="end"/>
      </w:r>
    </w:p>
    <w:p w:rsidR="004C0CA9" w:rsidRDefault="004C0CA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_Toc477298207 \h </w:instrText>
      </w:r>
      <w:r>
        <w:rPr>
          <w:noProof/>
        </w:rPr>
      </w:r>
      <w:r>
        <w:rPr>
          <w:noProof/>
        </w:rPr>
        <w:fldChar w:fldCharType="separate"/>
      </w:r>
      <w:r w:rsidR="009D6365">
        <w:rPr>
          <w:noProof/>
        </w:rPr>
        <w:t>120</w:t>
      </w:r>
      <w:r>
        <w:rPr>
          <w:noProof/>
        </w:rPr>
        <w:fldChar w:fldCharType="end"/>
      </w:r>
    </w:p>
    <w:p w:rsidR="004C0CA9" w:rsidRDefault="004C0CA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_Toc477298208 \h </w:instrText>
      </w:r>
      <w:r>
        <w:rPr>
          <w:noProof/>
        </w:rPr>
      </w:r>
      <w:r>
        <w:rPr>
          <w:noProof/>
        </w:rPr>
        <w:fldChar w:fldCharType="separate"/>
      </w:r>
      <w:r w:rsidR="009D6365">
        <w:rPr>
          <w:noProof/>
        </w:rPr>
        <w:t>122</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77298108"/>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t>s ???</w:t>
      </w:r>
      <w:r w:rsidR="00277C5B">
        <w:t>)</w:t>
      </w:r>
      <w:r w:rsidR="00D94D1F">
        <w:t>.</w:t>
      </w:r>
    </w:p>
    <w:p w:rsidR="00565B61" w:rsidRDefault="0024773E" w:rsidP="00812945">
      <w:pPr>
        <w:numPr>
          <w:ilvl w:val="0"/>
          <w:numId w:val="3"/>
        </w:numPr>
        <w:ind w:left="357" w:firstLine="0"/>
      </w:pPr>
      <w:r>
        <w:t>Extended dissociation distribution.</w:t>
      </w:r>
    </w:p>
    <w:p w:rsidR="0024773E" w:rsidRDefault="0024773E" w:rsidP="00812945">
      <w:pPr>
        <w:numPr>
          <w:ilvl w:val="0"/>
          <w:numId w:val="3"/>
        </w:numPr>
        <w:ind w:left="357" w:firstLine="0"/>
      </w:pPr>
      <w:r>
        <w:t>New class for reading in density of states</w:t>
      </w:r>
    </w:p>
    <w:p w:rsidR="0024773E" w:rsidRDefault="0024773E" w:rsidP="00812945">
      <w:pPr>
        <w:numPr>
          <w:ilvl w:val="0"/>
          <w:numId w:val="3"/>
        </w:numPr>
        <w:ind w:left="357" w:firstLine="0"/>
      </w:pPr>
      <w:r>
        <w:t xml:space="preserve">New vibrational state calculator </w:t>
      </w:r>
    </w:p>
    <w:p w:rsidR="00812945" w:rsidRPr="00812945" w:rsidRDefault="00812945" w:rsidP="00BB62FE">
      <w:pPr>
        <w:pStyle w:val="ListParagraph"/>
        <w:ind w:left="717"/>
      </w:pPr>
    </w:p>
    <w:p w:rsidR="00F77C82" w:rsidRPr="00C05534" w:rsidRDefault="00F77C82" w:rsidP="00C05534">
      <w:pPr>
        <w:pStyle w:val="Heading1"/>
      </w:pPr>
      <w:bookmarkStart w:id="5" w:name="_Toc47729810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7729811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77298111"/>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761824"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77298112"/>
      <w:r>
        <w:t>Windows</w:t>
      </w:r>
      <w:bookmarkEnd w:id="8"/>
    </w:p>
    <w:p w:rsidR="00F77C82" w:rsidRDefault="00F77C82" w:rsidP="00C05534">
      <w:pPr>
        <w:pStyle w:val="Heading3"/>
      </w:pPr>
      <w:bookmarkStart w:id="9" w:name="_Toc47729811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77298114"/>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9D6365">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61824">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761824">
      <w:hyperlink r:id="rId15"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7729811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9D6365">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77298116"/>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77298117"/>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7729811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9D6365">
        <w:t>7.3.1</w:t>
      </w:r>
      <w:r>
        <w:fldChar w:fldCharType="end"/>
      </w:r>
      <w:r>
        <w:t xml:space="preserve">. </w:t>
      </w:r>
    </w:p>
    <w:p w:rsidR="00F77C82" w:rsidRDefault="00F77C82" w:rsidP="00E41937">
      <w:pPr>
        <w:pStyle w:val="Heading3"/>
      </w:pPr>
      <w:bookmarkStart w:id="16" w:name="_Toc477298119"/>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7729812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77298121"/>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9D636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77298122"/>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7729812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77298124"/>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77298125"/>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761824">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9D6365" w:rsidRPr="00592261">
        <w:t>Figure 2</w:t>
      </w:r>
      <w:r w:rsidR="009D636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77298126"/>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77298127"/>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477298128"/>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9D6365">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9D6365">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9D6365">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9D6365">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4" w:name="_Ref353720118"/>
      <w:bookmarkStart w:id="35" w:name="_Toc477298129"/>
      <w:r>
        <w:t>Potential Energy Surface (Zero Point Energy Convention)</w:t>
      </w:r>
      <w:bookmarkEnd w:id="34"/>
      <w:bookmarkEnd w:id="35"/>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9D6365">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4" name="TextBox 16"/>
                        <wps:cNvSpPr txBox="1"/>
                        <wps:spPr>
                          <a:xfrm>
                            <a:off x="2914657" y="1569492"/>
                            <a:ext cx="1070240" cy="525780"/>
                          </a:xfrm>
                          <a:prstGeom prst="rect">
                            <a:avLst/>
                          </a:prstGeom>
                          <a:noFill/>
                        </wps:spPr>
                        <wps:txbx>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36" name="TextBox 24"/>
                        <wps:cNvSpPr txBox="1"/>
                        <wps:spPr>
                          <a:xfrm>
                            <a:off x="1123953" y="4306108"/>
                            <a:ext cx="702310" cy="277495"/>
                          </a:xfrm>
                          <a:prstGeom prst="rect">
                            <a:avLst/>
                          </a:prstGeom>
                          <a:noFill/>
                        </wps:spPr>
                        <wps:txbx>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38" name="TextBox 26"/>
                        <wps:cNvSpPr txBox="1"/>
                        <wps:spPr>
                          <a:xfrm>
                            <a:off x="1631937" y="3817646"/>
                            <a:ext cx="687705" cy="277495"/>
                          </a:xfrm>
                          <a:prstGeom prst="rect">
                            <a:avLst/>
                          </a:prstGeom>
                          <a:noFill/>
                        </wps:spPr>
                        <wps:txbx>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40" name="TextBox 28"/>
                        <wps:cNvSpPr txBox="1"/>
                        <wps:spPr>
                          <a:xfrm>
                            <a:off x="2395820" y="3068296"/>
                            <a:ext cx="790575" cy="277495"/>
                          </a:xfrm>
                          <a:prstGeom prst="rect">
                            <a:avLst/>
                          </a:prstGeom>
                          <a:noFill/>
                        </wps:spPr>
                        <wps:txbx>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43" name="TextBox 32"/>
                        <wps:cNvSpPr txBox="1"/>
                        <wps:spPr>
                          <a:xfrm>
                            <a:off x="4499200" y="4362624"/>
                            <a:ext cx="751840" cy="277495"/>
                          </a:xfrm>
                          <a:prstGeom prst="rect">
                            <a:avLst/>
                          </a:prstGeom>
                          <a:noFill/>
                        </wps:spPr>
                        <wps:txbx>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4773E" w:rsidRDefault="0024773E" w:rsidP="00AA480E"/>
                          </w:txbxContent>
                        </wps:txbx>
                        <wps:bodyPr rtlCol="0" anchor="ctr"/>
                      </wps:wsp>
                      <wps:wsp>
                        <wps:cNvPr id="47" name="TextBox 35"/>
                        <wps:cNvSpPr txBox="1"/>
                        <wps:spPr>
                          <a:xfrm>
                            <a:off x="5507708" y="3714890"/>
                            <a:ext cx="840105" cy="277495"/>
                          </a:xfrm>
                          <a:prstGeom prst="rect">
                            <a:avLst/>
                          </a:prstGeom>
                          <a:noFill/>
                        </wps:spPr>
                        <wps:txbx>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4773E" w:rsidRDefault="0024773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24773E" w:rsidRDefault="0024773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24773E" w:rsidRDefault="0024773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24773E" w:rsidRDefault="0024773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24773E" w:rsidRDefault="0024773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4773E" w:rsidRDefault="0024773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24773E" w:rsidRDefault="0024773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24773E" w:rsidRDefault="0024773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24773E" w:rsidRDefault="0024773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4773E" w:rsidRDefault="0024773E"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4773E" w:rsidRDefault="0024773E"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4773E" w:rsidRDefault="0024773E"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24773E" w:rsidRPr="004F239A" w:rsidRDefault="0024773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4773E" w:rsidRDefault="0024773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4773E" w:rsidRDefault="0024773E"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4773E" w:rsidRDefault="0024773E"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24773E" w:rsidRDefault="0024773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77298130"/>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9D6365">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77298131"/>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9D6365">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77298132"/>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9D6365">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77298133"/>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9D636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77298134"/>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6182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77298135"/>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77298136"/>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77298137"/>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9D6365">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77298138"/>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9D636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6182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77298139"/>
      <w:r>
        <w:t>Experimental Rate Coefficients</w:t>
      </w:r>
      <w:bookmarkEnd w:id="49"/>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77298140"/>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77298141"/>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77298142"/>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77298143"/>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76182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76182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76182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76182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76182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76182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76182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761824">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761824">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761824"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77298144"/>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9D6365">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9D636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9D6365">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77298145"/>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77298146"/>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77298147"/>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77298148"/>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77298149"/>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77298150"/>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6182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6182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77298151"/>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6182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77298152"/>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6182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77298153"/>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77298154"/>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77298155"/>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9D6365">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9D636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77298156"/>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77298157"/>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77298158"/>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77298159"/>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77298160"/>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77298161"/>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77298162"/>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77298163"/>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77298164"/>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3" w:name="_Toc477298165"/>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9D6365">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77298166"/>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77298167"/>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7729816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77298169"/>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77298170"/>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77298171"/>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25pt" o:ole="">
            <v:imagedata r:id="rId38" o:title=""/>
          </v:shape>
          <o:OLEObject Type="Embed" ProgID="Equation.3" ShapeID="_x0000_i1025" DrawAspect="Content" ObjectID="_1551040163"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77298172"/>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77298173"/>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77298174"/>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Toc477298175"/>
      <w:bookmarkStart w:id="95" w:name="_Ref277428806"/>
      <w:bookmarkStart w:id="96" w:name="_Ref277416966"/>
      <w:r w:rsidRPr="00246233">
        <w:t>Data Access</w:t>
      </w:r>
      <w:bookmarkEnd w:id="94"/>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77298176"/>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77298177"/>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77298178"/>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77298179"/>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77298180"/>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77298181"/>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77298182"/>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77298183"/>
      <w:r>
        <w:t>Calculation Methods</w:t>
      </w:r>
      <w:bookmarkEnd w:id="95"/>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9D6365">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9D6365">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9D6365">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9D6365">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761824"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761824"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07" w:name="_Toc477298184"/>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6182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77298185"/>
      <w:r>
        <w:t>Density of States</w:t>
      </w:r>
      <w:bookmarkEnd w:id="96"/>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76182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77298186"/>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77298187"/>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77298188"/>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6182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6182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77298189"/>
      <w:r w:rsidRPr="00C05534">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9D6365">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t xml:space="preserve">See section </w:t>
      </w:r>
      <w:r>
        <w:fldChar w:fldCharType="begin"/>
      </w:r>
      <w:r>
        <w:instrText xml:space="preserve"> REF _Ref347659580 \r \h </w:instrText>
      </w:r>
      <w:r>
        <w:fldChar w:fldCharType="separate"/>
      </w:r>
      <w:r w:rsidR="009D6365">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9D6365">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77298190"/>
      <w:r w:rsidRPr="00C05534">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19" w:name="_Toc477298191"/>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5pt;height:17.25pt" o:ole="" filled="t">
            <v:fill color2="black"/>
            <v:imagedata r:id="rId41" o:title=""/>
          </v:shape>
          <o:OLEObject Type="Embed" ProgID="Equation.3" ShapeID="_x0000_i1026" DrawAspect="Content" ObjectID="_1551040164"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6182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25pt;height:18.75pt" o:ole="" filled="t">
            <v:fill color2="black"/>
            <v:imagedata r:id="rId43" o:title=""/>
          </v:shape>
          <o:OLEObject Type="Embed" ProgID="Equation.3" ShapeID="_x0000_i1027" DrawAspect="Content" ObjectID="_1551040165"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pt;height:12.75pt" o:ole="" filled="t">
            <v:fill color2="black"/>
            <v:imagedata r:id="rId46" o:title=""/>
          </v:shape>
          <o:OLEObject Type="Embed" ProgID="Equation.3" ShapeID="_x0000_i1028" DrawAspect="Content" ObjectID="_1551040166"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6182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77298192"/>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6182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6182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6182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77298193"/>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77298194"/>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77298195"/>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77298196"/>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77298197"/>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76182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76182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77298198"/>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77298199"/>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25pt;height:18pt" o:ole="" filled="t">
            <v:fill color2="black"/>
            <v:imagedata r:id="rId48" o:title=""/>
          </v:shape>
          <o:OLEObject Type="Embed" ProgID="Equation.3" ShapeID="_x0000_i1029" DrawAspect="Content" ObjectID="_1551040167"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6182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6182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77298200"/>
      <w:r>
        <w:t>Revision History</w:t>
      </w:r>
      <w:bookmarkEnd w:id="131"/>
    </w:p>
    <w:p w:rsidR="00411665" w:rsidRDefault="00411665" w:rsidP="00411665">
      <w:pPr>
        <w:pStyle w:val="Heading2"/>
      </w:pPr>
      <w:bookmarkStart w:id="132" w:name="_Toc477298201"/>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77298202"/>
      <w:r w:rsidRPr="00C05534">
        <w:t>MESMER 0.2</w:t>
      </w:r>
      <w:r>
        <w:t xml:space="preserve"> (Released 9/Jan/2011)</w:t>
      </w:r>
      <w:bookmarkEnd w:id="133"/>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77298203"/>
      <w:r w:rsidRPr="00C05534">
        <w:t>MESMER 1.0</w:t>
      </w:r>
      <w:r>
        <w:t xml:space="preserve"> (Released </w:t>
      </w:r>
      <w:r w:rsidR="00411665">
        <w:t>10/Feb</w:t>
      </w:r>
      <w:r>
        <w:t>/2012)</w:t>
      </w:r>
      <w:bookmarkEnd w:id="134"/>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77298204"/>
      <w:r w:rsidRPr="00C05534">
        <w:t xml:space="preserve">MESMER </w:t>
      </w:r>
      <w:r>
        <w:t>2</w:t>
      </w:r>
      <w:r w:rsidRPr="00C05534">
        <w:t>.0</w:t>
      </w:r>
      <w:r>
        <w:t xml:space="preserve"> (Released 10/Feb/2013)</w:t>
      </w:r>
      <w:bookmarkEnd w:id="135"/>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9D6365">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9D6365">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9D6365">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9D6365">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9D6365">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77298205"/>
      <w:r w:rsidRPr="00C05534">
        <w:t xml:space="preserve">MESMER </w:t>
      </w:r>
      <w:r>
        <w:t>3</w:t>
      </w:r>
      <w:r w:rsidRPr="00C05534">
        <w:t>.0</w:t>
      </w:r>
      <w:r>
        <w:t xml:space="preserve"> (Released 24/Feb/2014)</w:t>
      </w:r>
      <w:bookmarkEnd w:id="136"/>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9D6365">
        <w:t>7.3.1</w:t>
      </w:r>
      <w:r>
        <w:fldChar w:fldCharType="end"/>
      </w:r>
      <w:r>
        <w:fldChar w:fldCharType="begin"/>
      </w:r>
      <w:r>
        <w:instrText xml:space="preserve"> REF _Ref353724732 \r \h </w:instrText>
      </w:r>
      <w:r>
        <w:fldChar w:fldCharType="separate"/>
      </w:r>
      <w:r w:rsidR="009D6365">
        <w:t>(5)</w:t>
      </w:r>
      <w:r>
        <w:fldChar w:fldCharType="end"/>
      </w:r>
      <w:r>
        <w:t xml:space="preserve"> and </w:t>
      </w:r>
      <w:r>
        <w:fldChar w:fldCharType="begin"/>
      </w:r>
      <w:r>
        <w:instrText xml:space="preserve"> REF _Ref345764698 \r \h </w:instrText>
      </w:r>
      <w:r>
        <w:fldChar w:fldCharType="separate"/>
      </w:r>
      <w:r w:rsidR="009D6365">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9D6365">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9D6365">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9D6365">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77298206"/>
      <w:r w:rsidRPr="00C05534">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9D6365">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9D6365">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9D6365">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9D6365">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9D6365">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38" w:name="_Toc477298207"/>
      <w:r w:rsidRPr="00C05534">
        <w:t xml:space="preserve">MESMER </w:t>
      </w:r>
      <w:r>
        <w:t>4.1 (Released 27/Feb/2016)</w:t>
      </w:r>
      <w:bookmarkEnd w:id="138"/>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9D6365">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9D6365">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9D6365">
        <w:t>11.2.1</w:t>
      </w:r>
      <w:r>
        <w:fldChar w:fldCharType="end"/>
      </w:r>
      <w:r>
        <w:t>).</w:t>
      </w:r>
    </w:p>
    <w:p w:rsidR="00565B61" w:rsidRDefault="00565B61" w:rsidP="00565B61">
      <w:pPr>
        <w:numPr>
          <w:ilvl w:val="0"/>
          <w:numId w:val="3"/>
        </w:numPr>
        <w:ind w:left="357" w:firstLine="0"/>
      </w:pPr>
      <w:r>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9D6365">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9D6365">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39" w:name="_Toc477298208"/>
      <w:r w:rsidRPr="00C05534">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II. Numerical methods and 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824" w:rsidRDefault="00761824">
      <w:pPr>
        <w:spacing w:after="0" w:line="240" w:lineRule="auto"/>
      </w:pPr>
      <w:r>
        <w:separator/>
      </w:r>
    </w:p>
  </w:endnote>
  <w:endnote w:type="continuationSeparator" w:id="0">
    <w:p w:rsidR="00761824" w:rsidRDefault="0076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3E" w:rsidRDefault="0024773E">
    <w:pPr>
      <w:pStyle w:val="Footer"/>
      <w:jc w:val="center"/>
    </w:pPr>
    <w:r>
      <w:fldChar w:fldCharType="begin"/>
    </w:r>
    <w:r>
      <w:instrText xml:space="preserve"> PAGE   \* MERGEFORMAT </w:instrText>
    </w:r>
    <w:r>
      <w:fldChar w:fldCharType="separate"/>
    </w:r>
    <w:r w:rsidR="009D6365">
      <w:rPr>
        <w:noProof/>
      </w:rPr>
      <w:t>1</w:t>
    </w:r>
    <w:r>
      <w:rPr>
        <w:noProof/>
      </w:rPr>
      <w:fldChar w:fldCharType="end"/>
    </w:r>
  </w:p>
  <w:p w:rsidR="0024773E" w:rsidRDefault="002477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824" w:rsidRDefault="00761824">
      <w:pPr>
        <w:spacing w:after="0" w:line="240" w:lineRule="auto"/>
      </w:pPr>
      <w:r>
        <w:separator/>
      </w:r>
    </w:p>
  </w:footnote>
  <w:footnote w:type="continuationSeparator" w:id="0">
    <w:p w:rsidR="00761824" w:rsidRDefault="00761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4773E"/>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E47C7"/>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1824"/>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3FCE9-8B6D-4157-9589-939F4858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300</TotalTime>
  <Pages>81</Pages>
  <Words>40468</Words>
  <Characters>230671</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270598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15</cp:revision>
  <cp:lastPrinted>2017-03-14T23:42:00Z</cp:lastPrinted>
  <dcterms:created xsi:type="dcterms:W3CDTF">2016-02-25T08:55:00Z</dcterms:created>
  <dcterms:modified xsi:type="dcterms:W3CDTF">2017-03-14T23:43:00Z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