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469352EA" w:rsidR="00F77C82" w:rsidRDefault="00F77C82">
      <w:pPr>
        <w:pStyle w:val="Subtitle1"/>
        <w:rPr>
          <w:b w:val="0"/>
          <w:sz w:val="36"/>
          <w:szCs w:val="36"/>
        </w:rPr>
      </w:pPr>
      <w:r>
        <w:rPr>
          <w:b w:val="0"/>
          <w:sz w:val="36"/>
          <w:szCs w:val="36"/>
        </w:rPr>
        <w:t xml:space="preserve">Version </w:t>
      </w:r>
      <w:r w:rsidR="00AE0BC0">
        <w:rPr>
          <w:b w:val="0"/>
          <w:sz w:val="36"/>
          <w:szCs w:val="36"/>
        </w:rPr>
        <w:t>6.</w:t>
      </w:r>
      <w:r w:rsidR="0055069E">
        <w:rPr>
          <w:b w:val="0"/>
          <w:sz w:val="36"/>
          <w:szCs w:val="36"/>
        </w:rPr>
        <w:t>1</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0222BC0" w:rsidR="00F77C82" w:rsidRDefault="00F77C82">
      <w:pPr>
        <w:jc w:val="center"/>
      </w:pPr>
      <w:r>
        <w:t xml:space="preserve">Last updated: </w:t>
      </w:r>
      <w:r w:rsidR="007A15CE">
        <w:fldChar w:fldCharType="begin"/>
      </w:r>
      <w:r>
        <w:instrText xml:space="preserve"> DATE \@"DD\ MMMM\ YYYY" </w:instrText>
      </w:r>
      <w:r w:rsidR="007A15CE">
        <w:fldChar w:fldCharType="separate"/>
      </w:r>
      <w:r w:rsidR="00F454D1">
        <w:rPr>
          <w:noProof/>
        </w:rPr>
        <w:t>05 June 2021</w:t>
      </w:r>
      <w:r w:rsidR="007A15CE">
        <w:fldChar w:fldCharType="end"/>
      </w:r>
    </w:p>
    <w:p w14:paraId="4D357056" w14:textId="77777777" w:rsidR="00F77C82" w:rsidRPr="00C05534" w:rsidRDefault="00F77C82" w:rsidP="00C05534">
      <w:pPr>
        <w:pStyle w:val="Heading1"/>
      </w:pPr>
      <w:bookmarkStart w:id="0" w:name="_Toc6005596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6005596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60055966"/>
      <w:r w:rsidRPr="00C05534">
        <w:lastRenderedPageBreak/>
        <w:t>Contents</w:t>
      </w:r>
      <w:bookmarkEnd w:id="2"/>
    </w:p>
    <w:p w14:paraId="49E947DA" w14:textId="21B65186" w:rsidR="00B575D3"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B575D3">
        <w:rPr>
          <w:noProof/>
        </w:rPr>
        <w:t>1</w:t>
      </w:r>
      <w:r w:rsidR="00B575D3">
        <w:rPr>
          <w:rFonts w:asciiTheme="minorHAnsi" w:eastAsiaTheme="minorEastAsia" w:hAnsiTheme="minorHAnsi" w:cstheme="minorBidi"/>
          <w:noProof/>
          <w:szCs w:val="22"/>
          <w:lang w:eastAsia="en-GB"/>
        </w:rPr>
        <w:tab/>
      </w:r>
      <w:r w:rsidR="00B575D3">
        <w:rPr>
          <w:noProof/>
        </w:rPr>
        <w:t>Acknowledgements and Citation</w:t>
      </w:r>
      <w:r w:rsidR="00B575D3">
        <w:rPr>
          <w:noProof/>
        </w:rPr>
        <w:tab/>
      </w:r>
      <w:r w:rsidR="00B575D3">
        <w:rPr>
          <w:noProof/>
        </w:rPr>
        <w:fldChar w:fldCharType="begin"/>
      </w:r>
      <w:r w:rsidR="00B575D3">
        <w:rPr>
          <w:noProof/>
        </w:rPr>
        <w:instrText xml:space="preserve"> PAGEREF _Toc60055964 \h </w:instrText>
      </w:r>
      <w:r w:rsidR="00B575D3">
        <w:rPr>
          <w:noProof/>
        </w:rPr>
      </w:r>
      <w:r w:rsidR="00B575D3">
        <w:rPr>
          <w:noProof/>
        </w:rPr>
        <w:fldChar w:fldCharType="separate"/>
      </w:r>
      <w:r w:rsidR="00D7564C">
        <w:rPr>
          <w:noProof/>
        </w:rPr>
        <w:t>2</w:t>
      </w:r>
      <w:r w:rsidR="00B575D3">
        <w:rPr>
          <w:noProof/>
        </w:rPr>
        <w:fldChar w:fldCharType="end"/>
      </w:r>
    </w:p>
    <w:p w14:paraId="15764373" w14:textId="5866C59E" w:rsidR="00B575D3" w:rsidRDefault="00B575D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_Toc60055965 \h </w:instrText>
      </w:r>
      <w:r>
        <w:rPr>
          <w:noProof/>
        </w:rPr>
      </w:r>
      <w:r>
        <w:rPr>
          <w:noProof/>
        </w:rPr>
        <w:fldChar w:fldCharType="separate"/>
      </w:r>
      <w:r w:rsidR="00D7564C">
        <w:rPr>
          <w:noProof/>
        </w:rPr>
        <w:t>3</w:t>
      </w:r>
      <w:r>
        <w:rPr>
          <w:noProof/>
        </w:rPr>
        <w:fldChar w:fldCharType="end"/>
      </w:r>
    </w:p>
    <w:p w14:paraId="750650AA" w14:textId="2B0D19B7" w:rsidR="00B575D3" w:rsidRDefault="00B575D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_Toc60055966 \h </w:instrText>
      </w:r>
      <w:r>
        <w:rPr>
          <w:noProof/>
        </w:rPr>
      </w:r>
      <w:r>
        <w:rPr>
          <w:noProof/>
        </w:rPr>
        <w:fldChar w:fldCharType="separate"/>
      </w:r>
      <w:r w:rsidR="00D7564C">
        <w:rPr>
          <w:noProof/>
        </w:rPr>
        <w:t>5</w:t>
      </w:r>
      <w:r>
        <w:rPr>
          <w:noProof/>
        </w:rPr>
        <w:fldChar w:fldCharType="end"/>
      </w:r>
    </w:p>
    <w:p w14:paraId="0E518B50" w14:textId="11217E61" w:rsidR="00B575D3" w:rsidRDefault="00B575D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6.1</w:t>
      </w:r>
      <w:r>
        <w:rPr>
          <w:noProof/>
        </w:rPr>
        <w:tab/>
      </w:r>
      <w:r>
        <w:rPr>
          <w:noProof/>
        </w:rPr>
        <w:fldChar w:fldCharType="begin"/>
      </w:r>
      <w:r>
        <w:rPr>
          <w:noProof/>
        </w:rPr>
        <w:instrText xml:space="preserve"> PAGEREF _Toc60055967 \h </w:instrText>
      </w:r>
      <w:r>
        <w:rPr>
          <w:noProof/>
        </w:rPr>
      </w:r>
      <w:r>
        <w:rPr>
          <w:noProof/>
        </w:rPr>
        <w:fldChar w:fldCharType="separate"/>
      </w:r>
      <w:r w:rsidR="00D7564C">
        <w:rPr>
          <w:noProof/>
        </w:rPr>
        <w:t>9</w:t>
      </w:r>
      <w:r>
        <w:rPr>
          <w:noProof/>
        </w:rPr>
        <w:fldChar w:fldCharType="end"/>
      </w:r>
    </w:p>
    <w:p w14:paraId="695A31C9" w14:textId="3154D4FA" w:rsidR="00B575D3" w:rsidRDefault="00B575D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_Toc60055968 \h </w:instrText>
      </w:r>
      <w:r>
        <w:rPr>
          <w:noProof/>
        </w:rPr>
      </w:r>
      <w:r>
        <w:rPr>
          <w:noProof/>
        </w:rPr>
        <w:fldChar w:fldCharType="separate"/>
      </w:r>
      <w:r w:rsidR="00D7564C">
        <w:rPr>
          <w:noProof/>
        </w:rPr>
        <w:t>10</w:t>
      </w:r>
      <w:r>
        <w:rPr>
          <w:noProof/>
        </w:rPr>
        <w:fldChar w:fldCharType="end"/>
      </w:r>
    </w:p>
    <w:p w14:paraId="4434CEED" w14:textId="7B187853" w:rsidR="00B575D3" w:rsidRDefault="00B575D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_Toc60055969 \h </w:instrText>
      </w:r>
      <w:r>
        <w:rPr>
          <w:noProof/>
        </w:rPr>
      </w:r>
      <w:r>
        <w:rPr>
          <w:noProof/>
        </w:rPr>
        <w:fldChar w:fldCharType="separate"/>
      </w:r>
      <w:r w:rsidR="00D7564C">
        <w:rPr>
          <w:noProof/>
        </w:rPr>
        <w:t>12</w:t>
      </w:r>
      <w:r>
        <w:rPr>
          <w:noProof/>
        </w:rPr>
        <w:fldChar w:fldCharType="end"/>
      </w:r>
    </w:p>
    <w:p w14:paraId="38F32AF2" w14:textId="76D7F30C" w:rsidR="00B575D3" w:rsidRDefault="00B575D3">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_Toc60055970 \h </w:instrText>
      </w:r>
      <w:r>
        <w:rPr>
          <w:noProof/>
        </w:rPr>
      </w:r>
      <w:r>
        <w:rPr>
          <w:noProof/>
        </w:rPr>
        <w:fldChar w:fldCharType="separate"/>
      </w:r>
      <w:r w:rsidR="00D7564C">
        <w:rPr>
          <w:noProof/>
        </w:rPr>
        <w:t>12</w:t>
      </w:r>
      <w:r>
        <w:rPr>
          <w:noProof/>
        </w:rPr>
        <w:fldChar w:fldCharType="end"/>
      </w:r>
    </w:p>
    <w:p w14:paraId="63C35F60" w14:textId="2AB9E457" w:rsidR="00B575D3" w:rsidRDefault="00B575D3">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_Toc60055971 \h </w:instrText>
      </w:r>
      <w:r>
        <w:rPr>
          <w:noProof/>
        </w:rPr>
      </w:r>
      <w:r>
        <w:rPr>
          <w:noProof/>
        </w:rPr>
        <w:fldChar w:fldCharType="separate"/>
      </w:r>
      <w:r w:rsidR="00D7564C">
        <w:rPr>
          <w:noProof/>
        </w:rPr>
        <w:t>12</w:t>
      </w:r>
      <w:r>
        <w:rPr>
          <w:noProof/>
        </w:rPr>
        <w:fldChar w:fldCharType="end"/>
      </w:r>
    </w:p>
    <w:p w14:paraId="592EE16E" w14:textId="2DA822CF" w:rsidR="00B575D3" w:rsidRDefault="00B575D3">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_Toc60055972 \h </w:instrText>
      </w:r>
      <w:r>
        <w:rPr>
          <w:noProof/>
        </w:rPr>
      </w:r>
      <w:r>
        <w:rPr>
          <w:noProof/>
        </w:rPr>
        <w:fldChar w:fldCharType="separate"/>
      </w:r>
      <w:r w:rsidR="00D7564C">
        <w:rPr>
          <w:noProof/>
        </w:rPr>
        <w:t>13</w:t>
      </w:r>
      <w:r>
        <w:rPr>
          <w:noProof/>
        </w:rPr>
        <w:fldChar w:fldCharType="end"/>
      </w:r>
    </w:p>
    <w:p w14:paraId="768B26F4" w14:textId="50699D87" w:rsidR="00B575D3" w:rsidRDefault="00B575D3">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_Toc60055973 \h </w:instrText>
      </w:r>
      <w:r>
        <w:rPr>
          <w:noProof/>
        </w:rPr>
      </w:r>
      <w:r>
        <w:rPr>
          <w:noProof/>
        </w:rPr>
        <w:fldChar w:fldCharType="separate"/>
      </w:r>
      <w:r w:rsidR="00D7564C">
        <w:rPr>
          <w:noProof/>
        </w:rPr>
        <w:t>13</w:t>
      </w:r>
      <w:r>
        <w:rPr>
          <w:noProof/>
        </w:rPr>
        <w:fldChar w:fldCharType="end"/>
      </w:r>
    </w:p>
    <w:p w14:paraId="5362515B" w14:textId="1D2E6237" w:rsidR="00B575D3" w:rsidRDefault="00B575D3">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_Toc60055974 \h </w:instrText>
      </w:r>
      <w:r>
        <w:rPr>
          <w:noProof/>
        </w:rPr>
      </w:r>
      <w:r>
        <w:rPr>
          <w:noProof/>
        </w:rPr>
        <w:fldChar w:fldCharType="separate"/>
      </w:r>
      <w:r w:rsidR="00D7564C">
        <w:rPr>
          <w:noProof/>
        </w:rPr>
        <w:t>13</w:t>
      </w:r>
      <w:r>
        <w:rPr>
          <w:noProof/>
        </w:rPr>
        <w:fldChar w:fldCharType="end"/>
      </w:r>
    </w:p>
    <w:p w14:paraId="7DD7ED7E" w14:textId="580D6215" w:rsidR="00B575D3" w:rsidRDefault="00B575D3">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_Toc60055975 \h </w:instrText>
      </w:r>
      <w:r>
        <w:rPr>
          <w:noProof/>
        </w:rPr>
      </w:r>
      <w:r>
        <w:rPr>
          <w:noProof/>
        </w:rPr>
        <w:fldChar w:fldCharType="separate"/>
      </w:r>
      <w:r w:rsidR="00D7564C">
        <w:rPr>
          <w:noProof/>
        </w:rPr>
        <w:t>14</w:t>
      </w:r>
      <w:r>
        <w:rPr>
          <w:noProof/>
        </w:rPr>
        <w:fldChar w:fldCharType="end"/>
      </w:r>
    </w:p>
    <w:p w14:paraId="5FBEE804" w14:textId="72F1D343" w:rsidR="00B575D3" w:rsidRDefault="00B575D3">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_Toc60055976 \h </w:instrText>
      </w:r>
      <w:r>
        <w:rPr>
          <w:noProof/>
        </w:rPr>
      </w:r>
      <w:r>
        <w:rPr>
          <w:noProof/>
        </w:rPr>
        <w:fldChar w:fldCharType="separate"/>
      </w:r>
      <w:r w:rsidR="00D7564C">
        <w:rPr>
          <w:noProof/>
        </w:rPr>
        <w:t>14</w:t>
      </w:r>
      <w:r>
        <w:rPr>
          <w:noProof/>
        </w:rPr>
        <w:fldChar w:fldCharType="end"/>
      </w:r>
    </w:p>
    <w:p w14:paraId="39D7DB5D" w14:textId="10EA528B" w:rsidR="00B575D3" w:rsidRDefault="00B575D3">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_Toc60055977 \h </w:instrText>
      </w:r>
      <w:r>
        <w:rPr>
          <w:noProof/>
        </w:rPr>
      </w:r>
      <w:r>
        <w:rPr>
          <w:noProof/>
        </w:rPr>
        <w:fldChar w:fldCharType="separate"/>
      </w:r>
      <w:r w:rsidR="00D7564C">
        <w:rPr>
          <w:noProof/>
        </w:rPr>
        <w:t>15</w:t>
      </w:r>
      <w:r>
        <w:rPr>
          <w:noProof/>
        </w:rPr>
        <w:fldChar w:fldCharType="end"/>
      </w:r>
    </w:p>
    <w:p w14:paraId="29074691" w14:textId="65E2E422" w:rsidR="00B575D3" w:rsidRDefault="00B575D3">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_Toc60055978 \h </w:instrText>
      </w:r>
      <w:r>
        <w:rPr>
          <w:noProof/>
        </w:rPr>
      </w:r>
      <w:r>
        <w:rPr>
          <w:noProof/>
        </w:rPr>
        <w:fldChar w:fldCharType="separate"/>
      </w:r>
      <w:r w:rsidR="00D7564C">
        <w:rPr>
          <w:noProof/>
        </w:rPr>
        <w:t>15</w:t>
      </w:r>
      <w:r>
        <w:rPr>
          <w:noProof/>
        </w:rPr>
        <w:fldChar w:fldCharType="end"/>
      </w:r>
    </w:p>
    <w:p w14:paraId="172B02F8" w14:textId="3CEBFEB3" w:rsidR="00B575D3" w:rsidRDefault="00B575D3">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_Toc60055979 \h </w:instrText>
      </w:r>
      <w:r>
        <w:rPr>
          <w:noProof/>
        </w:rPr>
      </w:r>
      <w:r>
        <w:rPr>
          <w:noProof/>
        </w:rPr>
        <w:fldChar w:fldCharType="separate"/>
      </w:r>
      <w:r w:rsidR="00D7564C">
        <w:rPr>
          <w:noProof/>
        </w:rPr>
        <w:t>15</w:t>
      </w:r>
      <w:r>
        <w:rPr>
          <w:noProof/>
        </w:rPr>
        <w:fldChar w:fldCharType="end"/>
      </w:r>
    </w:p>
    <w:p w14:paraId="681D92D9" w14:textId="6CF5EB92" w:rsidR="00B575D3" w:rsidRDefault="00B575D3">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_Toc60055980 \h </w:instrText>
      </w:r>
      <w:r>
        <w:rPr>
          <w:noProof/>
        </w:rPr>
      </w:r>
      <w:r>
        <w:rPr>
          <w:noProof/>
        </w:rPr>
        <w:fldChar w:fldCharType="separate"/>
      </w:r>
      <w:r w:rsidR="00D7564C">
        <w:rPr>
          <w:noProof/>
        </w:rPr>
        <w:t>16</w:t>
      </w:r>
      <w:r>
        <w:rPr>
          <w:noProof/>
        </w:rPr>
        <w:fldChar w:fldCharType="end"/>
      </w:r>
    </w:p>
    <w:p w14:paraId="519775DC" w14:textId="10E82873" w:rsidR="00B575D3" w:rsidRDefault="00B575D3">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_Toc60055981 \h </w:instrText>
      </w:r>
      <w:r>
        <w:rPr>
          <w:noProof/>
        </w:rPr>
      </w:r>
      <w:r>
        <w:rPr>
          <w:noProof/>
        </w:rPr>
        <w:fldChar w:fldCharType="separate"/>
      </w:r>
      <w:r w:rsidR="00D7564C">
        <w:rPr>
          <w:noProof/>
        </w:rPr>
        <w:t>17</w:t>
      </w:r>
      <w:r>
        <w:rPr>
          <w:noProof/>
        </w:rPr>
        <w:fldChar w:fldCharType="end"/>
      </w:r>
    </w:p>
    <w:p w14:paraId="3A914965" w14:textId="6A25EB72" w:rsidR="00B575D3" w:rsidRDefault="00B575D3">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_Toc60055982 \h </w:instrText>
      </w:r>
      <w:r>
        <w:rPr>
          <w:noProof/>
        </w:rPr>
      </w:r>
      <w:r>
        <w:rPr>
          <w:noProof/>
        </w:rPr>
        <w:fldChar w:fldCharType="separate"/>
      </w:r>
      <w:r w:rsidR="00D7564C">
        <w:rPr>
          <w:noProof/>
        </w:rPr>
        <w:t>18</w:t>
      </w:r>
      <w:r>
        <w:rPr>
          <w:noProof/>
        </w:rPr>
        <w:fldChar w:fldCharType="end"/>
      </w:r>
    </w:p>
    <w:p w14:paraId="72B984AD" w14:textId="1732860C" w:rsidR="00B575D3" w:rsidRDefault="00B575D3">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_Toc60055983 \h </w:instrText>
      </w:r>
      <w:r>
        <w:rPr>
          <w:noProof/>
        </w:rPr>
      </w:r>
      <w:r>
        <w:rPr>
          <w:noProof/>
        </w:rPr>
        <w:fldChar w:fldCharType="separate"/>
      </w:r>
      <w:r w:rsidR="00D7564C">
        <w:rPr>
          <w:noProof/>
        </w:rPr>
        <w:t>19</w:t>
      </w:r>
      <w:r>
        <w:rPr>
          <w:noProof/>
        </w:rPr>
        <w:fldChar w:fldCharType="end"/>
      </w:r>
    </w:p>
    <w:p w14:paraId="5223CAA5" w14:textId="1687BE06" w:rsidR="00B575D3" w:rsidRDefault="00B575D3">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_Toc60055984 \h </w:instrText>
      </w:r>
      <w:r>
        <w:rPr>
          <w:noProof/>
        </w:rPr>
      </w:r>
      <w:r>
        <w:rPr>
          <w:noProof/>
        </w:rPr>
        <w:fldChar w:fldCharType="separate"/>
      </w:r>
      <w:r w:rsidR="00D7564C">
        <w:rPr>
          <w:noProof/>
        </w:rPr>
        <w:t>19</w:t>
      </w:r>
      <w:r>
        <w:rPr>
          <w:noProof/>
        </w:rPr>
        <w:fldChar w:fldCharType="end"/>
      </w:r>
    </w:p>
    <w:p w14:paraId="42220810" w14:textId="21EDF06F" w:rsidR="00B575D3" w:rsidRDefault="00B575D3">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_Toc60055985 \h </w:instrText>
      </w:r>
      <w:r>
        <w:rPr>
          <w:noProof/>
        </w:rPr>
      </w:r>
      <w:r>
        <w:rPr>
          <w:noProof/>
        </w:rPr>
        <w:fldChar w:fldCharType="separate"/>
      </w:r>
      <w:r w:rsidR="00D7564C">
        <w:rPr>
          <w:noProof/>
        </w:rPr>
        <w:t>20</w:t>
      </w:r>
      <w:r>
        <w:rPr>
          <w:noProof/>
        </w:rPr>
        <w:fldChar w:fldCharType="end"/>
      </w:r>
    </w:p>
    <w:p w14:paraId="2E9C2BC6" w14:textId="2DCED702" w:rsidR="00B575D3" w:rsidRDefault="00B575D3">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_Toc60055986 \h </w:instrText>
      </w:r>
      <w:r>
        <w:rPr>
          <w:noProof/>
        </w:rPr>
      </w:r>
      <w:r>
        <w:rPr>
          <w:noProof/>
        </w:rPr>
        <w:fldChar w:fldCharType="separate"/>
      </w:r>
      <w:r w:rsidR="00D7564C">
        <w:rPr>
          <w:noProof/>
        </w:rPr>
        <w:t>21</w:t>
      </w:r>
      <w:r>
        <w:rPr>
          <w:noProof/>
        </w:rPr>
        <w:fldChar w:fldCharType="end"/>
      </w:r>
    </w:p>
    <w:p w14:paraId="38481C3A" w14:textId="751A0717" w:rsidR="00B575D3" w:rsidRDefault="00B575D3">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_Toc60055987 \h </w:instrText>
      </w:r>
      <w:r>
        <w:rPr>
          <w:noProof/>
        </w:rPr>
      </w:r>
      <w:r>
        <w:rPr>
          <w:noProof/>
        </w:rPr>
        <w:fldChar w:fldCharType="separate"/>
      </w:r>
      <w:r w:rsidR="00D7564C">
        <w:rPr>
          <w:noProof/>
        </w:rPr>
        <w:t>22</w:t>
      </w:r>
      <w:r>
        <w:rPr>
          <w:noProof/>
        </w:rPr>
        <w:fldChar w:fldCharType="end"/>
      </w:r>
    </w:p>
    <w:p w14:paraId="416FB9FB" w14:textId="40E1BCDF" w:rsidR="00B575D3" w:rsidRDefault="00B575D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_Toc60055988 \h </w:instrText>
      </w:r>
      <w:r>
        <w:rPr>
          <w:noProof/>
        </w:rPr>
      </w:r>
      <w:r>
        <w:rPr>
          <w:noProof/>
        </w:rPr>
        <w:fldChar w:fldCharType="separate"/>
      </w:r>
      <w:r w:rsidR="00D7564C">
        <w:rPr>
          <w:noProof/>
        </w:rPr>
        <w:t>24</w:t>
      </w:r>
      <w:r>
        <w:rPr>
          <w:noProof/>
        </w:rPr>
        <w:fldChar w:fldCharType="end"/>
      </w:r>
    </w:p>
    <w:p w14:paraId="763EB503" w14:textId="35B288A8" w:rsidR="00B575D3" w:rsidRDefault="00B575D3">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_Toc60055989 \h </w:instrText>
      </w:r>
      <w:r>
        <w:rPr>
          <w:noProof/>
        </w:rPr>
      </w:r>
      <w:r>
        <w:rPr>
          <w:noProof/>
        </w:rPr>
        <w:fldChar w:fldCharType="separate"/>
      </w:r>
      <w:r w:rsidR="00D7564C">
        <w:rPr>
          <w:noProof/>
        </w:rPr>
        <w:t>24</w:t>
      </w:r>
      <w:r>
        <w:rPr>
          <w:noProof/>
        </w:rPr>
        <w:fldChar w:fldCharType="end"/>
      </w:r>
    </w:p>
    <w:p w14:paraId="5EB32455" w14:textId="0AE4C4CB" w:rsidR="00B575D3" w:rsidRDefault="00B575D3">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_Toc60055990 \h </w:instrText>
      </w:r>
      <w:r>
        <w:rPr>
          <w:noProof/>
        </w:rPr>
      </w:r>
      <w:r>
        <w:rPr>
          <w:noProof/>
        </w:rPr>
        <w:fldChar w:fldCharType="separate"/>
      </w:r>
      <w:r w:rsidR="00D7564C">
        <w:rPr>
          <w:noProof/>
        </w:rPr>
        <w:t>26</w:t>
      </w:r>
      <w:r>
        <w:rPr>
          <w:noProof/>
        </w:rPr>
        <w:fldChar w:fldCharType="end"/>
      </w:r>
    </w:p>
    <w:p w14:paraId="1985AE9E" w14:textId="0ED3C192" w:rsidR="00B575D3" w:rsidRDefault="00B575D3">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_Toc60055991 \h </w:instrText>
      </w:r>
      <w:r>
        <w:rPr>
          <w:noProof/>
        </w:rPr>
      </w:r>
      <w:r>
        <w:rPr>
          <w:noProof/>
        </w:rPr>
        <w:fldChar w:fldCharType="separate"/>
      </w:r>
      <w:r w:rsidR="00D7564C">
        <w:rPr>
          <w:noProof/>
        </w:rPr>
        <w:t>27</w:t>
      </w:r>
      <w:r>
        <w:rPr>
          <w:noProof/>
        </w:rPr>
        <w:fldChar w:fldCharType="end"/>
      </w:r>
    </w:p>
    <w:p w14:paraId="38889FCB" w14:textId="1430C68E" w:rsidR="00B575D3" w:rsidRDefault="00B575D3">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_Toc60055992 \h </w:instrText>
      </w:r>
      <w:r>
        <w:rPr>
          <w:noProof/>
        </w:rPr>
      </w:r>
      <w:r>
        <w:rPr>
          <w:noProof/>
        </w:rPr>
        <w:fldChar w:fldCharType="separate"/>
      </w:r>
      <w:r w:rsidR="00D7564C">
        <w:rPr>
          <w:noProof/>
        </w:rPr>
        <w:t>28</w:t>
      </w:r>
      <w:r>
        <w:rPr>
          <w:noProof/>
        </w:rPr>
        <w:fldChar w:fldCharType="end"/>
      </w:r>
    </w:p>
    <w:p w14:paraId="6C66F1A8" w14:textId="1A284535" w:rsidR="00B575D3" w:rsidRDefault="00B575D3">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_Toc60055993 \h </w:instrText>
      </w:r>
      <w:r>
        <w:rPr>
          <w:noProof/>
        </w:rPr>
      </w:r>
      <w:r>
        <w:rPr>
          <w:noProof/>
        </w:rPr>
        <w:fldChar w:fldCharType="separate"/>
      </w:r>
      <w:r w:rsidR="00D7564C">
        <w:rPr>
          <w:noProof/>
        </w:rPr>
        <w:t>34</w:t>
      </w:r>
      <w:r>
        <w:rPr>
          <w:noProof/>
        </w:rPr>
        <w:fldChar w:fldCharType="end"/>
      </w:r>
    </w:p>
    <w:p w14:paraId="44519BBD" w14:textId="454FAD69" w:rsidR="00B575D3" w:rsidRDefault="00B575D3">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_Toc60055994 \h </w:instrText>
      </w:r>
      <w:r>
        <w:rPr>
          <w:noProof/>
        </w:rPr>
      </w:r>
      <w:r>
        <w:rPr>
          <w:noProof/>
        </w:rPr>
        <w:fldChar w:fldCharType="separate"/>
      </w:r>
      <w:r w:rsidR="00D7564C">
        <w:rPr>
          <w:noProof/>
        </w:rPr>
        <w:t>37</w:t>
      </w:r>
      <w:r>
        <w:rPr>
          <w:noProof/>
        </w:rPr>
        <w:fldChar w:fldCharType="end"/>
      </w:r>
    </w:p>
    <w:p w14:paraId="09D0761C" w14:textId="049B83FB" w:rsidR="00B575D3" w:rsidRDefault="00B575D3">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_Toc60055995 \h </w:instrText>
      </w:r>
      <w:r>
        <w:rPr>
          <w:noProof/>
        </w:rPr>
      </w:r>
      <w:r>
        <w:rPr>
          <w:noProof/>
        </w:rPr>
        <w:fldChar w:fldCharType="separate"/>
      </w:r>
      <w:r w:rsidR="00D7564C">
        <w:rPr>
          <w:noProof/>
        </w:rPr>
        <w:t>42</w:t>
      </w:r>
      <w:r>
        <w:rPr>
          <w:noProof/>
        </w:rPr>
        <w:fldChar w:fldCharType="end"/>
      </w:r>
    </w:p>
    <w:p w14:paraId="1D4FB87C" w14:textId="1EF5D1E1" w:rsidR="00B575D3" w:rsidRDefault="00B575D3">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_Toc60055996 \h </w:instrText>
      </w:r>
      <w:r>
        <w:rPr>
          <w:noProof/>
        </w:rPr>
      </w:r>
      <w:r>
        <w:rPr>
          <w:noProof/>
        </w:rPr>
        <w:fldChar w:fldCharType="separate"/>
      </w:r>
      <w:r w:rsidR="00D7564C">
        <w:rPr>
          <w:noProof/>
        </w:rPr>
        <w:t>43</w:t>
      </w:r>
      <w:r>
        <w:rPr>
          <w:noProof/>
        </w:rPr>
        <w:fldChar w:fldCharType="end"/>
      </w:r>
    </w:p>
    <w:p w14:paraId="16653C40" w14:textId="1AF66711" w:rsidR="00B575D3" w:rsidRDefault="00B575D3">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_Toc60055997 \h </w:instrText>
      </w:r>
      <w:r>
        <w:rPr>
          <w:noProof/>
        </w:rPr>
      </w:r>
      <w:r>
        <w:rPr>
          <w:noProof/>
        </w:rPr>
        <w:fldChar w:fldCharType="separate"/>
      </w:r>
      <w:r w:rsidR="00D7564C">
        <w:rPr>
          <w:noProof/>
        </w:rPr>
        <w:t>45</w:t>
      </w:r>
      <w:r>
        <w:rPr>
          <w:noProof/>
        </w:rPr>
        <w:fldChar w:fldCharType="end"/>
      </w:r>
    </w:p>
    <w:p w14:paraId="44C51680" w14:textId="2112DFC6" w:rsidR="00B575D3" w:rsidRDefault="00B575D3">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_Toc60055998 \h </w:instrText>
      </w:r>
      <w:r>
        <w:rPr>
          <w:noProof/>
        </w:rPr>
      </w:r>
      <w:r>
        <w:rPr>
          <w:noProof/>
        </w:rPr>
        <w:fldChar w:fldCharType="separate"/>
      </w:r>
      <w:r w:rsidR="00D7564C">
        <w:rPr>
          <w:noProof/>
        </w:rPr>
        <w:t>50</w:t>
      </w:r>
      <w:r>
        <w:rPr>
          <w:noProof/>
        </w:rPr>
        <w:fldChar w:fldCharType="end"/>
      </w:r>
    </w:p>
    <w:p w14:paraId="57FD0FA1" w14:textId="0DEEE059" w:rsidR="00B575D3" w:rsidRDefault="00B575D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_Toc60055999 \h </w:instrText>
      </w:r>
      <w:r>
        <w:rPr>
          <w:noProof/>
        </w:rPr>
      </w:r>
      <w:r>
        <w:rPr>
          <w:noProof/>
        </w:rPr>
        <w:fldChar w:fldCharType="separate"/>
      </w:r>
      <w:r w:rsidR="00D7564C">
        <w:rPr>
          <w:noProof/>
        </w:rPr>
        <w:t>51</w:t>
      </w:r>
      <w:r>
        <w:rPr>
          <w:noProof/>
        </w:rPr>
        <w:fldChar w:fldCharType="end"/>
      </w:r>
    </w:p>
    <w:p w14:paraId="224D793E" w14:textId="3FB95B48" w:rsidR="00B575D3" w:rsidRDefault="00B575D3">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_Toc60056000 \h </w:instrText>
      </w:r>
      <w:r>
        <w:rPr>
          <w:noProof/>
        </w:rPr>
      </w:r>
      <w:r>
        <w:rPr>
          <w:noProof/>
        </w:rPr>
        <w:fldChar w:fldCharType="separate"/>
      </w:r>
      <w:r w:rsidR="00D7564C">
        <w:rPr>
          <w:noProof/>
        </w:rPr>
        <w:t>51</w:t>
      </w:r>
      <w:r>
        <w:rPr>
          <w:noProof/>
        </w:rPr>
        <w:fldChar w:fldCharType="end"/>
      </w:r>
    </w:p>
    <w:p w14:paraId="11310CA1" w14:textId="3A39F7BE" w:rsidR="00B575D3" w:rsidRDefault="00B575D3">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_Toc60056001 \h </w:instrText>
      </w:r>
      <w:r>
        <w:rPr>
          <w:noProof/>
        </w:rPr>
      </w:r>
      <w:r>
        <w:rPr>
          <w:noProof/>
        </w:rPr>
        <w:fldChar w:fldCharType="separate"/>
      </w:r>
      <w:r w:rsidR="00D7564C">
        <w:rPr>
          <w:noProof/>
        </w:rPr>
        <w:t>52</w:t>
      </w:r>
      <w:r>
        <w:rPr>
          <w:noProof/>
        </w:rPr>
        <w:fldChar w:fldCharType="end"/>
      </w:r>
    </w:p>
    <w:p w14:paraId="21BE2C72" w14:textId="645ACA10" w:rsidR="00B575D3" w:rsidRDefault="00B575D3">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_Toc60056002 \h </w:instrText>
      </w:r>
      <w:r>
        <w:rPr>
          <w:noProof/>
        </w:rPr>
      </w:r>
      <w:r>
        <w:rPr>
          <w:noProof/>
        </w:rPr>
        <w:fldChar w:fldCharType="separate"/>
      </w:r>
      <w:r w:rsidR="00D7564C">
        <w:rPr>
          <w:noProof/>
        </w:rPr>
        <w:t>54</w:t>
      </w:r>
      <w:r>
        <w:rPr>
          <w:noProof/>
        </w:rPr>
        <w:fldChar w:fldCharType="end"/>
      </w:r>
    </w:p>
    <w:p w14:paraId="17BBCE7C" w14:textId="3E42F502" w:rsidR="00B575D3" w:rsidRDefault="00B575D3">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_Toc60056003 \h </w:instrText>
      </w:r>
      <w:r>
        <w:rPr>
          <w:noProof/>
        </w:rPr>
      </w:r>
      <w:r>
        <w:rPr>
          <w:noProof/>
        </w:rPr>
        <w:fldChar w:fldCharType="separate"/>
      </w:r>
      <w:r w:rsidR="00D7564C">
        <w:rPr>
          <w:noProof/>
        </w:rPr>
        <w:t>54</w:t>
      </w:r>
      <w:r>
        <w:rPr>
          <w:noProof/>
        </w:rPr>
        <w:fldChar w:fldCharType="end"/>
      </w:r>
    </w:p>
    <w:p w14:paraId="1AED1FF3" w14:textId="7FC42E8D" w:rsidR="00B575D3" w:rsidRDefault="00B575D3">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_Toc60056004 \h </w:instrText>
      </w:r>
      <w:r>
        <w:rPr>
          <w:noProof/>
        </w:rPr>
      </w:r>
      <w:r>
        <w:rPr>
          <w:noProof/>
        </w:rPr>
        <w:fldChar w:fldCharType="separate"/>
      </w:r>
      <w:r w:rsidR="00D7564C">
        <w:rPr>
          <w:noProof/>
        </w:rPr>
        <w:t>55</w:t>
      </w:r>
      <w:r>
        <w:rPr>
          <w:noProof/>
        </w:rPr>
        <w:fldChar w:fldCharType="end"/>
      </w:r>
    </w:p>
    <w:p w14:paraId="15EF69E6" w14:textId="7E95974B" w:rsidR="00B575D3" w:rsidRDefault="00B575D3">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_Toc60056005 \h </w:instrText>
      </w:r>
      <w:r>
        <w:rPr>
          <w:noProof/>
        </w:rPr>
      </w:r>
      <w:r>
        <w:rPr>
          <w:noProof/>
        </w:rPr>
        <w:fldChar w:fldCharType="separate"/>
      </w:r>
      <w:r w:rsidR="00D7564C">
        <w:rPr>
          <w:noProof/>
        </w:rPr>
        <w:t>56</w:t>
      </w:r>
      <w:r>
        <w:rPr>
          <w:noProof/>
        </w:rPr>
        <w:fldChar w:fldCharType="end"/>
      </w:r>
    </w:p>
    <w:p w14:paraId="1CBE4E03" w14:textId="067341C6" w:rsidR="00B575D3" w:rsidRDefault="00B575D3">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_Toc60056006 \h </w:instrText>
      </w:r>
      <w:r>
        <w:rPr>
          <w:noProof/>
        </w:rPr>
      </w:r>
      <w:r>
        <w:rPr>
          <w:noProof/>
        </w:rPr>
        <w:fldChar w:fldCharType="separate"/>
      </w:r>
      <w:r w:rsidR="00D7564C">
        <w:rPr>
          <w:noProof/>
        </w:rPr>
        <w:t>56</w:t>
      </w:r>
      <w:r>
        <w:rPr>
          <w:noProof/>
        </w:rPr>
        <w:fldChar w:fldCharType="end"/>
      </w:r>
    </w:p>
    <w:p w14:paraId="4BC37812" w14:textId="6D09F170" w:rsidR="00B575D3" w:rsidRDefault="00B575D3">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_Toc60056007 \h </w:instrText>
      </w:r>
      <w:r>
        <w:rPr>
          <w:noProof/>
        </w:rPr>
      </w:r>
      <w:r>
        <w:rPr>
          <w:noProof/>
        </w:rPr>
        <w:fldChar w:fldCharType="separate"/>
      </w:r>
      <w:r w:rsidR="00D7564C">
        <w:rPr>
          <w:noProof/>
        </w:rPr>
        <w:t>58</w:t>
      </w:r>
      <w:r>
        <w:rPr>
          <w:noProof/>
        </w:rPr>
        <w:fldChar w:fldCharType="end"/>
      </w:r>
    </w:p>
    <w:p w14:paraId="24E2201C" w14:textId="21E7CEF6" w:rsidR="00B575D3" w:rsidRDefault="00B575D3">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_Toc60056008 \h </w:instrText>
      </w:r>
      <w:r>
        <w:rPr>
          <w:noProof/>
        </w:rPr>
      </w:r>
      <w:r>
        <w:rPr>
          <w:noProof/>
        </w:rPr>
        <w:fldChar w:fldCharType="separate"/>
      </w:r>
      <w:r w:rsidR="00D7564C">
        <w:rPr>
          <w:noProof/>
        </w:rPr>
        <w:t>58</w:t>
      </w:r>
      <w:r>
        <w:rPr>
          <w:noProof/>
        </w:rPr>
        <w:fldChar w:fldCharType="end"/>
      </w:r>
    </w:p>
    <w:p w14:paraId="11F69649" w14:textId="4E76BDAE" w:rsidR="00B575D3" w:rsidRDefault="00B575D3">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_Toc60056009 \h </w:instrText>
      </w:r>
      <w:r>
        <w:rPr>
          <w:noProof/>
        </w:rPr>
      </w:r>
      <w:r>
        <w:rPr>
          <w:noProof/>
        </w:rPr>
        <w:fldChar w:fldCharType="separate"/>
      </w:r>
      <w:r w:rsidR="00D7564C">
        <w:rPr>
          <w:noProof/>
        </w:rPr>
        <w:t>61</w:t>
      </w:r>
      <w:r>
        <w:rPr>
          <w:noProof/>
        </w:rPr>
        <w:fldChar w:fldCharType="end"/>
      </w:r>
    </w:p>
    <w:p w14:paraId="3BF02644" w14:textId="0749A0B8" w:rsidR="00B575D3" w:rsidRDefault="00B575D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_Toc60056010 \h </w:instrText>
      </w:r>
      <w:r>
        <w:rPr>
          <w:noProof/>
        </w:rPr>
      </w:r>
      <w:r>
        <w:rPr>
          <w:noProof/>
        </w:rPr>
        <w:fldChar w:fldCharType="separate"/>
      </w:r>
      <w:r w:rsidR="00D7564C">
        <w:rPr>
          <w:noProof/>
        </w:rPr>
        <w:t>64</w:t>
      </w:r>
      <w:r>
        <w:rPr>
          <w:noProof/>
        </w:rPr>
        <w:fldChar w:fldCharType="end"/>
      </w:r>
    </w:p>
    <w:p w14:paraId="06F8DDF1" w14:textId="64B4647D" w:rsidR="00B575D3" w:rsidRDefault="00B575D3">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_Toc60056011 \h </w:instrText>
      </w:r>
      <w:r>
        <w:rPr>
          <w:noProof/>
        </w:rPr>
      </w:r>
      <w:r>
        <w:rPr>
          <w:noProof/>
        </w:rPr>
        <w:fldChar w:fldCharType="separate"/>
      </w:r>
      <w:r w:rsidR="00D7564C">
        <w:rPr>
          <w:noProof/>
        </w:rPr>
        <w:t>64</w:t>
      </w:r>
      <w:r>
        <w:rPr>
          <w:noProof/>
        </w:rPr>
        <w:fldChar w:fldCharType="end"/>
      </w:r>
    </w:p>
    <w:p w14:paraId="146714DC" w14:textId="03AAD0D4" w:rsidR="00B575D3" w:rsidRDefault="00B575D3">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_Toc60056012 \h </w:instrText>
      </w:r>
      <w:r>
        <w:rPr>
          <w:noProof/>
        </w:rPr>
      </w:r>
      <w:r>
        <w:rPr>
          <w:noProof/>
        </w:rPr>
        <w:fldChar w:fldCharType="separate"/>
      </w:r>
      <w:r w:rsidR="00D7564C">
        <w:rPr>
          <w:noProof/>
        </w:rPr>
        <w:t>64</w:t>
      </w:r>
      <w:r>
        <w:rPr>
          <w:noProof/>
        </w:rPr>
        <w:fldChar w:fldCharType="end"/>
      </w:r>
    </w:p>
    <w:p w14:paraId="5197F923" w14:textId="3FBC2758" w:rsidR="00B575D3" w:rsidRDefault="00B575D3">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_Toc60056013 \h </w:instrText>
      </w:r>
      <w:r>
        <w:rPr>
          <w:noProof/>
        </w:rPr>
      </w:r>
      <w:r>
        <w:rPr>
          <w:noProof/>
        </w:rPr>
        <w:fldChar w:fldCharType="separate"/>
      </w:r>
      <w:r w:rsidR="00D7564C">
        <w:rPr>
          <w:noProof/>
        </w:rPr>
        <w:t>64</w:t>
      </w:r>
      <w:r>
        <w:rPr>
          <w:noProof/>
        </w:rPr>
        <w:fldChar w:fldCharType="end"/>
      </w:r>
    </w:p>
    <w:p w14:paraId="4E3D9CEA" w14:textId="5CBF0368" w:rsidR="00B575D3" w:rsidRDefault="00B575D3">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97606">
        <w:rPr>
          <w:i/>
          <w:noProof/>
        </w:rPr>
        <w:t>k</w:t>
      </w:r>
      <w:r>
        <w:rPr>
          <w:noProof/>
        </w:rPr>
        <w:t>(</w:t>
      </w:r>
      <w:r w:rsidRPr="00B97606">
        <w:rPr>
          <w:i/>
          <w:noProof/>
        </w:rPr>
        <w:t>E</w:t>
      </w:r>
      <w:r>
        <w:rPr>
          <w:noProof/>
        </w:rPr>
        <w:t>)s &amp; Tunnelling Corrections</w:t>
      </w:r>
      <w:r>
        <w:rPr>
          <w:noProof/>
        </w:rPr>
        <w:tab/>
      </w:r>
      <w:r>
        <w:rPr>
          <w:noProof/>
        </w:rPr>
        <w:fldChar w:fldCharType="begin"/>
      </w:r>
      <w:r>
        <w:rPr>
          <w:noProof/>
        </w:rPr>
        <w:instrText xml:space="preserve"> PAGEREF _Toc60056014 \h </w:instrText>
      </w:r>
      <w:r>
        <w:rPr>
          <w:noProof/>
        </w:rPr>
      </w:r>
      <w:r>
        <w:rPr>
          <w:noProof/>
        </w:rPr>
        <w:fldChar w:fldCharType="separate"/>
      </w:r>
      <w:r w:rsidR="00D7564C">
        <w:rPr>
          <w:noProof/>
        </w:rPr>
        <w:t>64</w:t>
      </w:r>
      <w:r>
        <w:rPr>
          <w:noProof/>
        </w:rPr>
        <w:fldChar w:fldCharType="end"/>
      </w:r>
    </w:p>
    <w:p w14:paraId="2CB997BF" w14:textId="41964E43" w:rsidR="00B575D3" w:rsidRDefault="00B575D3">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_Toc60056015 \h </w:instrText>
      </w:r>
      <w:r>
        <w:rPr>
          <w:noProof/>
        </w:rPr>
      </w:r>
      <w:r>
        <w:rPr>
          <w:noProof/>
        </w:rPr>
        <w:fldChar w:fldCharType="separate"/>
      </w:r>
      <w:r w:rsidR="00D7564C">
        <w:rPr>
          <w:noProof/>
        </w:rPr>
        <w:t>65</w:t>
      </w:r>
      <w:r>
        <w:rPr>
          <w:noProof/>
        </w:rPr>
        <w:fldChar w:fldCharType="end"/>
      </w:r>
    </w:p>
    <w:p w14:paraId="66FF52F3" w14:textId="7F0F9CD0" w:rsidR="00B575D3" w:rsidRDefault="00B575D3">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_Toc60056016 \h </w:instrText>
      </w:r>
      <w:r>
        <w:rPr>
          <w:noProof/>
        </w:rPr>
      </w:r>
      <w:r>
        <w:rPr>
          <w:noProof/>
        </w:rPr>
        <w:fldChar w:fldCharType="separate"/>
      </w:r>
      <w:r w:rsidR="00D7564C">
        <w:rPr>
          <w:noProof/>
        </w:rPr>
        <w:t>66</w:t>
      </w:r>
      <w:r>
        <w:rPr>
          <w:noProof/>
        </w:rPr>
        <w:fldChar w:fldCharType="end"/>
      </w:r>
    </w:p>
    <w:p w14:paraId="6C1E28F0" w14:textId="35CBCE8A" w:rsidR="00B575D3" w:rsidRDefault="00B575D3">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_Toc60056017 \h </w:instrText>
      </w:r>
      <w:r>
        <w:rPr>
          <w:noProof/>
        </w:rPr>
      </w:r>
      <w:r>
        <w:rPr>
          <w:noProof/>
        </w:rPr>
        <w:fldChar w:fldCharType="separate"/>
      </w:r>
      <w:r w:rsidR="00D7564C">
        <w:rPr>
          <w:noProof/>
        </w:rPr>
        <w:t>67</w:t>
      </w:r>
      <w:r>
        <w:rPr>
          <w:noProof/>
        </w:rPr>
        <w:fldChar w:fldCharType="end"/>
      </w:r>
    </w:p>
    <w:p w14:paraId="5C157845" w14:textId="5299B843" w:rsidR="00B575D3" w:rsidRDefault="00B575D3">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_Toc60056018 \h </w:instrText>
      </w:r>
      <w:r>
        <w:rPr>
          <w:noProof/>
        </w:rPr>
      </w:r>
      <w:r>
        <w:rPr>
          <w:noProof/>
        </w:rPr>
        <w:fldChar w:fldCharType="separate"/>
      </w:r>
      <w:r w:rsidR="00D7564C">
        <w:rPr>
          <w:noProof/>
        </w:rPr>
        <w:t>68</w:t>
      </w:r>
      <w:r>
        <w:rPr>
          <w:noProof/>
        </w:rPr>
        <w:fldChar w:fldCharType="end"/>
      </w:r>
    </w:p>
    <w:p w14:paraId="3EB3DD49" w14:textId="7A8642B2" w:rsidR="00B575D3" w:rsidRDefault="00B575D3">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_Toc60056019 \h </w:instrText>
      </w:r>
      <w:r>
        <w:rPr>
          <w:noProof/>
        </w:rPr>
      </w:r>
      <w:r>
        <w:rPr>
          <w:noProof/>
        </w:rPr>
        <w:fldChar w:fldCharType="separate"/>
      </w:r>
      <w:r w:rsidR="00D7564C">
        <w:rPr>
          <w:noProof/>
        </w:rPr>
        <w:t>69</w:t>
      </w:r>
      <w:r>
        <w:rPr>
          <w:noProof/>
        </w:rPr>
        <w:fldChar w:fldCharType="end"/>
      </w:r>
    </w:p>
    <w:p w14:paraId="153D1AC8" w14:textId="6A607A1F" w:rsidR="00B575D3" w:rsidRDefault="00B575D3">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_Toc60056020 \h </w:instrText>
      </w:r>
      <w:r>
        <w:rPr>
          <w:noProof/>
        </w:rPr>
      </w:r>
      <w:r>
        <w:rPr>
          <w:noProof/>
        </w:rPr>
        <w:fldChar w:fldCharType="separate"/>
      </w:r>
      <w:r w:rsidR="00D7564C">
        <w:rPr>
          <w:noProof/>
        </w:rPr>
        <w:t>69</w:t>
      </w:r>
      <w:r>
        <w:rPr>
          <w:noProof/>
        </w:rPr>
        <w:fldChar w:fldCharType="end"/>
      </w:r>
    </w:p>
    <w:p w14:paraId="6439154A" w14:textId="5056B5C3" w:rsidR="00B575D3" w:rsidRDefault="00B575D3">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_Toc60056021 \h </w:instrText>
      </w:r>
      <w:r>
        <w:rPr>
          <w:noProof/>
        </w:rPr>
      </w:r>
      <w:r>
        <w:rPr>
          <w:noProof/>
        </w:rPr>
        <w:fldChar w:fldCharType="separate"/>
      </w:r>
      <w:r w:rsidR="00D7564C">
        <w:rPr>
          <w:noProof/>
        </w:rPr>
        <w:t>72</w:t>
      </w:r>
      <w:r>
        <w:rPr>
          <w:noProof/>
        </w:rPr>
        <w:fldChar w:fldCharType="end"/>
      </w:r>
    </w:p>
    <w:p w14:paraId="7CF29F48" w14:textId="5B2F679D" w:rsidR="00B575D3" w:rsidRDefault="00B575D3">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_Toc60056022 \h </w:instrText>
      </w:r>
      <w:r>
        <w:rPr>
          <w:noProof/>
        </w:rPr>
      </w:r>
      <w:r>
        <w:rPr>
          <w:noProof/>
        </w:rPr>
        <w:fldChar w:fldCharType="separate"/>
      </w:r>
      <w:r w:rsidR="00D7564C">
        <w:rPr>
          <w:noProof/>
        </w:rPr>
        <w:t>72</w:t>
      </w:r>
      <w:r>
        <w:rPr>
          <w:noProof/>
        </w:rPr>
        <w:fldChar w:fldCharType="end"/>
      </w:r>
    </w:p>
    <w:p w14:paraId="02D5807A" w14:textId="5074A4B0" w:rsidR="00B575D3" w:rsidRDefault="00B575D3">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_Toc60056023 \h </w:instrText>
      </w:r>
      <w:r>
        <w:rPr>
          <w:noProof/>
        </w:rPr>
      </w:r>
      <w:r>
        <w:rPr>
          <w:noProof/>
        </w:rPr>
        <w:fldChar w:fldCharType="separate"/>
      </w:r>
      <w:r w:rsidR="00D7564C">
        <w:rPr>
          <w:noProof/>
        </w:rPr>
        <w:t>73</w:t>
      </w:r>
      <w:r>
        <w:rPr>
          <w:noProof/>
        </w:rPr>
        <w:fldChar w:fldCharType="end"/>
      </w:r>
    </w:p>
    <w:p w14:paraId="53AE6A69" w14:textId="73015500" w:rsidR="00B575D3" w:rsidRDefault="00B575D3">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_Toc60056024 \h </w:instrText>
      </w:r>
      <w:r>
        <w:rPr>
          <w:noProof/>
        </w:rPr>
      </w:r>
      <w:r>
        <w:rPr>
          <w:noProof/>
        </w:rPr>
        <w:fldChar w:fldCharType="separate"/>
      </w:r>
      <w:r w:rsidR="00D7564C">
        <w:rPr>
          <w:noProof/>
        </w:rPr>
        <w:t>73</w:t>
      </w:r>
      <w:r>
        <w:rPr>
          <w:noProof/>
        </w:rPr>
        <w:fldChar w:fldCharType="end"/>
      </w:r>
    </w:p>
    <w:p w14:paraId="653530C9" w14:textId="0E6C874B" w:rsidR="00B575D3" w:rsidRDefault="00B575D3">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_Toc60056025 \h </w:instrText>
      </w:r>
      <w:r>
        <w:rPr>
          <w:noProof/>
        </w:rPr>
      </w:r>
      <w:r>
        <w:rPr>
          <w:noProof/>
        </w:rPr>
        <w:fldChar w:fldCharType="separate"/>
      </w:r>
      <w:r w:rsidR="00D7564C">
        <w:rPr>
          <w:noProof/>
        </w:rPr>
        <w:t>74</w:t>
      </w:r>
      <w:r>
        <w:rPr>
          <w:noProof/>
        </w:rPr>
        <w:fldChar w:fldCharType="end"/>
      </w:r>
    </w:p>
    <w:p w14:paraId="449D7C6A" w14:textId="2FFC301C" w:rsidR="00B575D3" w:rsidRDefault="00B575D3">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_Toc60056026 \h </w:instrText>
      </w:r>
      <w:r>
        <w:rPr>
          <w:noProof/>
        </w:rPr>
      </w:r>
      <w:r>
        <w:rPr>
          <w:noProof/>
        </w:rPr>
        <w:fldChar w:fldCharType="separate"/>
      </w:r>
      <w:r w:rsidR="00D7564C">
        <w:rPr>
          <w:noProof/>
        </w:rPr>
        <w:t>74</w:t>
      </w:r>
      <w:r>
        <w:rPr>
          <w:noProof/>
        </w:rPr>
        <w:fldChar w:fldCharType="end"/>
      </w:r>
    </w:p>
    <w:p w14:paraId="68BACFD6" w14:textId="2067BF94" w:rsidR="00B575D3" w:rsidRDefault="00B575D3">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_Toc60056027 \h </w:instrText>
      </w:r>
      <w:r>
        <w:rPr>
          <w:noProof/>
        </w:rPr>
      </w:r>
      <w:r>
        <w:rPr>
          <w:noProof/>
        </w:rPr>
        <w:fldChar w:fldCharType="separate"/>
      </w:r>
      <w:r w:rsidR="00D7564C">
        <w:rPr>
          <w:noProof/>
        </w:rPr>
        <w:t>75</w:t>
      </w:r>
      <w:r>
        <w:rPr>
          <w:noProof/>
        </w:rPr>
        <w:fldChar w:fldCharType="end"/>
      </w:r>
    </w:p>
    <w:p w14:paraId="61C44312" w14:textId="33A79642" w:rsidR="00B575D3" w:rsidRDefault="00B575D3">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_Toc60056028 \h </w:instrText>
      </w:r>
      <w:r>
        <w:rPr>
          <w:noProof/>
        </w:rPr>
      </w:r>
      <w:r>
        <w:rPr>
          <w:noProof/>
        </w:rPr>
        <w:fldChar w:fldCharType="separate"/>
      </w:r>
      <w:r w:rsidR="00D7564C">
        <w:rPr>
          <w:noProof/>
        </w:rPr>
        <w:t>75</w:t>
      </w:r>
      <w:r>
        <w:rPr>
          <w:noProof/>
        </w:rPr>
        <w:fldChar w:fldCharType="end"/>
      </w:r>
    </w:p>
    <w:p w14:paraId="414DECD2" w14:textId="04065BA8" w:rsidR="00B575D3" w:rsidRDefault="00B575D3">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_Toc60056029 \h </w:instrText>
      </w:r>
      <w:r>
        <w:rPr>
          <w:noProof/>
        </w:rPr>
      </w:r>
      <w:r>
        <w:rPr>
          <w:noProof/>
        </w:rPr>
        <w:fldChar w:fldCharType="separate"/>
      </w:r>
      <w:r w:rsidR="00D7564C">
        <w:rPr>
          <w:noProof/>
        </w:rPr>
        <w:t>76</w:t>
      </w:r>
      <w:r>
        <w:rPr>
          <w:noProof/>
        </w:rPr>
        <w:fldChar w:fldCharType="end"/>
      </w:r>
    </w:p>
    <w:p w14:paraId="6583019D" w14:textId="537AC07D"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_Toc60056030 \h </w:instrText>
      </w:r>
      <w:r>
        <w:rPr>
          <w:noProof/>
        </w:rPr>
      </w:r>
      <w:r>
        <w:rPr>
          <w:noProof/>
        </w:rPr>
        <w:fldChar w:fldCharType="separate"/>
      </w:r>
      <w:r w:rsidR="00D7564C">
        <w:rPr>
          <w:noProof/>
        </w:rPr>
        <w:t>77</w:t>
      </w:r>
      <w:r>
        <w:rPr>
          <w:noProof/>
        </w:rPr>
        <w:fldChar w:fldCharType="end"/>
      </w:r>
    </w:p>
    <w:p w14:paraId="6DE1CF41" w14:textId="11249D0C" w:rsidR="00B575D3" w:rsidRDefault="00B575D3">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97606">
        <w:rPr>
          <w:noProof/>
          <w:vertAlign w:val="subscript"/>
        </w:rPr>
        <w:t>2</w:t>
      </w:r>
      <w:r>
        <w:rPr>
          <w:noProof/>
        </w:rPr>
        <w:tab/>
      </w:r>
      <w:r>
        <w:rPr>
          <w:noProof/>
        </w:rPr>
        <w:fldChar w:fldCharType="begin"/>
      </w:r>
      <w:r>
        <w:rPr>
          <w:noProof/>
        </w:rPr>
        <w:instrText xml:space="preserve"> PAGEREF _Toc60056031 \h </w:instrText>
      </w:r>
      <w:r>
        <w:rPr>
          <w:noProof/>
        </w:rPr>
      </w:r>
      <w:r>
        <w:rPr>
          <w:noProof/>
        </w:rPr>
        <w:fldChar w:fldCharType="separate"/>
      </w:r>
      <w:r w:rsidR="00D7564C">
        <w:rPr>
          <w:noProof/>
        </w:rPr>
        <w:t>78</w:t>
      </w:r>
      <w:r>
        <w:rPr>
          <w:noProof/>
        </w:rPr>
        <w:fldChar w:fldCharType="end"/>
      </w:r>
    </w:p>
    <w:p w14:paraId="0AD8EE0C" w14:textId="39FE485E" w:rsidR="00B575D3" w:rsidRDefault="00B575D3">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97606">
        <w:rPr>
          <w:noProof/>
          <w:vertAlign w:val="subscript"/>
        </w:rPr>
        <w:t>2</w:t>
      </w:r>
      <w:r>
        <w:rPr>
          <w:noProof/>
        </w:rPr>
        <w:t>H</w:t>
      </w:r>
      <w:r w:rsidRPr="00B97606">
        <w:rPr>
          <w:noProof/>
          <w:vertAlign w:val="subscript"/>
        </w:rPr>
        <w:t>2</w:t>
      </w:r>
      <w:r>
        <w:rPr>
          <w:noProof/>
        </w:rPr>
        <w:tab/>
      </w:r>
      <w:r>
        <w:rPr>
          <w:noProof/>
        </w:rPr>
        <w:fldChar w:fldCharType="begin"/>
      </w:r>
      <w:r>
        <w:rPr>
          <w:noProof/>
        </w:rPr>
        <w:instrText xml:space="preserve"> PAGEREF _Toc60056032 \h </w:instrText>
      </w:r>
      <w:r>
        <w:rPr>
          <w:noProof/>
        </w:rPr>
      </w:r>
      <w:r>
        <w:rPr>
          <w:noProof/>
        </w:rPr>
        <w:fldChar w:fldCharType="separate"/>
      </w:r>
      <w:r w:rsidR="00D7564C">
        <w:rPr>
          <w:noProof/>
        </w:rPr>
        <w:t>79</w:t>
      </w:r>
      <w:r>
        <w:rPr>
          <w:noProof/>
        </w:rPr>
        <w:fldChar w:fldCharType="end"/>
      </w:r>
    </w:p>
    <w:p w14:paraId="3F30F888" w14:textId="6E8EFEBA" w:rsidR="00B575D3" w:rsidRDefault="00B575D3">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B97606">
        <w:rPr>
          <w:noProof/>
          <w:vertAlign w:val="subscript"/>
        </w:rPr>
        <w:t>3</w:t>
      </w:r>
      <w:r>
        <w:rPr>
          <w:noProof/>
        </w:rPr>
        <w:t>CO + O</w:t>
      </w:r>
      <w:r w:rsidRPr="00B97606">
        <w:rPr>
          <w:noProof/>
          <w:vertAlign w:val="subscript"/>
        </w:rPr>
        <w:t>2</w:t>
      </w:r>
      <w:r>
        <w:rPr>
          <w:noProof/>
        </w:rPr>
        <w:tab/>
      </w:r>
      <w:r>
        <w:rPr>
          <w:noProof/>
        </w:rPr>
        <w:fldChar w:fldCharType="begin"/>
      </w:r>
      <w:r>
        <w:rPr>
          <w:noProof/>
        </w:rPr>
        <w:instrText xml:space="preserve"> PAGEREF _Toc60056033 \h </w:instrText>
      </w:r>
      <w:r>
        <w:rPr>
          <w:noProof/>
        </w:rPr>
      </w:r>
      <w:r>
        <w:rPr>
          <w:noProof/>
        </w:rPr>
        <w:fldChar w:fldCharType="separate"/>
      </w:r>
      <w:r w:rsidR="00D7564C">
        <w:rPr>
          <w:noProof/>
        </w:rPr>
        <w:t>80</w:t>
      </w:r>
      <w:r>
        <w:rPr>
          <w:noProof/>
        </w:rPr>
        <w:fldChar w:fldCharType="end"/>
      </w:r>
    </w:p>
    <w:p w14:paraId="54BB5FC2" w14:textId="6A847EB6" w:rsidR="00B575D3" w:rsidRDefault="00B575D3">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97606">
        <w:rPr>
          <w:i/>
          <w:noProof/>
        </w:rPr>
        <w:t>i-</w:t>
      </w:r>
      <w:r>
        <w:rPr>
          <w:noProof/>
        </w:rPr>
        <w:t>propyl)</w:t>
      </w:r>
      <w:r>
        <w:rPr>
          <w:noProof/>
        </w:rPr>
        <w:tab/>
      </w:r>
      <w:r>
        <w:rPr>
          <w:noProof/>
        </w:rPr>
        <w:fldChar w:fldCharType="begin"/>
      </w:r>
      <w:r>
        <w:rPr>
          <w:noProof/>
        </w:rPr>
        <w:instrText xml:space="preserve"> PAGEREF _Toc60056034 \h </w:instrText>
      </w:r>
      <w:r>
        <w:rPr>
          <w:noProof/>
        </w:rPr>
      </w:r>
      <w:r>
        <w:rPr>
          <w:noProof/>
        </w:rPr>
        <w:fldChar w:fldCharType="separate"/>
      </w:r>
      <w:r w:rsidR="00D7564C">
        <w:rPr>
          <w:noProof/>
        </w:rPr>
        <w:t>80</w:t>
      </w:r>
      <w:r>
        <w:rPr>
          <w:noProof/>
        </w:rPr>
        <w:fldChar w:fldCharType="end"/>
      </w:r>
    </w:p>
    <w:p w14:paraId="335573F6" w14:textId="65401915" w:rsidR="00B575D3" w:rsidRDefault="00B575D3">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_Toc60056035 \h </w:instrText>
      </w:r>
      <w:r>
        <w:rPr>
          <w:noProof/>
        </w:rPr>
      </w:r>
      <w:r>
        <w:rPr>
          <w:noProof/>
        </w:rPr>
        <w:fldChar w:fldCharType="separate"/>
      </w:r>
      <w:r w:rsidR="00D7564C">
        <w:rPr>
          <w:noProof/>
        </w:rPr>
        <w:t>81</w:t>
      </w:r>
      <w:r>
        <w:rPr>
          <w:noProof/>
        </w:rPr>
        <w:fldChar w:fldCharType="end"/>
      </w:r>
    </w:p>
    <w:p w14:paraId="704E8014" w14:textId="4DDDD439" w:rsidR="00B575D3" w:rsidRDefault="00B575D3">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_Toc60056036 \h </w:instrText>
      </w:r>
      <w:r>
        <w:rPr>
          <w:noProof/>
        </w:rPr>
      </w:r>
      <w:r>
        <w:rPr>
          <w:noProof/>
        </w:rPr>
        <w:fldChar w:fldCharType="separate"/>
      </w:r>
      <w:r w:rsidR="00D7564C">
        <w:rPr>
          <w:noProof/>
        </w:rPr>
        <w:t>81</w:t>
      </w:r>
      <w:r>
        <w:rPr>
          <w:noProof/>
        </w:rPr>
        <w:fldChar w:fldCharType="end"/>
      </w:r>
    </w:p>
    <w:p w14:paraId="0E9465B2" w14:textId="351241A7" w:rsidR="00B575D3" w:rsidRDefault="00B575D3">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_Toc60056037 \h </w:instrText>
      </w:r>
      <w:r>
        <w:rPr>
          <w:noProof/>
        </w:rPr>
      </w:r>
      <w:r>
        <w:rPr>
          <w:noProof/>
        </w:rPr>
        <w:fldChar w:fldCharType="separate"/>
      </w:r>
      <w:r w:rsidR="00D7564C">
        <w:rPr>
          <w:noProof/>
        </w:rPr>
        <w:t>81</w:t>
      </w:r>
      <w:r>
        <w:rPr>
          <w:noProof/>
        </w:rPr>
        <w:fldChar w:fldCharType="end"/>
      </w:r>
    </w:p>
    <w:p w14:paraId="6E0E1CD3" w14:textId="377563F0" w:rsidR="00B575D3" w:rsidRDefault="00B575D3">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_Toc60056038 \h </w:instrText>
      </w:r>
      <w:r>
        <w:rPr>
          <w:noProof/>
        </w:rPr>
      </w:r>
      <w:r>
        <w:rPr>
          <w:noProof/>
        </w:rPr>
        <w:fldChar w:fldCharType="separate"/>
      </w:r>
      <w:r w:rsidR="00D7564C">
        <w:rPr>
          <w:noProof/>
        </w:rPr>
        <w:t>82</w:t>
      </w:r>
      <w:r>
        <w:rPr>
          <w:noProof/>
        </w:rPr>
        <w:fldChar w:fldCharType="end"/>
      </w:r>
    </w:p>
    <w:p w14:paraId="2E74CF94" w14:textId="4E64B6F4" w:rsidR="00B575D3" w:rsidRDefault="00B575D3">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_Toc60056039 \h </w:instrText>
      </w:r>
      <w:r>
        <w:rPr>
          <w:noProof/>
        </w:rPr>
      </w:r>
      <w:r>
        <w:rPr>
          <w:noProof/>
        </w:rPr>
        <w:fldChar w:fldCharType="separate"/>
      </w:r>
      <w:r w:rsidR="00D7564C">
        <w:rPr>
          <w:noProof/>
        </w:rPr>
        <w:t>86</w:t>
      </w:r>
      <w:r>
        <w:rPr>
          <w:noProof/>
        </w:rPr>
        <w:fldChar w:fldCharType="end"/>
      </w:r>
    </w:p>
    <w:p w14:paraId="524C1D3B" w14:textId="050B93AB" w:rsidR="00B575D3" w:rsidRDefault="00B575D3">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_Toc60056040 \h </w:instrText>
      </w:r>
      <w:r>
        <w:rPr>
          <w:noProof/>
        </w:rPr>
      </w:r>
      <w:r>
        <w:rPr>
          <w:noProof/>
        </w:rPr>
        <w:fldChar w:fldCharType="separate"/>
      </w:r>
      <w:r w:rsidR="00D7564C">
        <w:rPr>
          <w:noProof/>
        </w:rPr>
        <w:t>86</w:t>
      </w:r>
      <w:r>
        <w:rPr>
          <w:noProof/>
        </w:rPr>
        <w:fldChar w:fldCharType="end"/>
      </w:r>
    </w:p>
    <w:p w14:paraId="4D0A50AD" w14:textId="55DA1E72" w:rsidR="00B575D3" w:rsidRDefault="00B575D3">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_Toc60056041 \h </w:instrText>
      </w:r>
      <w:r>
        <w:rPr>
          <w:noProof/>
        </w:rPr>
      </w:r>
      <w:r>
        <w:rPr>
          <w:noProof/>
        </w:rPr>
        <w:fldChar w:fldCharType="separate"/>
      </w:r>
      <w:r w:rsidR="00D7564C">
        <w:rPr>
          <w:noProof/>
        </w:rPr>
        <w:t>87</w:t>
      </w:r>
      <w:r>
        <w:rPr>
          <w:noProof/>
        </w:rPr>
        <w:fldChar w:fldCharType="end"/>
      </w:r>
    </w:p>
    <w:p w14:paraId="1FC5DA6F" w14:textId="388773E8" w:rsidR="00B575D3" w:rsidRDefault="00B575D3">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_Toc60056042 \h </w:instrText>
      </w:r>
      <w:r>
        <w:rPr>
          <w:noProof/>
        </w:rPr>
      </w:r>
      <w:r>
        <w:rPr>
          <w:noProof/>
        </w:rPr>
        <w:fldChar w:fldCharType="separate"/>
      </w:r>
      <w:r w:rsidR="00D7564C">
        <w:rPr>
          <w:noProof/>
        </w:rPr>
        <w:t>87</w:t>
      </w:r>
      <w:r>
        <w:rPr>
          <w:noProof/>
        </w:rPr>
        <w:fldChar w:fldCharType="end"/>
      </w:r>
    </w:p>
    <w:p w14:paraId="0459A926" w14:textId="3C0C6831" w:rsidR="00B575D3" w:rsidRDefault="00B575D3">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_Toc60056043 \h </w:instrText>
      </w:r>
      <w:r>
        <w:rPr>
          <w:noProof/>
        </w:rPr>
      </w:r>
      <w:r>
        <w:rPr>
          <w:noProof/>
        </w:rPr>
        <w:fldChar w:fldCharType="separate"/>
      </w:r>
      <w:r w:rsidR="00D7564C">
        <w:rPr>
          <w:noProof/>
        </w:rPr>
        <w:t>87</w:t>
      </w:r>
      <w:r>
        <w:rPr>
          <w:noProof/>
        </w:rPr>
        <w:fldChar w:fldCharType="end"/>
      </w:r>
    </w:p>
    <w:p w14:paraId="7EBABB97" w14:textId="5871CCCD" w:rsidR="00B575D3" w:rsidRDefault="00B575D3">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_Toc60056044 \h </w:instrText>
      </w:r>
      <w:r>
        <w:rPr>
          <w:noProof/>
        </w:rPr>
      </w:r>
      <w:r>
        <w:rPr>
          <w:noProof/>
        </w:rPr>
        <w:fldChar w:fldCharType="separate"/>
      </w:r>
      <w:r w:rsidR="00D7564C">
        <w:rPr>
          <w:noProof/>
        </w:rPr>
        <w:t>87</w:t>
      </w:r>
      <w:r>
        <w:rPr>
          <w:noProof/>
        </w:rPr>
        <w:fldChar w:fldCharType="end"/>
      </w:r>
    </w:p>
    <w:p w14:paraId="5CBB972D" w14:textId="197FD0E5" w:rsidR="00B575D3" w:rsidRDefault="00B575D3">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_Toc60056045 \h </w:instrText>
      </w:r>
      <w:r>
        <w:rPr>
          <w:noProof/>
        </w:rPr>
      </w:r>
      <w:r>
        <w:rPr>
          <w:noProof/>
        </w:rPr>
        <w:fldChar w:fldCharType="separate"/>
      </w:r>
      <w:r w:rsidR="00D7564C">
        <w:rPr>
          <w:noProof/>
        </w:rPr>
        <w:t>88</w:t>
      </w:r>
      <w:r>
        <w:rPr>
          <w:noProof/>
        </w:rPr>
        <w:fldChar w:fldCharType="end"/>
      </w:r>
    </w:p>
    <w:p w14:paraId="23A374FD" w14:textId="083BB01B" w:rsidR="00B575D3" w:rsidRDefault="00B575D3">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_Toc60056046 \h </w:instrText>
      </w:r>
      <w:r>
        <w:rPr>
          <w:noProof/>
        </w:rPr>
      </w:r>
      <w:r>
        <w:rPr>
          <w:noProof/>
        </w:rPr>
        <w:fldChar w:fldCharType="separate"/>
      </w:r>
      <w:r w:rsidR="00D7564C">
        <w:rPr>
          <w:noProof/>
        </w:rPr>
        <w:t>88</w:t>
      </w:r>
      <w:r>
        <w:rPr>
          <w:noProof/>
        </w:rPr>
        <w:fldChar w:fldCharType="end"/>
      </w:r>
    </w:p>
    <w:p w14:paraId="50CBC701" w14:textId="45D583DD" w:rsidR="00B575D3" w:rsidRDefault="00B575D3">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_Toc60056047 \h </w:instrText>
      </w:r>
      <w:r>
        <w:rPr>
          <w:noProof/>
        </w:rPr>
      </w:r>
      <w:r>
        <w:rPr>
          <w:noProof/>
        </w:rPr>
        <w:fldChar w:fldCharType="separate"/>
      </w:r>
      <w:r w:rsidR="00D7564C">
        <w:rPr>
          <w:noProof/>
        </w:rPr>
        <w:t>88</w:t>
      </w:r>
      <w:r>
        <w:rPr>
          <w:noProof/>
        </w:rPr>
        <w:fldChar w:fldCharType="end"/>
      </w:r>
    </w:p>
    <w:p w14:paraId="349E5AF0" w14:textId="7E99AB31" w:rsidR="00B575D3" w:rsidRDefault="00B575D3">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_Toc60056048 \h </w:instrText>
      </w:r>
      <w:r>
        <w:rPr>
          <w:noProof/>
        </w:rPr>
      </w:r>
      <w:r>
        <w:rPr>
          <w:noProof/>
        </w:rPr>
        <w:fldChar w:fldCharType="separate"/>
      </w:r>
      <w:r w:rsidR="00D7564C">
        <w:rPr>
          <w:noProof/>
        </w:rPr>
        <w:t>88</w:t>
      </w:r>
      <w:r>
        <w:rPr>
          <w:noProof/>
        </w:rPr>
        <w:fldChar w:fldCharType="end"/>
      </w:r>
    </w:p>
    <w:p w14:paraId="3A138068" w14:textId="674FDD1F" w:rsidR="00B575D3" w:rsidRDefault="00B575D3">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_Toc60056049 \h </w:instrText>
      </w:r>
      <w:r>
        <w:rPr>
          <w:noProof/>
        </w:rPr>
      </w:r>
      <w:r>
        <w:rPr>
          <w:noProof/>
        </w:rPr>
        <w:fldChar w:fldCharType="separate"/>
      </w:r>
      <w:r w:rsidR="00D7564C">
        <w:rPr>
          <w:noProof/>
        </w:rPr>
        <w:t>97</w:t>
      </w:r>
      <w:r>
        <w:rPr>
          <w:noProof/>
        </w:rPr>
        <w:fldChar w:fldCharType="end"/>
      </w:r>
    </w:p>
    <w:p w14:paraId="1931D9BE" w14:textId="055C02FC" w:rsidR="00B575D3" w:rsidRDefault="00B575D3">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_Toc60056050 \h </w:instrText>
      </w:r>
      <w:r>
        <w:rPr>
          <w:noProof/>
        </w:rPr>
      </w:r>
      <w:r>
        <w:rPr>
          <w:noProof/>
        </w:rPr>
        <w:fldChar w:fldCharType="separate"/>
      </w:r>
      <w:r w:rsidR="00D7564C">
        <w:rPr>
          <w:noProof/>
        </w:rPr>
        <w:t>99</w:t>
      </w:r>
      <w:r>
        <w:rPr>
          <w:noProof/>
        </w:rPr>
        <w:fldChar w:fldCharType="end"/>
      </w:r>
    </w:p>
    <w:p w14:paraId="287B1E33" w14:textId="1AFE0245" w:rsidR="00B575D3" w:rsidRDefault="00B575D3">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_Toc60056051 \h </w:instrText>
      </w:r>
      <w:r>
        <w:rPr>
          <w:noProof/>
        </w:rPr>
      </w:r>
      <w:r>
        <w:rPr>
          <w:noProof/>
        </w:rPr>
        <w:fldChar w:fldCharType="separate"/>
      </w:r>
      <w:r w:rsidR="00D7564C">
        <w:rPr>
          <w:noProof/>
        </w:rPr>
        <w:t>107</w:t>
      </w:r>
      <w:r>
        <w:rPr>
          <w:noProof/>
        </w:rPr>
        <w:fldChar w:fldCharType="end"/>
      </w:r>
    </w:p>
    <w:p w14:paraId="16424BA5" w14:textId="13FA24C7" w:rsidR="00B575D3" w:rsidRDefault="00B575D3">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_Toc60056052 \h </w:instrText>
      </w:r>
      <w:r>
        <w:rPr>
          <w:noProof/>
        </w:rPr>
      </w:r>
      <w:r>
        <w:rPr>
          <w:noProof/>
        </w:rPr>
        <w:fldChar w:fldCharType="separate"/>
      </w:r>
      <w:r w:rsidR="00D7564C">
        <w:rPr>
          <w:noProof/>
        </w:rPr>
        <w:t>110</w:t>
      </w:r>
      <w:r>
        <w:rPr>
          <w:noProof/>
        </w:rPr>
        <w:fldChar w:fldCharType="end"/>
      </w:r>
    </w:p>
    <w:p w14:paraId="085CA680" w14:textId="0029F9B1" w:rsidR="00B575D3" w:rsidRDefault="00B575D3">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_Toc60056053 \h </w:instrText>
      </w:r>
      <w:r>
        <w:rPr>
          <w:noProof/>
        </w:rPr>
      </w:r>
      <w:r>
        <w:rPr>
          <w:noProof/>
        </w:rPr>
        <w:fldChar w:fldCharType="separate"/>
      </w:r>
      <w:r w:rsidR="00D7564C">
        <w:rPr>
          <w:noProof/>
        </w:rPr>
        <w:t>112</w:t>
      </w:r>
      <w:r>
        <w:rPr>
          <w:noProof/>
        </w:rPr>
        <w:fldChar w:fldCharType="end"/>
      </w:r>
    </w:p>
    <w:p w14:paraId="656C40C2" w14:textId="309B4F1B" w:rsidR="00B575D3" w:rsidRDefault="00B575D3">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_Toc60056054 \h </w:instrText>
      </w:r>
      <w:r>
        <w:rPr>
          <w:noProof/>
        </w:rPr>
      </w:r>
      <w:r>
        <w:rPr>
          <w:noProof/>
        </w:rPr>
        <w:fldChar w:fldCharType="separate"/>
      </w:r>
      <w:r w:rsidR="00D7564C">
        <w:rPr>
          <w:noProof/>
        </w:rPr>
        <w:t>114</w:t>
      </w:r>
      <w:r>
        <w:rPr>
          <w:noProof/>
        </w:rPr>
        <w:fldChar w:fldCharType="end"/>
      </w:r>
    </w:p>
    <w:p w14:paraId="04FD3E87" w14:textId="32BF55B1" w:rsidR="00B575D3" w:rsidRDefault="00B575D3">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_Toc60056055 \h </w:instrText>
      </w:r>
      <w:r>
        <w:rPr>
          <w:noProof/>
        </w:rPr>
      </w:r>
      <w:r>
        <w:rPr>
          <w:noProof/>
        </w:rPr>
        <w:fldChar w:fldCharType="separate"/>
      </w:r>
      <w:r w:rsidR="00D7564C">
        <w:rPr>
          <w:noProof/>
        </w:rPr>
        <w:t>116</w:t>
      </w:r>
      <w:r>
        <w:rPr>
          <w:noProof/>
        </w:rPr>
        <w:fldChar w:fldCharType="end"/>
      </w:r>
    </w:p>
    <w:p w14:paraId="025471AD" w14:textId="5190024E"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SimpleRRKM</w:t>
      </w:r>
      <w:r>
        <w:rPr>
          <w:noProof/>
        </w:rPr>
        <w:tab/>
      </w:r>
      <w:r>
        <w:rPr>
          <w:noProof/>
        </w:rPr>
        <w:fldChar w:fldCharType="begin"/>
      </w:r>
      <w:r>
        <w:rPr>
          <w:noProof/>
        </w:rPr>
        <w:instrText xml:space="preserve"> PAGEREF _Toc60056056 \h </w:instrText>
      </w:r>
      <w:r>
        <w:rPr>
          <w:noProof/>
        </w:rPr>
      </w:r>
      <w:r>
        <w:rPr>
          <w:noProof/>
        </w:rPr>
        <w:fldChar w:fldCharType="separate"/>
      </w:r>
      <w:r w:rsidR="00D7564C">
        <w:rPr>
          <w:noProof/>
        </w:rPr>
        <w:t>116</w:t>
      </w:r>
      <w:r>
        <w:rPr>
          <w:noProof/>
        </w:rPr>
        <w:fldChar w:fldCharType="end"/>
      </w:r>
    </w:p>
    <w:p w14:paraId="7C99A8E6" w14:textId="74D6980C" w:rsidR="00B575D3" w:rsidRDefault="00B575D3">
      <w:pPr>
        <w:pStyle w:val="TOC2"/>
        <w:rPr>
          <w:rFonts w:asciiTheme="minorHAnsi" w:eastAsiaTheme="minorEastAsia" w:hAnsiTheme="minorHAnsi" w:cstheme="minorBidi"/>
          <w:noProof/>
          <w:szCs w:val="22"/>
          <w:lang w:eastAsia="en-GB"/>
        </w:rPr>
      </w:pPr>
      <w:r w:rsidRPr="00B97606">
        <w:rPr>
          <w:rFonts w:ascii="Courier New" w:hAnsi="Courier New" w:cs="Courier New"/>
          <w:noProof/>
          <w:color w:val="FF0000"/>
        </w:rPr>
        <w:t>dictRef="me:deltaEDown"</w:t>
      </w:r>
      <w:r>
        <w:rPr>
          <w:noProof/>
        </w:rPr>
        <w:tab/>
      </w:r>
      <w:r>
        <w:rPr>
          <w:noProof/>
        </w:rPr>
        <w:fldChar w:fldCharType="begin"/>
      </w:r>
      <w:r>
        <w:rPr>
          <w:noProof/>
        </w:rPr>
        <w:instrText xml:space="preserve"> PAGEREF _Toc60056057 \h </w:instrText>
      </w:r>
      <w:r>
        <w:rPr>
          <w:noProof/>
        </w:rPr>
      </w:r>
      <w:r>
        <w:rPr>
          <w:noProof/>
        </w:rPr>
        <w:fldChar w:fldCharType="separate"/>
      </w:r>
      <w:r w:rsidR="00D7564C">
        <w:rPr>
          <w:noProof/>
        </w:rPr>
        <w:t>116</w:t>
      </w:r>
      <w:r>
        <w:rPr>
          <w:noProof/>
        </w:rPr>
        <w:fldChar w:fldCharType="end"/>
      </w:r>
    </w:p>
    <w:p w14:paraId="2DF18275" w14:textId="316C3D7F" w:rsidR="00B575D3" w:rsidRDefault="00B575D3">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_Toc60056058 \h </w:instrText>
      </w:r>
      <w:r>
        <w:rPr>
          <w:noProof/>
        </w:rPr>
      </w:r>
      <w:r>
        <w:rPr>
          <w:noProof/>
        </w:rPr>
        <w:fldChar w:fldCharType="separate"/>
      </w:r>
      <w:r w:rsidR="00D7564C">
        <w:rPr>
          <w:noProof/>
        </w:rPr>
        <w:t>117</w:t>
      </w:r>
      <w:r>
        <w:rPr>
          <w:noProof/>
        </w:rPr>
        <w:fldChar w:fldCharType="end"/>
      </w:r>
    </w:p>
    <w:p w14:paraId="2526997F" w14:textId="68EA64BE" w:rsidR="00B575D3" w:rsidRDefault="00B575D3">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_Toc60056059 \h </w:instrText>
      </w:r>
      <w:r>
        <w:rPr>
          <w:noProof/>
        </w:rPr>
      </w:r>
      <w:r>
        <w:rPr>
          <w:noProof/>
        </w:rPr>
        <w:fldChar w:fldCharType="separate"/>
      </w:r>
      <w:r w:rsidR="00D7564C">
        <w:rPr>
          <w:noProof/>
        </w:rPr>
        <w:t>120</w:t>
      </w:r>
      <w:r>
        <w:rPr>
          <w:noProof/>
        </w:rPr>
        <w:fldChar w:fldCharType="end"/>
      </w:r>
    </w:p>
    <w:p w14:paraId="54DB728E" w14:textId="27CB2953" w:rsidR="00B575D3" w:rsidRDefault="00B575D3">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_Toc60056060 \h </w:instrText>
      </w:r>
      <w:r>
        <w:rPr>
          <w:noProof/>
        </w:rPr>
      </w:r>
      <w:r>
        <w:rPr>
          <w:noProof/>
        </w:rPr>
        <w:fldChar w:fldCharType="separate"/>
      </w:r>
      <w:r w:rsidR="00D7564C">
        <w:rPr>
          <w:noProof/>
        </w:rPr>
        <w:t>120</w:t>
      </w:r>
      <w:r>
        <w:rPr>
          <w:noProof/>
        </w:rPr>
        <w:fldChar w:fldCharType="end"/>
      </w:r>
    </w:p>
    <w:p w14:paraId="01C68E20" w14:textId="02CABF73" w:rsidR="00B575D3" w:rsidRDefault="00B575D3">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_Toc60056061 \h </w:instrText>
      </w:r>
      <w:r>
        <w:rPr>
          <w:noProof/>
        </w:rPr>
      </w:r>
      <w:r>
        <w:rPr>
          <w:noProof/>
        </w:rPr>
        <w:fldChar w:fldCharType="separate"/>
      </w:r>
      <w:r w:rsidR="00D7564C">
        <w:rPr>
          <w:noProof/>
        </w:rPr>
        <w:t>126</w:t>
      </w:r>
      <w:r>
        <w:rPr>
          <w:noProof/>
        </w:rPr>
        <w:fldChar w:fldCharType="end"/>
      </w:r>
    </w:p>
    <w:p w14:paraId="3947219D" w14:textId="47D716F6" w:rsidR="00B575D3" w:rsidRDefault="00B575D3">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_Toc60056062 \h </w:instrText>
      </w:r>
      <w:r>
        <w:rPr>
          <w:noProof/>
        </w:rPr>
      </w:r>
      <w:r>
        <w:rPr>
          <w:noProof/>
        </w:rPr>
        <w:fldChar w:fldCharType="separate"/>
      </w:r>
      <w:r w:rsidR="00D7564C">
        <w:rPr>
          <w:noProof/>
        </w:rPr>
        <w:t>128</w:t>
      </w:r>
      <w:r>
        <w:rPr>
          <w:noProof/>
        </w:rPr>
        <w:fldChar w:fldCharType="end"/>
      </w:r>
    </w:p>
    <w:p w14:paraId="78E16285" w14:textId="786FBAD0" w:rsidR="00B575D3" w:rsidRDefault="00B575D3">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_Toc60056063 \h </w:instrText>
      </w:r>
      <w:r>
        <w:rPr>
          <w:noProof/>
        </w:rPr>
      </w:r>
      <w:r>
        <w:rPr>
          <w:noProof/>
        </w:rPr>
        <w:fldChar w:fldCharType="separate"/>
      </w:r>
      <w:r w:rsidR="00D7564C">
        <w:rPr>
          <w:noProof/>
        </w:rPr>
        <w:t>129</w:t>
      </w:r>
      <w:r>
        <w:rPr>
          <w:noProof/>
        </w:rPr>
        <w:fldChar w:fldCharType="end"/>
      </w:r>
    </w:p>
    <w:p w14:paraId="798D7B07" w14:textId="5AA5B9BF" w:rsidR="00B575D3" w:rsidRDefault="00B575D3">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_Toc60056064 \h </w:instrText>
      </w:r>
      <w:r>
        <w:rPr>
          <w:noProof/>
        </w:rPr>
      </w:r>
      <w:r>
        <w:rPr>
          <w:noProof/>
        </w:rPr>
        <w:fldChar w:fldCharType="separate"/>
      </w:r>
      <w:r w:rsidR="00D7564C">
        <w:rPr>
          <w:noProof/>
        </w:rPr>
        <w:t>129</w:t>
      </w:r>
      <w:r>
        <w:rPr>
          <w:noProof/>
        </w:rPr>
        <w:fldChar w:fldCharType="end"/>
      </w:r>
    </w:p>
    <w:p w14:paraId="43B5BF58" w14:textId="2D234081" w:rsidR="00B575D3" w:rsidRDefault="00B575D3">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_Toc60056065 \h </w:instrText>
      </w:r>
      <w:r>
        <w:rPr>
          <w:noProof/>
        </w:rPr>
      </w:r>
      <w:r>
        <w:rPr>
          <w:noProof/>
        </w:rPr>
        <w:fldChar w:fldCharType="separate"/>
      </w:r>
      <w:r w:rsidR="00D7564C">
        <w:rPr>
          <w:noProof/>
        </w:rPr>
        <w:t>131</w:t>
      </w:r>
      <w:r>
        <w:rPr>
          <w:noProof/>
        </w:rPr>
        <w:fldChar w:fldCharType="end"/>
      </w:r>
    </w:p>
    <w:p w14:paraId="2E7A59ED" w14:textId="70582690" w:rsidR="00B575D3" w:rsidRDefault="00B575D3">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_Toc60056066 \h </w:instrText>
      </w:r>
      <w:r>
        <w:rPr>
          <w:noProof/>
        </w:rPr>
      </w:r>
      <w:r>
        <w:rPr>
          <w:noProof/>
        </w:rPr>
        <w:fldChar w:fldCharType="separate"/>
      </w:r>
      <w:r w:rsidR="00D7564C">
        <w:rPr>
          <w:noProof/>
        </w:rPr>
        <w:t>132</w:t>
      </w:r>
      <w:r>
        <w:rPr>
          <w:noProof/>
        </w:rPr>
        <w:fldChar w:fldCharType="end"/>
      </w:r>
    </w:p>
    <w:p w14:paraId="26D8B377" w14:textId="3CBB2A64" w:rsidR="00B575D3" w:rsidRDefault="00B575D3">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_Toc60056067 \h </w:instrText>
      </w:r>
      <w:r>
        <w:rPr>
          <w:noProof/>
        </w:rPr>
      </w:r>
      <w:r>
        <w:rPr>
          <w:noProof/>
        </w:rPr>
        <w:fldChar w:fldCharType="separate"/>
      </w:r>
      <w:r w:rsidR="00D7564C">
        <w:rPr>
          <w:noProof/>
        </w:rPr>
        <w:t>132</w:t>
      </w:r>
      <w:r>
        <w:rPr>
          <w:noProof/>
        </w:rPr>
        <w:fldChar w:fldCharType="end"/>
      </w:r>
    </w:p>
    <w:p w14:paraId="626991F4" w14:textId="45AB4C22" w:rsidR="00B575D3" w:rsidRDefault="00B575D3">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_Toc60056068 \h </w:instrText>
      </w:r>
      <w:r>
        <w:rPr>
          <w:noProof/>
        </w:rPr>
      </w:r>
      <w:r>
        <w:rPr>
          <w:noProof/>
        </w:rPr>
        <w:fldChar w:fldCharType="separate"/>
      </w:r>
      <w:r w:rsidR="00D7564C">
        <w:rPr>
          <w:noProof/>
        </w:rPr>
        <w:t>134</w:t>
      </w:r>
      <w:r>
        <w:rPr>
          <w:noProof/>
        </w:rPr>
        <w:fldChar w:fldCharType="end"/>
      </w:r>
    </w:p>
    <w:p w14:paraId="0711208D" w14:textId="7822CADA" w:rsidR="00B575D3" w:rsidRDefault="00B575D3">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_Toc60056069 \h </w:instrText>
      </w:r>
      <w:r>
        <w:rPr>
          <w:noProof/>
        </w:rPr>
      </w:r>
      <w:r>
        <w:rPr>
          <w:noProof/>
        </w:rPr>
        <w:fldChar w:fldCharType="separate"/>
      </w:r>
      <w:r w:rsidR="00D7564C">
        <w:rPr>
          <w:noProof/>
        </w:rPr>
        <w:t>134</w:t>
      </w:r>
      <w:r>
        <w:rPr>
          <w:noProof/>
        </w:rPr>
        <w:fldChar w:fldCharType="end"/>
      </w:r>
    </w:p>
    <w:p w14:paraId="371A6BB5" w14:textId="7751B8C9" w:rsidR="00B575D3" w:rsidRDefault="00B575D3">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_Toc60056070 \h </w:instrText>
      </w:r>
      <w:r>
        <w:rPr>
          <w:noProof/>
        </w:rPr>
      </w:r>
      <w:r>
        <w:rPr>
          <w:noProof/>
        </w:rPr>
        <w:fldChar w:fldCharType="separate"/>
      </w:r>
      <w:r w:rsidR="00D7564C">
        <w:rPr>
          <w:noProof/>
        </w:rPr>
        <w:t>135</w:t>
      </w:r>
      <w:r>
        <w:rPr>
          <w:noProof/>
        </w:rPr>
        <w:fldChar w:fldCharType="end"/>
      </w:r>
    </w:p>
    <w:p w14:paraId="0BA2D839" w14:textId="2BBCFE7E" w:rsidR="00B575D3" w:rsidRDefault="00B575D3">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_Toc60056071 \h </w:instrText>
      </w:r>
      <w:r>
        <w:rPr>
          <w:noProof/>
        </w:rPr>
      </w:r>
      <w:r>
        <w:rPr>
          <w:noProof/>
        </w:rPr>
        <w:fldChar w:fldCharType="separate"/>
      </w:r>
      <w:r w:rsidR="00D7564C">
        <w:rPr>
          <w:noProof/>
        </w:rPr>
        <w:t>139</w:t>
      </w:r>
      <w:r>
        <w:rPr>
          <w:noProof/>
        </w:rPr>
        <w:fldChar w:fldCharType="end"/>
      </w:r>
    </w:p>
    <w:p w14:paraId="014DB18B" w14:textId="0BBE5C91" w:rsidR="00B575D3" w:rsidRDefault="00B575D3">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_Toc60056072 \h </w:instrText>
      </w:r>
      <w:r>
        <w:rPr>
          <w:noProof/>
        </w:rPr>
      </w:r>
      <w:r>
        <w:rPr>
          <w:noProof/>
        </w:rPr>
        <w:fldChar w:fldCharType="separate"/>
      </w:r>
      <w:r w:rsidR="00D7564C">
        <w:rPr>
          <w:noProof/>
        </w:rPr>
        <w:t>139</w:t>
      </w:r>
      <w:r>
        <w:rPr>
          <w:noProof/>
        </w:rPr>
        <w:fldChar w:fldCharType="end"/>
      </w:r>
    </w:p>
    <w:p w14:paraId="1CA0C2C4" w14:textId="777650EB" w:rsidR="00B575D3" w:rsidRDefault="00B575D3">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_Toc60056073 \h </w:instrText>
      </w:r>
      <w:r>
        <w:rPr>
          <w:noProof/>
        </w:rPr>
      </w:r>
      <w:r>
        <w:rPr>
          <w:noProof/>
        </w:rPr>
        <w:fldChar w:fldCharType="separate"/>
      </w:r>
      <w:r w:rsidR="00D7564C">
        <w:rPr>
          <w:noProof/>
        </w:rPr>
        <w:t>139</w:t>
      </w:r>
      <w:r>
        <w:rPr>
          <w:noProof/>
        </w:rPr>
        <w:fldChar w:fldCharType="end"/>
      </w:r>
    </w:p>
    <w:p w14:paraId="5E5CA58E" w14:textId="75E2E575" w:rsidR="00B575D3" w:rsidRDefault="00B575D3">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_Toc60056074 \h </w:instrText>
      </w:r>
      <w:r>
        <w:rPr>
          <w:noProof/>
        </w:rPr>
      </w:r>
      <w:r>
        <w:rPr>
          <w:noProof/>
        </w:rPr>
        <w:fldChar w:fldCharType="separate"/>
      </w:r>
      <w:r w:rsidR="00D7564C">
        <w:rPr>
          <w:noProof/>
        </w:rPr>
        <w:t>139</w:t>
      </w:r>
      <w:r>
        <w:rPr>
          <w:noProof/>
        </w:rPr>
        <w:fldChar w:fldCharType="end"/>
      </w:r>
    </w:p>
    <w:p w14:paraId="23482173" w14:textId="6A69C94A" w:rsidR="00B575D3" w:rsidRDefault="00B575D3">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_Toc60056075 \h </w:instrText>
      </w:r>
      <w:r>
        <w:rPr>
          <w:noProof/>
        </w:rPr>
      </w:r>
      <w:r>
        <w:rPr>
          <w:noProof/>
        </w:rPr>
        <w:fldChar w:fldCharType="separate"/>
      </w:r>
      <w:r w:rsidR="00D7564C">
        <w:rPr>
          <w:noProof/>
        </w:rPr>
        <w:t>140</w:t>
      </w:r>
      <w:r>
        <w:rPr>
          <w:noProof/>
        </w:rPr>
        <w:fldChar w:fldCharType="end"/>
      </w:r>
    </w:p>
    <w:p w14:paraId="2138074E" w14:textId="216C83A9" w:rsidR="00B575D3" w:rsidRDefault="00B575D3">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_Toc60056076 \h </w:instrText>
      </w:r>
      <w:r>
        <w:rPr>
          <w:noProof/>
        </w:rPr>
      </w:r>
      <w:r>
        <w:rPr>
          <w:noProof/>
        </w:rPr>
        <w:fldChar w:fldCharType="separate"/>
      </w:r>
      <w:r w:rsidR="00D7564C">
        <w:rPr>
          <w:noProof/>
        </w:rPr>
        <w:t>140</w:t>
      </w:r>
      <w:r>
        <w:rPr>
          <w:noProof/>
        </w:rPr>
        <w:fldChar w:fldCharType="end"/>
      </w:r>
    </w:p>
    <w:p w14:paraId="7D7CFC98" w14:textId="3824DF25" w:rsidR="00B575D3" w:rsidRDefault="00B575D3">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_Toc60056077 \h </w:instrText>
      </w:r>
      <w:r>
        <w:rPr>
          <w:noProof/>
        </w:rPr>
      </w:r>
      <w:r>
        <w:rPr>
          <w:noProof/>
        </w:rPr>
        <w:fldChar w:fldCharType="separate"/>
      </w:r>
      <w:r w:rsidR="00D7564C">
        <w:rPr>
          <w:noProof/>
        </w:rPr>
        <w:t>141</w:t>
      </w:r>
      <w:r>
        <w:rPr>
          <w:noProof/>
        </w:rPr>
        <w:fldChar w:fldCharType="end"/>
      </w:r>
    </w:p>
    <w:p w14:paraId="3EF35B70" w14:textId="5A37E561" w:rsidR="00B575D3" w:rsidRDefault="00B575D3">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_Toc60056078 \h </w:instrText>
      </w:r>
      <w:r>
        <w:rPr>
          <w:noProof/>
        </w:rPr>
      </w:r>
      <w:r>
        <w:rPr>
          <w:noProof/>
        </w:rPr>
        <w:fldChar w:fldCharType="separate"/>
      </w:r>
      <w:r w:rsidR="00D7564C">
        <w:rPr>
          <w:noProof/>
        </w:rPr>
        <w:t>141</w:t>
      </w:r>
      <w:r>
        <w:rPr>
          <w:noProof/>
        </w:rPr>
        <w:fldChar w:fldCharType="end"/>
      </w:r>
    </w:p>
    <w:p w14:paraId="1907BA39" w14:textId="7B468250" w:rsidR="00B575D3" w:rsidRDefault="00B575D3">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_Toc60056079 \h </w:instrText>
      </w:r>
      <w:r>
        <w:rPr>
          <w:noProof/>
        </w:rPr>
      </w:r>
      <w:r>
        <w:rPr>
          <w:noProof/>
        </w:rPr>
        <w:fldChar w:fldCharType="separate"/>
      </w:r>
      <w:r w:rsidR="00D7564C">
        <w:rPr>
          <w:noProof/>
        </w:rPr>
        <w:t>142</w:t>
      </w:r>
      <w:r>
        <w:rPr>
          <w:noProof/>
        </w:rPr>
        <w:fldChar w:fldCharType="end"/>
      </w:r>
    </w:p>
    <w:p w14:paraId="587FCAB6" w14:textId="7C4BDD43" w:rsidR="00B575D3" w:rsidRDefault="00B575D3">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_Toc60056080 \h </w:instrText>
      </w:r>
      <w:r>
        <w:rPr>
          <w:noProof/>
        </w:rPr>
      </w:r>
      <w:r>
        <w:rPr>
          <w:noProof/>
        </w:rPr>
        <w:fldChar w:fldCharType="separate"/>
      </w:r>
      <w:r w:rsidR="00D7564C">
        <w:rPr>
          <w:noProof/>
        </w:rPr>
        <w:t>143</w:t>
      </w:r>
      <w:r>
        <w:rPr>
          <w:noProof/>
        </w:rPr>
        <w:fldChar w:fldCharType="end"/>
      </w:r>
    </w:p>
    <w:p w14:paraId="39909630" w14:textId="5862C7F0" w:rsidR="00B575D3" w:rsidRDefault="00B575D3">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_Toc60056081 \h </w:instrText>
      </w:r>
      <w:r>
        <w:rPr>
          <w:noProof/>
        </w:rPr>
      </w:r>
      <w:r>
        <w:rPr>
          <w:noProof/>
        </w:rPr>
        <w:fldChar w:fldCharType="separate"/>
      </w:r>
      <w:r w:rsidR="00D7564C">
        <w:rPr>
          <w:noProof/>
        </w:rPr>
        <w:t>144</w:t>
      </w:r>
      <w:r>
        <w:rPr>
          <w:noProof/>
        </w:rPr>
        <w:fldChar w:fldCharType="end"/>
      </w:r>
    </w:p>
    <w:p w14:paraId="7ADE82C1" w14:textId="07939B59" w:rsidR="00B575D3" w:rsidRDefault="00B575D3">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_Toc60056082 \h </w:instrText>
      </w:r>
      <w:r>
        <w:rPr>
          <w:noProof/>
        </w:rPr>
      </w:r>
      <w:r>
        <w:rPr>
          <w:noProof/>
        </w:rPr>
        <w:fldChar w:fldCharType="separate"/>
      </w:r>
      <w:r w:rsidR="00D7564C">
        <w:rPr>
          <w:noProof/>
        </w:rPr>
        <w:t>145</w:t>
      </w:r>
      <w:r>
        <w:rPr>
          <w:noProof/>
        </w:rPr>
        <w:fldChar w:fldCharType="end"/>
      </w:r>
    </w:p>
    <w:p w14:paraId="454B25B7" w14:textId="6031470E" w:rsidR="00B575D3" w:rsidRDefault="00B575D3">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_Toc60056083 \h </w:instrText>
      </w:r>
      <w:r>
        <w:rPr>
          <w:noProof/>
        </w:rPr>
      </w:r>
      <w:r>
        <w:rPr>
          <w:noProof/>
        </w:rPr>
        <w:fldChar w:fldCharType="separate"/>
      </w:r>
      <w:r w:rsidR="00D7564C">
        <w:rPr>
          <w:noProof/>
        </w:rPr>
        <w:t>147</w:t>
      </w:r>
      <w:r>
        <w:rPr>
          <w:noProof/>
        </w:rPr>
        <w:fldChar w:fldCharType="end"/>
      </w:r>
    </w:p>
    <w:p w14:paraId="307D607D" w14:textId="6EF2C434"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C94941" w:rsidR="00812945" w:rsidRDefault="00812945" w:rsidP="00812945">
      <w:pPr>
        <w:pStyle w:val="Heading1"/>
      </w:pPr>
      <w:bookmarkStart w:id="3" w:name="_Toc60055967"/>
      <w:r w:rsidRPr="00C05534">
        <w:lastRenderedPageBreak/>
        <w:t xml:space="preserve">What’s New in MESMER </w:t>
      </w:r>
      <w:r w:rsidR="00AE0BC0">
        <w:t>6.</w:t>
      </w:r>
      <w:r w:rsidR="0055069E">
        <w:t>1</w:t>
      </w:r>
      <w:bookmarkEnd w:id="3"/>
    </w:p>
    <w:p w14:paraId="0C8E7239" w14:textId="2E70497F" w:rsidR="000A6213" w:rsidRDefault="000A6213" w:rsidP="00AC2B99">
      <w:pPr>
        <w:ind w:left="357"/>
      </w:pPr>
      <w:r>
        <w:t>New Features:</w:t>
      </w:r>
    </w:p>
    <w:p w14:paraId="24C051B3" w14:textId="091619BB"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D7564C">
        <w:t>11.2.2</w:t>
      </w:r>
      <w:r w:rsidR="00236655">
        <w:fldChar w:fldCharType="end"/>
      </w:r>
      <w:r>
        <w:t>).</w:t>
      </w:r>
    </w:p>
    <w:p w14:paraId="27EEE2E4" w14:textId="1D045124" w:rsidR="006D1C71" w:rsidRDefault="006D1C71" w:rsidP="006D1C71">
      <w:pPr>
        <w:pStyle w:val="ListParagraph"/>
        <w:numPr>
          <w:ilvl w:val="0"/>
          <w:numId w:val="36"/>
        </w:numPr>
      </w:pPr>
      <w:r>
        <w:t>Lennard-Jones parameter calculation for compounds investigated by Jasper (</w:t>
      </w:r>
      <w:r w:rsidR="005A6F14">
        <w:t>s</w:t>
      </w:r>
      <w:r>
        <w:t>ee section</w:t>
      </w:r>
      <w:r w:rsidR="00B575D3">
        <w:t xml:space="preserve"> </w:t>
      </w:r>
      <w:r w:rsidR="00B575D3">
        <w:fldChar w:fldCharType="begin"/>
      </w:r>
      <w:r w:rsidR="00B575D3">
        <w:instrText xml:space="preserve"> REF _Ref345780303 \r \h </w:instrText>
      </w:r>
      <w:r w:rsidR="00B575D3">
        <w:fldChar w:fldCharType="separate"/>
      </w:r>
      <w:r w:rsidR="00D7564C">
        <w:t>7.3.1</w:t>
      </w:r>
      <w:r w:rsidR="00B575D3">
        <w:fldChar w:fldCharType="end"/>
      </w:r>
      <w:r>
        <w:t>).</w:t>
      </w:r>
    </w:p>
    <w:p w14:paraId="523F25B1" w14:textId="2AB8C788" w:rsidR="005A6F14" w:rsidRDefault="00F454D1" w:rsidP="006D1C71">
      <w:pPr>
        <w:pStyle w:val="ListParagraph"/>
        <w:numPr>
          <w:ilvl w:val="0"/>
          <w:numId w:val="36"/>
        </w:numPr>
      </w:pPr>
      <w:r w:rsidRPr="00F454D1">
        <w:t>Extension of definition of diffusive loss in trace fitting (see section ).</w:t>
      </w:r>
      <w:r>
        <w:t xml:space="preserve"> </w:t>
      </w:r>
      <w:r>
        <w:t xml:space="preserve">We thank Timo Pekkanen of the University of Helsinki, for </w:t>
      </w:r>
      <w:r>
        <w:t>suggesting this change</w:t>
      </w:r>
      <w:r>
        <w:t>.</w:t>
      </w:r>
    </w:p>
    <w:p w14:paraId="564530F9" w14:textId="4E0763DA" w:rsidR="00AC2B99" w:rsidRDefault="00AC2B99" w:rsidP="00AC2B99">
      <w:pPr>
        <w:ind w:left="357"/>
      </w:pPr>
      <w:r>
        <w:t>MESMER Input</w:t>
      </w:r>
      <w:r w:rsidR="007754BB">
        <w:t>, bug fixes</w:t>
      </w:r>
      <w:r>
        <w:t xml:space="preserve"> and Other Changes:</w:t>
      </w:r>
    </w:p>
    <w:p w14:paraId="776D4FD2" w14:textId="4BEA3CD9" w:rsidR="004850C7" w:rsidRDefault="004850C7" w:rsidP="000A6213">
      <w:pPr>
        <w:pStyle w:val="ListParagraph"/>
        <w:numPr>
          <w:ilvl w:val="0"/>
          <w:numId w:val="32"/>
        </w:numPr>
      </w:pPr>
      <w:r>
        <w:t>QD libraries used to provided extended precision have been upgraded to version 2.3.22 (</w:t>
      </w:r>
      <w:r w:rsidR="005A6F14">
        <w:t>s</w:t>
      </w:r>
      <w:r>
        <w:t xml:space="preserve">ee section </w:t>
      </w:r>
      <w:r w:rsidR="00A14079">
        <w:fldChar w:fldCharType="begin"/>
      </w:r>
      <w:r w:rsidR="00A14079">
        <w:instrText xml:space="preserve"> REF _Ref56965376 \r \h </w:instrText>
      </w:r>
      <w:r w:rsidR="00A14079">
        <w:fldChar w:fldCharType="separate"/>
      </w:r>
      <w:r w:rsidR="00D7564C">
        <w:t>6.4.2</w:t>
      </w:r>
      <w:r w:rsidR="00A14079">
        <w:fldChar w:fldCharType="end"/>
      </w:r>
      <w:r>
        <w:t>).</w:t>
      </w:r>
    </w:p>
    <w:p w14:paraId="092D9654" w14:textId="0481D07D" w:rsidR="000A6213" w:rsidRDefault="00A30289" w:rsidP="000A6213">
      <w:pPr>
        <w:pStyle w:val="ListParagraph"/>
        <w:numPr>
          <w:ilvl w:val="0"/>
          <w:numId w:val="32"/>
        </w:numPr>
      </w:pPr>
      <w:r>
        <w:t>Fix for extended ILT</w:t>
      </w:r>
      <w:r w:rsidR="008A2803">
        <w:t>. We thank Timo Pekkanen of the University of Helsinki, for bringing the issue to our attention</w:t>
      </w:r>
      <w:r w:rsidR="008475B6">
        <w:t>.</w:t>
      </w:r>
    </w:p>
    <w:p w14:paraId="76626E3F" w14:textId="0DCB6C79" w:rsidR="004850C7" w:rsidRDefault="004850C7" w:rsidP="008475B6">
      <w:pPr>
        <w:pStyle w:val="ListParagraph"/>
        <w:numPr>
          <w:ilvl w:val="0"/>
          <w:numId w:val="32"/>
        </w:numPr>
      </w:pPr>
      <w:r>
        <w:t>Fix for derived Arrhenius parameter</w:t>
      </w:r>
      <w:r w:rsidR="008475B6">
        <w:t>s, e.g., a given pre-exponential factor can now be derived from another pre-exponential factor. We thank Prasenjit Seal of the University of Helsinki, for bringing the issue to our attention.</w:t>
      </w:r>
    </w:p>
    <w:p w14:paraId="500D1D0C" w14:textId="6275F586" w:rsidR="00F454D1" w:rsidRDefault="00F454D1" w:rsidP="008475B6">
      <w:pPr>
        <w:pStyle w:val="ListParagraph"/>
        <w:numPr>
          <w:ilvl w:val="0"/>
          <w:numId w:val="32"/>
        </w:numPr>
      </w:pPr>
      <w:r>
        <w:t>An issue with reading the reference temperature used in the ILT method has been addressed.</w:t>
      </w:r>
    </w:p>
    <w:p w14:paraId="1F71285B" w14:textId="04ADEFF2" w:rsidR="00F850CB" w:rsidRDefault="00F850CB" w:rsidP="008475B6">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D7564C">
        <w:t>12</w:t>
      </w:r>
      <w:r>
        <w:fldChar w:fldCharType="end"/>
      </w:r>
      <w:r>
        <w:t>.</w:t>
      </w:r>
    </w:p>
    <w:p w14:paraId="0F1989BE" w14:textId="77777777" w:rsidR="00F77C82" w:rsidRPr="00C05534" w:rsidRDefault="00F77C82" w:rsidP="00C05534">
      <w:pPr>
        <w:pStyle w:val="Heading1"/>
      </w:pPr>
      <w:bookmarkStart w:id="4" w:name="_Toc6005596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6005596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6005597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66E"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6005597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60055972"/>
      <w:r>
        <w:lastRenderedPageBreak/>
        <w:t>Windows</w:t>
      </w:r>
      <w:bookmarkEnd w:id="9"/>
    </w:p>
    <w:p w14:paraId="3AA7B3A2" w14:textId="77777777" w:rsidR="00F77C82" w:rsidRDefault="00F77C82" w:rsidP="00C05534">
      <w:pPr>
        <w:pStyle w:val="Heading3"/>
      </w:pPr>
      <w:bookmarkStart w:id="10" w:name="_Toc60055973"/>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6005597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24B910DA"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D7564C">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66E">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66E">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60055975"/>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6005597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1E45BC0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D7564C">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60055977"/>
      <w:r>
        <w:t>Running P</w:t>
      </w:r>
      <w:r w:rsidR="00D51B79">
        <w:t>arallel MESMER on Windows</w:t>
      </w:r>
      <w:bookmarkEnd w:id="15"/>
    </w:p>
    <w:p w14:paraId="5918A3ED" w14:textId="26122117"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D7564C">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6005597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60055979"/>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60055980"/>
      <w:r>
        <w:lastRenderedPageBreak/>
        <w:t>Compiling QD for higher precision arithmetic</w:t>
      </w:r>
      <w:bookmarkEnd w:id="19"/>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3E68714A"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D7564C">
        <w:t>7.3.1</w:t>
      </w:r>
      <w:r>
        <w:fldChar w:fldCharType="end"/>
      </w:r>
      <w:r>
        <w:t xml:space="preserve">. </w:t>
      </w:r>
    </w:p>
    <w:p w14:paraId="7A0E535B" w14:textId="77777777" w:rsidR="00F77C82" w:rsidRDefault="004A0097" w:rsidP="00E41937">
      <w:pPr>
        <w:pStyle w:val="Heading3"/>
      </w:pPr>
      <w:bookmarkStart w:id="21" w:name="_Ref481614377"/>
      <w:bookmarkStart w:id="22" w:name="_Toc6005598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6005598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68BACCF7"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D7564C">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6005598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60055984"/>
      <w:r>
        <w:t>Running Parallel MESMER on Linux/UNIX/Mac</w:t>
      </w:r>
      <w:bookmarkEnd w:id="26"/>
    </w:p>
    <w:p w14:paraId="2A4856FB" w14:textId="3F16F0E1"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D7564C">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6005598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6990016C"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D7564C">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60055986"/>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6005598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6005598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6005598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66E">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33748FE"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D7564C" w:rsidRPr="00D7564C">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6005599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6005599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6005599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7B4E8385"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D7564C">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5E87A879"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D7564C">
        <w:t>7.3.1.1</w:t>
      </w:r>
      <w:r>
        <w:fldChar w:fldCharType="end"/>
      </w:r>
      <w:r>
        <w:t>.</w:t>
      </w:r>
      <w:r w:rsidR="00BD564F">
        <w:t xml:space="preserve"> </w:t>
      </w:r>
    </w:p>
    <w:p w14:paraId="593E4F13" w14:textId="471C9090"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 </w:t>
      </w:r>
      <w:r w:rsidR="002C6656">
        <w:t xml:space="preserve">(see ref. </w:t>
      </w:r>
      <w:r w:rsidR="002C6656" w:rsidRPr="001D35DE">
        <w:t>[]).</w:t>
      </w:r>
      <w:r w:rsidR="00E34304" w:rsidRPr="001D35DE">
        <w:t xml:space="preserve"> </w:t>
      </w:r>
      <w:r w:rsidRPr="001D35DE">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w:t>
      </w:r>
      <w:r w:rsidR="006E68AC">
        <w:lastRenderedPageBreak/>
        <w:t>abstraction of 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D7564C">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71886E9A"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3DEAEEA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0CA2A1D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0B8F773"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D7564C">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0066E"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27C76C6A"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D7564C">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3E27B507"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D7564C">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28482A35"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D7564C">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3EC63848" w:rsidR="00B218B8" w:rsidRDefault="00B218B8" w:rsidP="00AA4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A4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face="superscript"&gt;2&lt;/style&gt;&lt;/DisplayText&gt;&lt;record&gt;&lt;rec-number&gt;7&lt;/rec-number&gt;&lt;foreign-keys&gt;&lt;key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A46E5" w:rsidRPr="00AA46E5">
              <w:rPr>
                <w:rFonts w:ascii="Times New Roman" w:hAnsi="Times New Roman" w:cs="Times New Roman"/>
                <w:noProof/>
                <w:color w:val="auto"/>
                <w:sz w:val="20"/>
                <w:szCs w:val="20"/>
                <w:vertAlign w:val="superscript"/>
              </w:rPr>
              <w:t>2</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6005599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798650F8"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D7564C">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85350E" w:rsidRDefault="0085350E"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85350E" w:rsidRDefault="0085350E"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85350E" w:rsidRDefault="0085350E"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85350E" w:rsidRDefault="0085350E"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85350E" w:rsidRDefault="0085350E"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85350E" w:rsidRDefault="0085350E"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85350E" w:rsidRDefault="0085350E"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85350E" w:rsidRDefault="0085350E"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85350E" w:rsidRDefault="0085350E"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85350E" w:rsidRDefault="0085350E"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85350E" w:rsidRDefault="0085350E"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85350E" w:rsidRDefault="0085350E"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85350E" w:rsidRDefault="0085350E"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85350E" w:rsidRDefault="0085350E"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85350E" w:rsidRDefault="0085350E"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85350E" w:rsidRDefault="0085350E"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85350E" w:rsidRDefault="0085350E"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85350E" w:rsidRDefault="0085350E"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85350E" w:rsidRDefault="0085350E"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85350E" w:rsidRDefault="0085350E"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85350E" w:rsidRDefault="0085350E"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85350E" w:rsidRDefault="0085350E"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85350E" w:rsidRDefault="0085350E"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85350E" w:rsidRDefault="0085350E"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85350E" w:rsidRDefault="0085350E"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85350E" w:rsidRDefault="0085350E"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85350E" w:rsidRPr="004F239A" w:rsidRDefault="0085350E"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85350E" w:rsidRDefault="0085350E"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85350E" w:rsidRDefault="0085350E"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85350E" w:rsidRDefault="0085350E"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85350E" w:rsidRDefault="0085350E"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6005599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0C7E2E21"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2E71D10E"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D7564C">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13658D98"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A46E5" w:rsidRPr="00AA46E5">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D7564C">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5FDC54E1"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A46E5">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A46E5" w:rsidRPr="00AA46E5">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66E"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2ACF0F2E"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A46E5">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A46E5" w:rsidRPr="00AA46E5">
        <w:rPr>
          <w:noProof/>
          <w:vertAlign w:val="superscript"/>
        </w:rPr>
        <w:t>5</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60055995"/>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239C5296"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D7564C">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60055996"/>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3E4C3B7A"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D7564C">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60055997"/>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4CB1EE3A"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D7564C">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6005599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66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6005599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6005600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6005600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C6CCADB"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D7564C">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60056002"/>
      <w:r>
        <w:lastRenderedPageBreak/>
        <w:t xml:space="preserve">Comparing MESMER rate </w:t>
      </w:r>
      <w:r w:rsidR="00727400">
        <w:t>data</w:t>
      </w:r>
      <w:r>
        <w:t xml:space="preserve"> to experimental values</w:t>
      </w:r>
      <w:bookmarkEnd w:id="60"/>
      <w:bookmarkEnd w:id="61"/>
    </w:p>
    <w:p w14:paraId="4BC4265B" w14:textId="4D6D9386"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D7564C">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66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6005600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4" w:name="_Toc6005600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60056005"/>
      <w:r>
        <w:lastRenderedPageBreak/>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6005600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66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00066E"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8" w:name="_Ref378624763"/>
      <w:bookmarkStart w:id="69" w:name="_Toc60056007"/>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60056008"/>
      <w:r>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66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066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066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066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066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66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00066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066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066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066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60056009"/>
      <w:r>
        <w:t>Inverse Laplace Transforms (</w:t>
      </w:r>
      <w:r w:rsidR="00F77C82">
        <w:t>ILT</w:t>
      </w:r>
      <w:r>
        <w:t>)</w:t>
      </w:r>
      <w:bookmarkEnd w:id="72"/>
      <w:bookmarkEnd w:id="73"/>
    </w:p>
    <w:p w14:paraId="46FFB86A" w14:textId="385C3115"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D7564C">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2E103803"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D7564C">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4FFA42D4"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D7564C">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6005601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60056011"/>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60056012"/>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6005601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6005601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6005601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66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66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6005601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66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6005601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66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60056018"/>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4650506C"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7179EE">
        <w:fldChar w:fldCharType="separate"/>
      </w:r>
      <w:r w:rsidR="00AA46E5" w:rsidRPr="00AA46E5">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rsidRPr="00B50489">
        <w:fldChar w:fldCharType="separate"/>
      </w:r>
      <w:r w:rsidR="00AA46E5" w:rsidRPr="00AA46E5">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6005601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60056020"/>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669E94C3"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D7564C">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4D6DFA04"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D7564C">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6005602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6005602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6005602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6005602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60056025"/>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60056026"/>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60056027"/>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60056028"/>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6005602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24A8C61E"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60056030"/>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713D1CD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D7564C">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6005603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6005603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6005603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60056034"/>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6005603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6005603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25pt;height:14.95pt;mso-width-percent:0;mso-height-percent:0;mso-width-percent:0;mso-height-percent:0" o:ole="">
            <v:imagedata r:id="rId42" o:title=""/>
          </v:shape>
          <o:OLEObject Type="Embed" ProgID="Equation.3" ShapeID="_x0000_i1025" DrawAspect="Content" ObjectID="_1684443030"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60056037"/>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6005603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2963205D" w:rsidR="00D341E1" w:rsidRPr="00DA3F63" w:rsidRDefault="00D341E1"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A46E5">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A46E5" w:rsidRPr="00AA46E5">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3556BE2B"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394FF294"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A46E5">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A46E5" w:rsidRPr="00AA46E5">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15E98497"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A46E5">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A46E5" w:rsidRPr="00AA46E5">
              <w:rPr>
                <w:noProof/>
                <w:sz w:val="20"/>
                <w:vertAlign w:val="superscript"/>
              </w:rPr>
              <w:t>10</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6A03A696" w:rsidR="00CC32F2" w:rsidRPr="00DA3F63"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A46E5">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A46E5" w:rsidRPr="00AA46E5">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w:t>
            </w:r>
            <w:r>
              <w:rPr>
                <w:sz w:val="20"/>
              </w:rPr>
              <w:lastRenderedPageBreak/>
              <w:t xml:space="preserve">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lastRenderedPageBreak/>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59B9590E" w:rsidR="00CC32F2" w:rsidRPr="00DA3F63" w:rsidRDefault="00CC32F2" w:rsidP="00AA4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A46E5">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A46E5" w:rsidRPr="00AA46E5">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75C708A" w:rsidR="00CC32F2" w:rsidRDefault="00CC32F2" w:rsidP="00AA4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A46E5">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A46E5" w:rsidRPr="00AA46E5">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A46E5">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A46E5" w:rsidRPr="00AA46E5">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w:t>
            </w:r>
            <w:r>
              <w:rPr>
                <w:sz w:val="20"/>
              </w:rPr>
              <w:lastRenderedPageBreak/>
              <w:t xml:space="preserve">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021E095F" w:rsidR="00CC32F2" w:rsidRPr="00DA3F63"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A46E5">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A46E5" w:rsidRPr="00AA46E5">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 </w:instrText>
            </w:r>
            <w:r w:rsidR="00AA46E5">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A46E5">
              <w:rPr>
                <w:sz w:val="20"/>
              </w:rPr>
              <w:instrText xml:space="preserve"> ADDIN EN.CITE.DATA </w:instrText>
            </w:r>
            <w:r w:rsidR="00AA46E5">
              <w:rPr>
                <w:sz w:val="20"/>
              </w:rPr>
            </w:r>
            <w:r w:rsidR="00AA46E5">
              <w:rPr>
                <w:sz w:val="20"/>
              </w:rPr>
              <w:fldChar w:fldCharType="end"/>
            </w:r>
            <w:r>
              <w:rPr>
                <w:sz w:val="20"/>
              </w:rPr>
            </w:r>
            <w:r>
              <w:rPr>
                <w:sz w:val="20"/>
              </w:rPr>
              <w:fldChar w:fldCharType="separate"/>
            </w:r>
            <w:r w:rsidR="00AA46E5" w:rsidRPr="00AA46E5">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6005603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60056040"/>
      <w:bookmarkStart w:id="114" w:name="_Ref277428806"/>
      <w:bookmarkStart w:id="115" w:name="_Ref277416966"/>
      <w:r w:rsidRPr="00246233">
        <w:t>Data Access</w:t>
      </w:r>
      <w:bookmarkEnd w:id="113"/>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60056041"/>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60056042"/>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60056043"/>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60056044"/>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60056045"/>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60056046"/>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6005604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6005604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012AE68B"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A46E5">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A46E5" w:rsidRPr="00AA46E5">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DAB301"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D7564C">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62EDF16"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D7564C">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58520F15"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D7564C">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6DB69DD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A46E5">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A46E5" w:rsidRPr="00AA46E5">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A46E5">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A46E5" w:rsidRPr="00AA46E5">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D7564C">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66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66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21F7018"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A46E5">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A46E5" w:rsidRPr="00AA46E5">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6005604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00066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1AA1A7E"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38050B9F"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5334F0B5" w:rsidR="00E4267F" w:rsidRDefault="00E4267F"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60056050"/>
      <w:r>
        <w:t>Density of States</w:t>
      </w:r>
      <w:bookmarkEnd w:id="115"/>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0B568D8A"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D7564C">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12A162D8"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CB4A30">
        <w:rPr>
          <w:szCs w:val="24"/>
        </w:rPr>
        <w:instrText xml:space="preserve"> ADDIN EN.CITE &lt;EndNote&gt;&lt;Cite&gt;&lt;Author&gt;Sharma&lt;/Author&gt;&lt;Year&gt;2010&lt;/Year&gt;&lt;RecNum&gt;23&lt;/RecNum&gt;&lt;DisplayText&gt;&lt;style face="superscript"&gt;22&lt;/style&gt;&lt;/DisplayText&gt;&lt;record&gt;&lt;rec-number&gt;23&lt;/rec-number&gt;&lt;foreign-keys&gt;&lt;key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CB4A30" w:rsidRPr="00CB4A30">
        <w:rPr>
          <w:noProof/>
          <w:szCs w:val="24"/>
          <w:vertAlign w:val="superscript"/>
        </w:rPr>
        <w:t>22</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5E197296"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256BC460"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D7564C">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D7564C">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66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lastRenderedPageBreak/>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4427DBF7"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CB4A30">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CB4A30" w:rsidRPr="00CB4A30">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lastRenderedPageBreak/>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w:t>
      </w:r>
      <w:r>
        <w:rPr>
          <w:szCs w:val="24"/>
        </w:rPr>
        <w:lastRenderedPageBreak/>
        <w:t>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6005605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E954348"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lastRenderedPageBreak/>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54E4CB01"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A46E5">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A46E5" w:rsidRPr="00AA46E5">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16E4AA1"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A46E5">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A46E5" w:rsidRPr="00AA46E5">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lastRenderedPageBreak/>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w:t>
      </w:r>
      <w:r>
        <w:rPr>
          <w:szCs w:val="24"/>
        </w:rPr>
        <w:lastRenderedPageBreak/>
        <w:t xml:space="preserve">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2777A581"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D7564C">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60056052"/>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1C63B89B"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A46E5">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A46E5" w:rsidRPr="00AA46E5">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lastRenderedPageBreak/>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0844852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A46E5">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A46E5" w:rsidRPr="00AA46E5">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lastRenderedPageBreak/>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6005605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lastRenderedPageBreak/>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66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66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60056054"/>
      <w:r>
        <w:lastRenderedPageBreak/>
        <w:t xml:space="preserve">Fragmentation </w:t>
      </w:r>
      <w:r w:rsidR="00AA6A35">
        <w:t>Distribution</w:t>
      </w:r>
      <w:bookmarkEnd w:id="140"/>
      <w:bookmarkEnd w:id="141"/>
      <w:r w:rsidR="00AA6A35">
        <w:t xml:space="preserve"> </w:t>
      </w:r>
    </w:p>
    <w:p w14:paraId="772093C9" w14:textId="293A506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D7564C">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4833D32D"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 </w:instrText>
      </w:r>
      <w:r w:rsidR="00CB4A30">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CB4A30">
        <w:rPr>
          <w:szCs w:val="24"/>
        </w:rPr>
        <w:instrText xml:space="preserve"> ADDIN EN.CITE.DATA </w:instrText>
      </w:r>
      <w:r w:rsidR="00CB4A30">
        <w:rPr>
          <w:szCs w:val="24"/>
        </w:rPr>
      </w:r>
      <w:r w:rsidR="00CB4A30">
        <w:rPr>
          <w:szCs w:val="24"/>
        </w:rPr>
        <w:fldChar w:fldCharType="end"/>
      </w:r>
      <w:r w:rsidR="007F0245">
        <w:rPr>
          <w:szCs w:val="24"/>
        </w:rPr>
      </w:r>
      <w:r w:rsidR="007F0245">
        <w:rPr>
          <w:szCs w:val="24"/>
        </w:rPr>
        <w:fldChar w:fldCharType="separate"/>
      </w:r>
      <w:r w:rsidR="00CB4A30" w:rsidRPr="00CB4A30">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Toc60056055"/>
      <w:bookmarkStart w:id="143" w:name="_Ref60325961"/>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60056056"/>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60056057"/>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3159D678"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D7564C">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60056058"/>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4159CA54"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D7564C">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0B5A2A8F" w:rsidR="00F77C82" w:rsidRDefault="00E7057E" w:rsidP="00E7057E">
      <w:pPr>
        <w:ind w:left="720"/>
      </w:pPr>
      <w:r>
        <w:t xml:space="preserve">See section </w:t>
      </w:r>
      <w:r>
        <w:fldChar w:fldCharType="begin"/>
      </w:r>
      <w:r>
        <w:instrText xml:space="preserve"> REF _Ref347659580 \r \h </w:instrText>
      </w:r>
      <w:r>
        <w:fldChar w:fldCharType="separate"/>
      </w:r>
      <w:r w:rsidR="00D7564C">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9894F02"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D7564C">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60056059"/>
      <w:r w:rsidRPr="00C05534">
        <w:lastRenderedPageBreak/>
        <w:t>Theoretical Background</w:t>
      </w:r>
      <w:bookmarkEnd w:id="14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6631A97C"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 </w:instrText>
      </w:r>
      <w:r w:rsidR="00CB4A30">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27-28</w:t>
      </w:r>
      <w:r w:rsidR="007A15CE">
        <w:fldChar w:fldCharType="end"/>
      </w:r>
      <w:r w:rsidR="00F4312A">
        <w:t xml:space="preserve"> and </w:t>
      </w:r>
      <w:r w:rsidR="00F4312A" w:rsidRPr="006141A8">
        <w:t>Robertson</w:t>
      </w:r>
      <w:r w:rsidR="0056772A">
        <w:t>.</w:t>
      </w:r>
      <w:r w:rsidR="006141A8">
        <w:fldChar w:fldCharType="begin"/>
      </w:r>
      <w:r w:rsidR="00CB4A30">
        <w:instrText xml:space="preserve"> ADDIN EN.CITE &lt;EndNote&gt;&lt;Cite&gt;&lt;Author&gt;Robertson&lt;/Author&gt;&lt;Year&gt;2019&lt;/Year&gt;&lt;RecNum&gt;47&lt;/RecNum&gt;&lt;DisplayText&gt;&lt;style face="superscript"&gt;29&lt;/style&gt;&lt;/DisplayText&gt;&lt;record&gt;&lt;rec-number&gt;47&lt;/rec-number&gt;&lt;foreign-keys&gt;&lt;key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CB4A30" w:rsidRPr="00CB4A30">
        <w:rPr>
          <w:noProof/>
          <w:vertAlign w:val="superscript"/>
        </w:rPr>
        <w:t>29</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 </w:instrText>
      </w:r>
      <w:r w:rsidR="00CB4A30">
        <w:fldChar w:fldCharType="begin">
          <w:fldData xml:space="preserve">PEVuZE5vdGU+PENpdGU+PEF1dGhvcj5HYW5ub248L0F1dGhvcj48WWVhcj4yMDA3PC9ZZWFyPjxS
ZWNOdW0+MTc8L1JlY051bT48RGlzcGxheVRleHQ+PHN0eWxlIGZhY2U9InN1cGVyc2NyaXB0Ij4z
MDwvc3R5bGU+PC9EaXNwbGF5VGV4dD48cmVjb3JkPjxyZWMtbnVtYmVyPjE3PC9yZWMtbnVtYmVy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CB4A30">
        <w:instrText xml:space="preserve"> ADDIN EN.CITE.DATA </w:instrText>
      </w:r>
      <w:r w:rsidR="00CB4A30">
        <w:fldChar w:fldCharType="end"/>
      </w:r>
      <w:r w:rsidR="007A15CE" w:rsidRPr="004D29D4">
        <w:fldChar w:fldCharType="separate"/>
      </w:r>
      <w:r w:rsidR="00CB4A30" w:rsidRPr="00CB4A30">
        <w:rPr>
          <w:noProof/>
          <w:vertAlign w:val="superscript"/>
        </w:rPr>
        <w:t>30</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CB4A30" w:rsidRPr="00CB4A30">
        <w:rPr>
          <w:noProof/>
          <w:vertAlign w:val="superscript"/>
        </w:rPr>
        <w:t>31</w:t>
      </w:r>
      <w:r w:rsidR="007A15CE" w:rsidRPr="004D29D4">
        <w:fldChar w:fldCharType="end"/>
      </w:r>
    </w:p>
    <w:p w14:paraId="04E1A054" w14:textId="77777777" w:rsidR="00F77C82" w:rsidRPr="00246233" w:rsidRDefault="00F77C82" w:rsidP="00F66AB7">
      <w:pPr>
        <w:pStyle w:val="Heading2"/>
      </w:pPr>
      <w:bookmarkStart w:id="148" w:name="_Toc60056060"/>
      <w:r w:rsidRPr="00246233">
        <w:t>Matrix Formulation of the EGME</w:t>
      </w:r>
      <w:bookmarkEnd w:id="148"/>
    </w:p>
    <w:p w14:paraId="5ED06D49" w14:textId="4F305B36"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 </w:instrText>
      </w:r>
      <w:r w:rsidR="00CB4A30">
        <w:fldChar w:fldCharType="begin">
          <w:fldData xml:space="preserve">PEVuZE5vdGU+PENpdGU+PEF1dGhvcj5NaWxsZXI8L0F1dGhvcj48WWVhcj4yMDAyPC9ZZWFyPjxS
ZWNOdW0+MTU8L1JlY051bT48RGlzcGxheVRleHQ+PHN0eWxlIGZhY2U9InN1cGVyc2NyaXB0Ij4y
NywgMzI8L3N0eWxlPjwvRGlzcGxheVRleHQ+PHJlY29yZD48cmVjLW51bWJlcj4xNTwvcmVjLW51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27, 32</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5pt;height:14.95pt;mso-width-percent:0;mso-height-percent:0;mso-width-percent:0;mso-height-percent:0" o:ole="" filled="t">
            <v:fill color2="black"/>
            <v:imagedata r:id="rId45" o:title=""/>
          </v:shape>
          <o:OLEObject Type="Embed" ProgID="Equation.3" ShapeID="_x0000_i1026" DrawAspect="Content" ObjectID="_1684443031"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66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1E46E3D0"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3pt;height:20.3pt;mso-width-percent:0;mso-height-percent:0;mso-width-percent:0;mso-height-percent:0" o:ole="" filled="t">
            <v:fill color2="black"/>
            <v:imagedata r:id="rId47" o:title=""/>
          </v:shape>
          <o:OLEObject Type="Embed" ProgID="Equation.3" ShapeID="_x0000_i1027" DrawAspect="Content" ObjectID="_1684443032"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1746EFE9"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CB4A30">
        <w:instrText xml:space="preserve"> ADDIN EN.CITE &lt;EndNote&gt;&lt;Cite&gt;&lt;Author&gt;Baer&lt;/Author&gt;&lt;Year&gt;1996&lt;/Year&gt;&lt;RecNum&gt;22&lt;/RecNum&gt;&lt;DisplayText&gt;&lt;style face="superscript"&gt;34&lt;/style&gt;&lt;/DisplayText&gt;&lt;record&gt;&lt;rec-number&gt;22&lt;/rec-number&gt;&lt;foreign-keys&gt;&lt;key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CB4A30" w:rsidRPr="00CB4A30">
        <w:rPr>
          <w:noProof/>
          <w:vertAlign w:val="superscript"/>
        </w:rPr>
        <w:t>34</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07B3316B"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 </w:instrText>
      </w:r>
      <w:r w:rsidR="00CB4A30">
        <w:fldChar w:fldCharType="begin">
          <w:fldData xml:space="preserve">PEVuZE5vdGU+PENpdGU+PEF1dGhvcj5EYXZpZXM8L0F1dGhvcj48WWVhcj4xOTg2PC9ZZWFyPjxS
ZWNOdW0+MTg8L1JlY051bT48RGlzcGxheVRleHQ+PHN0eWxlIGZhY2U9InN1cGVyc2NyaXB0Ij4z
MSwgMzU8L3N0eWxlPjwvRGlzcGxheVRleHQ+PHJlY29yZD48cmVjLW51bWJlcj4xODwvcmVjLW51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31, 35</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4B1DA360" w:rsidR="00F77C82" w:rsidRDefault="00F77C82" w:rsidP="00230774">
      <w:r>
        <w:t>where</w:t>
      </w:r>
      <w:r w:rsidR="00F0177C">
        <w:rPr>
          <w:noProof/>
        </w:rPr>
        <w:object w:dxaOrig="679" w:dyaOrig="260" w14:anchorId="191A6EB5">
          <v:shape id="_x0000_i1028" type="#_x0000_t75" alt="" style="width:35.65pt;height:14.95pt;mso-width-percent:0;mso-height-percent:0;mso-width-percent:0;mso-height-percent:0" o:ole="" filled="t">
            <v:fill color2="black"/>
            <v:imagedata r:id="rId50" o:title=""/>
          </v:shape>
          <o:OLEObject Type="Embed" ProgID="Equation.3" ShapeID="_x0000_i1028" DrawAspect="Content" ObjectID="_1684443033"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t xml:space="preserve"> such as Gaussian models</w:t>
      </w:r>
      <w:r w:rsidR="007A15CE">
        <w:fldChar w:fldCharType="begin"/>
      </w:r>
      <w:r w:rsidR="00CB4A30">
        <w:instrText xml:space="preserve"> ADDIN EN.CITE &lt;EndNote&gt;&lt;Cite&gt;&lt;Author&gt;Gilbert&lt;/Author&gt;&lt;Year&gt;1990&lt;/Year&gt;&lt;RecNum&gt;21&lt;/RecNum&gt;&lt;DisplayText&gt;&lt;style face="superscript"&gt;33&lt;/style&gt;&lt;/DisplayText&gt;&lt;record&gt;&lt;rec-number&gt;21&lt;/rec-number&gt;&lt;foreign-keys&gt;&lt;key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CB4A30" w:rsidRPr="00CB4A30">
        <w:rPr>
          <w:noProof/>
          <w:vertAlign w:val="superscript"/>
        </w:rPr>
        <w:t>33</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28</w:t>
      </w:r>
      <w:r w:rsidR="007A15CE">
        <w:fldChar w:fldCharType="end"/>
      </w:r>
      <w:r>
        <w:t xml:space="preserve">  Models that produce longer tails are more accurate.  </w:t>
      </w:r>
    </w:p>
    <w:p w14:paraId="23807075" w14:textId="147195FE"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CB4A30">
        <w:instrText xml:space="preserve"> ADDIN EN.CITE &lt;EndNote&gt;&lt;Cite&gt;&lt;Author&gt;Miller&lt;/Author&gt;&lt;Year&gt;2001&lt;/Year&gt;&lt;RecNum&gt;20&lt;/RecNum&gt;&lt;DisplayText&gt;&lt;style face="superscript"&gt;32&lt;/style&gt;&lt;/DisplayText&gt;&lt;record&gt;&lt;rec-number&gt;20&lt;/rec-number&gt;&lt;foreign-keys&gt;&lt;key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CB4A30" w:rsidRPr="00CB4A30">
        <w:rPr>
          <w:noProof/>
          <w:vertAlign w:val="superscript"/>
        </w:rPr>
        <w:t>32</w:t>
      </w:r>
      <w:r w:rsidR="007A15CE">
        <w:fldChar w:fldCharType="end"/>
      </w:r>
      <w:r w:rsidR="001D7505">
        <w:t>.</w:t>
      </w:r>
    </w:p>
    <w:p w14:paraId="1166EC82" w14:textId="36680C3C"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 </w:instrText>
      </w:r>
      <w:r w:rsidR="00CB4A30">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66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33AB4125"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 </w:instrText>
      </w:r>
      <w:r w:rsidR="00CB4A30">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CB4A30">
        <w:instrText xml:space="preserve"> ADDIN EN.CITE.DATA </w:instrText>
      </w:r>
      <w:r w:rsidR="00CB4A30">
        <w:fldChar w:fldCharType="end"/>
      </w:r>
      <w:r w:rsidR="007A15CE">
        <w:fldChar w:fldCharType="separate"/>
      </w:r>
      <w:r w:rsidR="00CB4A30" w:rsidRPr="00CB4A30">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Pr="00786573">
        <w:t>,</w:t>
      </w:r>
      <w:r w:rsidR="007A15CE" w:rsidRPr="00B37A72">
        <w:fldChar w:fldCharType="begin"/>
      </w:r>
      <w:r w:rsidR="00CB4A30">
        <w:instrText xml:space="preserve"> ADDIN EN.CITE &lt;EndNote&gt;&lt;Cite&gt;&lt;Author&gt;Green&lt;/Author&gt;&lt;Year&gt;2007&lt;/Year&gt;&lt;RecNum&gt;24&lt;/RecNum&gt;&lt;DisplayText&gt;&lt;style face="superscript"&gt;36&lt;/style&gt;&lt;/DisplayText&gt;&lt;record&gt;&lt;rec-number&gt;24&lt;/rec-number&gt;&lt;foreign-keys&gt;&lt;key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CB4A30" w:rsidRPr="00CB4A30">
        <w:rPr>
          <w:noProof/>
          <w:vertAlign w:val="superscript"/>
        </w:rPr>
        <w:t>36</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 </w:instrText>
      </w:r>
      <w:r w:rsidR="00CB4A30">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CB4A30">
        <w:instrText xml:space="preserve"> ADDIN EN.CITE.DATA </w:instrText>
      </w:r>
      <w:r w:rsidR="00CB4A30">
        <w:fldChar w:fldCharType="end"/>
      </w:r>
      <w:r w:rsidR="007A15CE" w:rsidRPr="007A15CE">
        <w:fldChar w:fldCharType="separate"/>
      </w:r>
      <w:r w:rsidR="00CB4A30" w:rsidRPr="00CB4A30">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57605121"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CB4A30">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CB4A30">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CB4A30" w:rsidRPr="00CB4A30">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 </w:instrText>
      </w:r>
      <w:r w:rsidR="00AA46E5">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A46E5">
        <w:instrText xml:space="preserve"> ADDIN EN.CITE.DATA </w:instrText>
      </w:r>
      <w:r w:rsidR="00AA46E5">
        <w:fldChar w:fldCharType="end"/>
      </w:r>
      <w:r w:rsidR="007A15CE">
        <w:fldChar w:fldCharType="separate"/>
      </w:r>
      <w:r w:rsidR="00AA46E5" w:rsidRPr="00AA46E5">
        <w:rPr>
          <w:noProof/>
          <w:vertAlign w:val="superscript"/>
        </w:rPr>
        <w:t>7</w:t>
      </w:r>
      <w:r w:rsidR="007A15CE">
        <w:fldChar w:fldCharType="end"/>
      </w:r>
      <w:r w:rsidRPr="00786573">
        <w:t>,</w:t>
      </w:r>
      <w:r w:rsidR="007A15CE" w:rsidRPr="007A15CE">
        <w:fldChar w:fldCharType="begin"/>
      </w:r>
      <w:r w:rsidR="00CB4A30">
        <w:instrText xml:space="preserve"> ADDIN EN.CITE &lt;EndNote&gt;&lt;Cite&gt;&lt;Author&gt;Bartis&lt;/Author&gt;&lt;Year&gt;1974&lt;/Year&gt;&lt;RecNum&gt;25&lt;/RecNum&gt;&lt;DisplayText&gt;&lt;style face="superscript"&gt;37&lt;/style&gt;&lt;/DisplayText&gt;&lt;record&gt;&lt;rec-number&gt;25&lt;/rec-number&gt;&lt;foreign-keys&gt;&lt;key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CB4A30" w:rsidRPr="00CB4A30">
        <w:rPr>
          <w:noProof/>
          <w:vertAlign w:val="superscript"/>
        </w:rPr>
        <w:t>37</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6005606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66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66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66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66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66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66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6005606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66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66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017B4CA9"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D7564C">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60056063"/>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6005606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66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66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66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66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66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66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60056065"/>
      <w:r>
        <w:t>The Contracted Basis Set Approach</w:t>
      </w:r>
      <w:bookmarkEnd w:id="154"/>
    </w:p>
    <w:p w14:paraId="7FA8CBB4" w14:textId="5A16AC80"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 </w:instrText>
      </w:r>
      <w:r w:rsidR="00CB4A30">
        <w:fldChar w:fldCharType="begin">
          <w:fldData xml:space="preserve">PEVuZE5vdGU+PENpdGU+PEF1dGhvcj5WZW5rYXRlc2g8L0F1dGhvcj48WWVhcj4xOTk3PC9ZZWFy
PjxSZWNOdW0+MjY8L1JlY051bT48RGlzcGxheVRleHQ+PHN0eWxlIGZhY2U9InN1cGVyc2NyaXB0
Ij4zOC0zOTwvc3R5bGU+PC9EaXNwbGF5VGV4dD48cmVjb3JkPjxyZWMtbnVtYmVyPjI2PC9yZWMt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CB4A30">
        <w:instrText xml:space="preserve"> ADDIN EN.CITE.DATA </w:instrText>
      </w:r>
      <w:r w:rsidR="00CB4A30">
        <w:fldChar w:fldCharType="end"/>
      </w:r>
      <w:r w:rsidR="007A15CE">
        <w:fldChar w:fldCharType="separate"/>
      </w:r>
      <w:r w:rsidR="00CB4A30" w:rsidRPr="00CB4A30">
        <w:rPr>
          <w:noProof/>
          <w:vertAlign w:val="superscript"/>
        </w:rPr>
        <w:t>38-39</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66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6005606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6005606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66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66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66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66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6005606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66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66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9AA1FC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CB4A30">
        <w:instrText xml:space="preserve"> ADDIN EN.CITE &lt;EndNote&gt;&lt;Cite&gt;&lt;Author&gt;Davies&lt;/Author&gt;&lt;Year&gt;1986&lt;/Year&gt;&lt;RecNum&gt;18&lt;/RecNum&gt;&lt;DisplayText&gt;&lt;style face="superscript"&gt;31&lt;/style&gt;&lt;/DisplayText&gt;&lt;record&gt;&lt;rec-number&gt;18&lt;/rec-number&gt;&lt;foreign-keys&gt;&lt;key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CB4A30" w:rsidRPr="00CB4A30">
        <w:rPr>
          <w:noProof/>
          <w:vertAlign w:val="superscript"/>
        </w:rPr>
        <w:t>31</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6005606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66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4.95pt;height:20.3pt;mso-width-percent:0;mso-height-percent:0;mso-width-percent:0;mso-height-percent:0" o:ole="" filled="t">
            <v:fill color2="black"/>
            <v:imagedata r:id="rId52" o:title=""/>
          </v:shape>
          <o:OLEObject Type="Embed" ProgID="Equation.3" ShapeID="_x0000_i1029" DrawAspect="Content" ObjectID="_1684443034"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66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66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66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66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66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60056070"/>
      <w:r>
        <w:t xml:space="preserve">Classical Coupled Internal and External </w:t>
      </w:r>
      <w:r w:rsidR="002E7001">
        <w:t xml:space="preserve">Rotational </w:t>
      </w:r>
      <w:r>
        <w:t>Densities of States</w:t>
      </w:r>
      <w:bookmarkEnd w:id="161"/>
      <w:bookmarkEnd w:id="162"/>
    </w:p>
    <w:p w14:paraId="20D94004" w14:textId="7B39F654"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CB4A30">
        <w:instrText xml:space="preserve"> ADDIN EN.CITE &lt;EndNote&gt;&lt;Cite&gt;&lt;Author&gt;Gang&lt;/Author&gt;&lt;Year&gt;1998&lt;/Year&gt;&lt;RecNum&gt;46&lt;/RecNum&gt;&lt;DisplayText&gt;&lt;style face="superscript"&gt;40&lt;/style&gt;&lt;/DisplayText&gt;&lt;record&gt;&lt;rec-number&gt;46&lt;/rec-number&gt;&lt;foreign-keys&gt;&lt;key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CB4A30" w:rsidRPr="00CB4A30">
        <w:rPr>
          <w:noProof/>
          <w:vertAlign w:val="superscript"/>
        </w:rPr>
        <w:t>40</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66E"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66E"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66E"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60056071"/>
      <w:r>
        <w:lastRenderedPageBreak/>
        <w:t>Revision History</w:t>
      </w:r>
      <w:bookmarkEnd w:id="164"/>
    </w:p>
    <w:p w14:paraId="4139624D" w14:textId="77777777" w:rsidR="00411665" w:rsidRDefault="00411665" w:rsidP="00411665">
      <w:pPr>
        <w:pStyle w:val="Heading2"/>
      </w:pPr>
      <w:bookmarkStart w:id="165" w:name="_Toc6005607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6005607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6005607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6005607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00A7E3E1"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D7564C">
        <w:t>7.3.2</w:t>
      </w:r>
      <w:r>
        <w:fldChar w:fldCharType="end"/>
      </w:r>
      <w:r>
        <w:t xml:space="preserve">). </w:t>
      </w:r>
    </w:p>
    <w:p w14:paraId="4961ABDC" w14:textId="33A6595C"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D7564C">
        <w:t>11.2.4</w:t>
      </w:r>
      <w:r>
        <w:fldChar w:fldCharType="end"/>
      </w:r>
      <w:r>
        <w:t>).</w:t>
      </w:r>
    </w:p>
    <w:p w14:paraId="430AF9D4" w14:textId="2AD9E470"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D7564C">
        <w:t>11.2.3</w:t>
      </w:r>
      <w:r>
        <w:fldChar w:fldCharType="end"/>
      </w:r>
      <w:r>
        <w:t xml:space="preserve">). </w:t>
      </w:r>
    </w:p>
    <w:p w14:paraId="171F0ADE" w14:textId="7739A328"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D7564C">
        <w:t>11.2.6</w:t>
      </w:r>
      <w:r>
        <w:fldChar w:fldCharType="end"/>
      </w:r>
      <w:r>
        <w:t>).</w:t>
      </w:r>
    </w:p>
    <w:p w14:paraId="1CF099C1" w14:textId="0547CDE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D7564C">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6005607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A0EA9A7"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D7564C">
        <w:t>7.3.1</w:t>
      </w:r>
      <w:r>
        <w:fldChar w:fldCharType="end"/>
      </w:r>
      <w:r>
        <w:fldChar w:fldCharType="begin"/>
      </w:r>
      <w:r>
        <w:instrText xml:space="preserve"> REF _Ref353724732 \r \h </w:instrText>
      </w:r>
      <w:r>
        <w:fldChar w:fldCharType="separate"/>
      </w:r>
      <w:r w:rsidR="00D7564C">
        <w:t>(5)</w:t>
      </w:r>
      <w:r>
        <w:fldChar w:fldCharType="end"/>
      </w:r>
      <w:r>
        <w:t xml:space="preserve"> and </w:t>
      </w:r>
      <w:r>
        <w:fldChar w:fldCharType="begin"/>
      </w:r>
      <w:r>
        <w:instrText xml:space="preserve"> REF _Ref345764698 \r \h </w:instrText>
      </w:r>
      <w:r>
        <w:fldChar w:fldCharType="separate"/>
      </w:r>
      <w:r w:rsidR="00D7564C">
        <w:t>11.2.3</w:t>
      </w:r>
      <w:r>
        <w:fldChar w:fldCharType="end"/>
      </w:r>
      <w:r>
        <w:t>).</w:t>
      </w:r>
    </w:p>
    <w:p w14:paraId="27C4549A" w14:textId="5F7FAD90"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D7564C">
        <w:t>7.3.2</w:t>
      </w:r>
      <w:r>
        <w:fldChar w:fldCharType="end"/>
      </w:r>
      <w:r>
        <w:t>).</w:t>
      </w:r>
    </w:p>
    <w:p w14:paraId="31EE516B" w14:textId="64D1E9F9"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D7564C">
        <w:t>11.2.1</w:t>
      </w:r>
      <w:r>
        <w:fldChar w:fldCharType="end"/>
      </w:r>
      <w:r>
        <w:t>).</w:t>
      </w:r>
    </w:p>
    <w:p w14:paraId="1EB63590" w14:textId="6CEE6864"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D7564C">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6005607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3D386C54"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D7564C">
        <w:t>11.2.3</w:t>
      </w:r>
      <w:r>
        <w:fldChar w:fldCharType="end"/>
      </w:r>
      <w:r>
        <w:t>).</w:t>
      </w:r>
    </w:p>
    <w:p w14:paraId="65B80081" w14:textId="03F0340A"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D7564C">
        <w:t>7.3.5</w:t>
      </w:r>
      <w:r>
        <w:fldChar w:fldCharType="end"/>
      </w:r>
      <w:r>
        <w:t>).</w:t>
      </w:r>
    </w:p>
    <w:p w14:paraId="5EF83226" w14:textId="46972A06"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D7564C">
        <w:t>7.3.2</w:t>
      </w:r>
      <w:r>
        <w:fldChar w:fldCharType="end"/>
      </w:r>
      <w:r>
        <w:t>).</w:t>
      </w:r>
    </w:p>
    <w:p w14:paraId="72A8BB1C" w14:textId="547AFFCB"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D7564C">
        <w:t>11.2.1</w:t>
      </w:r>
      <w:r>
        <w:fldChar w:fldCharType="end"/>
      </w:r>
      <w:r>
        <w:t>).</w:t>
      </w:r>
    </w:p>
    <w:p w14:paraId="4E1F232C" w14:textId="4916FDDD"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D7564C">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6005607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6CAC7752"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D7564C">
        <w:t>11.2.1</w:t>
      </w:r>
      <w:r>
        <w:fldChar w:fldCharType="end"/>
      </w:r>
      <w:r>
        <w:t>).</w:t>
      </w:r>
    </w:p>
    <w:p w14:paraId="725A6088" w14:textId="21B6D5E4"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D7564C">
        <w:t>11.2.1</w:t>
      </w:r>
      <w:r>
        <w:fldChar w:fldCharType="end"/>
      </w:r>
      <w:r>
        <w:t>).</w:t>
      </w:r>
    </w:p>
    <w:p w14:paraId="103643A3" w14:textId="51E0E27A"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D7564C">
        <w:t>11.2.1</w:t>
      </w:r>
      <w:r>
        <w:fldChar w:fldCharType="end"/>
      </w:r>
      <w:r>
        <w:t>).</w:t>
      </w:r>
    </w:p>
    <w:p w14:paraId="0CCD6C01" w14:textId="049FEE23"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D7564C">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60E3F070"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D7564C">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6005607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46D60E2E"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D7564C">
        <w:t>6.2</w:t>
      </w:r>
      <w:r>
        <w:fldChar w:fldCharType="end"/>
      </w:r>
      <w:r>
        <w:t>).</w:t>
      </w:r>
    </w:p>
    <w:p w14:paraId="69A1A570" w14:textId="77537D9E"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D7564C">
        <w:t>11.2.7</w:t>
      </w:r>
      <w:r>
        <w:fldChar w:fldCharType="end"/>
      </w:r>
      <w:r>
        <w:t>).</w:t>
      </w:r>
    </w:p>
    <w:p w14:paraId="7954A0B6" w14:textId="7D883FE2"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D7564C">
        <w:t>11.2.3</w:t>
      </w:r>
      <w:r>
        <w:fldChar w:fldCharType="end"/>
      </w:r>
      <w:r>
        <w:t>).</w:t>
      </w:r>
    </w:p>
    <w:p w14:paraId="3EA65CF4" w14:textId="15311A4C"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D7564C">
        <w:t>11.2.3</w:t>
      </w:r>
      <w:r>
        <w:fldChar w:fldCharType="end"/>
      </w:r>
      <w:r>
        <w:t>).</w:t>
      </w:r>
    </w:p>
    <w:p w14:paraId="0F48D9C8" w14:textId="53BFB736"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D7564C">
        <w:t>11.2.4</w:t>
      </w:r>
      <w:r>
        <w:fldChar w:fldCharType="end"/>
      </w:r>
      <w:r>
        <w:t>).</w:t>
      </w:r>
    </w:p>
    <w:p w14:paraId="78D778A9" w14:textId="77777777" w:rsidR="00963927" w:rsidRDefault="00963927" w:rsidP="00963927">
      <w:pPr>
        <w:ind w:left="357"/>
      </w:pPr>
      <w:r>
        <w:t>Other changes:</w:t>
      </w:r>
    </w:p>
    <w:p w14:paraId="7D3CF5A2" w14:textId="61865D28"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D7564C">
        <w:t>8.3.1</w:t>
      </w:r>
      <w:r>
        <w:fldChar w:fldCharType="end"/>
      </w:r>
      <w:r>
        <w:t>).</w:t>
      </w:r>
    </w:p>
    <w:p w14:paraId="26A84D00" w14:textId="69B4D6EF"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D7564C">
        <w:t>7.3.1</w:t>
      </w:r>
      <w:r>
        <w:fldChar w:fldCharType="end"/>
      </w:r>
      <w:r>
        <w:t>).</w:t>
      </w:r>
    </w:p>
    <w:p w14:paraId="63C3A285" w14:textId="51BD695A" w:rsidR="00565B61" w:rsidRDefault="00C16C10" w:rsidP="00C16C10">
      <w:pPr>
        <w:pStyle w:val="Heading2"/>
      </w:pPr>
      <w:bookmarkStart w:id="173" w:name="_Toc6005608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6373EC1D"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D7564C">
        <w:t>8.3.4</w:t>
      </w:r>
      <w:r>
        <w:fldChar w:fldCharType="end"/>
      </w:r>
      <w:r>
        <w:t>).</w:t>
      </w:r>
    </w:p>
    <w:p w14:paraId="7D9C9240" w14:textId="3EEF5490"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D7564C">
        <w:t>11.2.4</w:t>
      </w:r>
      <w:r>
        <w:fldChar w:fldCharType="end"/>
      </w:r>
      <w:r>
        <w:t>).</w:t>
      </w:r>
    </w:p>
    <w:p w14:paraId="7AA3A1F9" w14:textId="408651B7"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D7564C">
        <w:t>11.2.3</w:t>
      </w:r>
      <w:r>
        <w:fldChar w:fldCharType="end"/>
      </w:r>
      <w:r>
        <w:t xml:space="preserve"> and </w:t>
      </w:r>
      <w:r>
        <w:fldChar w:fldCharType="begin"/>
      </w:r>
      <w:r>
        <w:instrText xml:space="preserve"> REF _Ref505516513 \r \h </w:instrText>
      </w:r>
      <w:r>
        <w:fldChar w:fldCharType="separate"/>
      </w:r>
      <w:r w:rsidR="00D7564C">
        <w:t>14.4</w:t>
      </w:r>
      <w:r>
        <w:fldChar w:fldCharType="end"/>
      </w:r>
      <w:r>
        <w:t>)</w:t>
      </w:r>
    </w:p>
    <w:p w14:paraId="7289D00E" w14:textId="36EDD09D"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D7564C">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1DF082F"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D7564C">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3E134102"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D7564C">
        <w:t>7.3.5</w:t>
      </w:r>
      <w:r>
        <w:fldChar w:fldCharType="end"/>
      </w:r>
      <w:r>
        <w:t>).</w:t>
      </w:r>
    </w:p>
    <w:p w14:paraId="08CD986F" w14:textId="55356885"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D7564C">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4205CD52"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D7564C">
        <w:t>6.3.3</w:t>
      </w:r>
      <w:r>
        <w:fldChar w:fldCharType="end"/>
      </w:r>
      <w:r>
        <w:t>).</w:t>
      </w:r>
    </w:p>
    <w:p w14:paraId="6E050915" w14:textId="2597A971" w:rsidR="00AE0BC0" w:rsidRDefault="00AE0BC0" w:rsidP="00AE0BC0">
      <w:pPr>
        <w:pStyle w:val="Heading2"/>
      </w:pPr>
      <w:bookmarkStart w:id="174" w:name="_Toc6005608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422009FC"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D7564C">
        <w:t>7.3.5</w:t>
      </w:r>
      <w:r>
        <w:fldChar w:fldCharType="end"/>
      </w:r>
      <w:r>
        <w:t xml:space="preserve">). We thank Charles McGill of North Carolina State University, US for suggesting this change. </w:t>
      </w:r>
    </w:p>
    <w:p w14:paraId="3F7E34D8" w14:textId="49F1B21E"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D7564C">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60056082"/>
      <w:r>
        <w:t>MESMER 6.0 (Released 9/May/2020)</w:t>
      </w:r>
      <w:bookmarkEnd w:id="175"/>
    </w:p>
    <w:p w14:paraId="729288FC" w14:textId="77777777" w:rsidR="0055069E" w:rsidRDefault="0055069E" w:rsidP="0055069E">
      <w:pPr>
        <w:ind w:left="357"/>
      </w:pPr>
      <w:r>
        <w:t>New Features:</w:t>
      </w:r>
    </w:p>
    <w:p w14:paraId="7A9E17BD" w14:textId="514497DD" w:rsidR="0055069E" w:rsidRDefault="0055069E" w:rsidP="0055069E">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D7564C">
        <w:t>8.3.4</w:t>
      </w:r>
      <w:r>
        <w:fldChar w:fldCharType="end"/>
      </w:r>
      <w:r>
        <w:t>).</w:t>
      </w:r>
    </w:p>
    <w:p w14:paraId="1E01B8F4" w14:textId="6C769B6D"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D7564C">
        <w:t>8.6</w:t>
      </w:r>
      <w:r>
        <w:fldChar w:fldCharType="end"/>
      </w:r>
      <w:r>
        <w:t>).</w:t>
      </w:r>
    </w:p>
    <w:p w14:paraId="432135E4" w14:textId="2E3F5B60"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D7564C">
        <w:t>7.3.2</w:t>
      </w:r>
      <w:r>
        <w:fldChar w:fldCharType="end"/>
      </w:r>
      <w:r>
        <w:t>).</w:t>
      </w:r>
    </w:p>
    <w:p w14:paraId="6C1D5014" w14:textId="78C5E9F4"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D7564C">
        <w:t>11.2.3</w:t>
      </w:r>
      <w:r>
        <w:fldChar w:fldCharType="end"/>
      </w:r>
      <w:r>
        <w:t>).</w:t>
      </w:r>
    </w:p>
    <w:p w14:paraId="3B9610D1" w14:textId="1CCCAA41"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D7564C">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53AC6577"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D7564C">
        <w:t>11.2.5</w:t>
      </w:r>
      <w:r>
        <w:fldChar w:fldCharType="end"/>
      </w:r>
      <w:r>
        <w:t>).</w:t>
      </w:r>
    </w:p>
    <w:p w14:paraId="0B909C00" w14:textId="593D8BA3"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D7564C">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lastRenderedPageBreak/>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t>An issue with the processing of transition states by the Thermodynamic table method has been rectified. We thank Charles McGill of North Carolina State University for bring this issue to our attention.</w:t>
      </w:r>
    </w:p>
    <w:p w14:paraId="221C0A87" w14:textId="77777777" w:rsidR="0055069E" w:rsidRDefault="0055069E" w:rsidP="00AE0BC0">
      <w:pPr>
        <w:ind w:left="357"/>
      </w:pPr>
    </w:p>
    <w:p w14:paraId="74930928" w14:textId="77777777" w:rsidR="00F77C82" w:rsidRDefault="00F77C82" w:rsidP="00C05534">
      <w:pPr>
        <w:pStyle w:val="Heading1"/>
      </w:pPr>
      <w:bookmarkStart w:id="176" w:name="_Toc60056083"/>
      <w:r w:rsidRPr="00C05534">
        <w:lastRenderedPageBreak/>
        <w:t>References</w:t>
      </w:r>
      <w:bookmarkEnd w:id="176"/>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14DB786D" w14:textId="77777777" w:rsidR="00CB4A30" w:rsidRPr="00CB4A30" w:rsidRDefault="007A15CE" w:rsidP="00CB4A30">
      <w:pPr>
        <w:pStyle w:val="EndNoteBibliography"/>
        <w:spacing w:after="0"/>
      </w:pPr>
      <w:r>
        <w:fldChar w:fldCharType="begin"/>
      </w:r>
      <w:r w:rsidR="00516DC6">
        <w:instrText xml:space="preserve"> ADDIN EN.REFLIST </w:instrText>
      </w:r>
      <w:r>
        <w:fldChar w:fldCharType="separate"/>
      </w:r>
      <w:r w:rsidR="00CB4A30" w:rsidRPr="00CB4A30">
        <w:t>1.</w:t>
      </w:r>
      <w:r w:rsidR="00CB4A30" w:rsidRPr="00CB4A30">
        <w:tab/>
        <w:t xml:space="preserve">Glowacki, D. R.; Liang, C. H.; Morley, C.; Pilling, M. J.; Robertson, S. H. MESMER: An Open-Source Master Equation Solver for Multi-Energy Well Reactions. </w:t>
      </w:r>
      <w:r w:rsidR="00CB4A30" w:rsidRPr="00CB4A30">
        <w:rPr>
          <w:i/>
        </w:rPr>
        <w:t xml:space="preserve">J. Phys. Chem. A </w:t>
      </w:r>
      <w:r w:rsidR="00CB4A30" w:rsidRPr="00CB4A30">
        <w:rPr>
          <w:b/>
        </w:rPr>
        <w:t>2012,</w:t>
      </w:r>
      <w:r w:rsidR="00CB4A30" w:rsidRPr="00CB4A30">
        <w:t xml:space="preserve"> </w:t>
      </w:r>
      <w:r w:rsidR="00CB4A30" w:rsidRPr="00CB4A30">
        <w:rPr>
          <w:i/>
        </w:rPr>
        <w:t>116</w:t>
      </w:r>
      <w:r w:rsidR="00CB4A30" w:rsidRPr="00CB4A30">
        <w:t>, 9545-9560.</w:t>
      </w:r>
    </w:p>
    <w:p w14:paraId="6347FEE9" w14:textId="77777777" w:rsidR="00CB4A30" w:rsidRPr="00CB4A30" w:rsidRDefault="00CB4A30" w:rsidP="00CB4A30">
      <w:pPr>
        <w:pStyle w:val="EndNoteBibliography"/>
        <w:spacing w:after="0"/>
      </w:pPr>
      <w:r w:rsidRPr="00CB4A30">
        <w:t>2.</w:t>
      </w:r>
      <w:r w:rsidRPr="00CB4A30">
        <w:tab/>
        <w:t xml:space="preserve">King, G. W.; Hainer, R. M.; Cross, P. C. The asymmetric rotor. I. Calculation and symmetry classification of energy levels. </w:t>
      </w:r>
      <w:r w:rsidRPr="00CB4A30">
        <w:rPr>
          <w:i/>
        </w:rPr>
        <w:t xml:space="preserve">J. Chem. Phys. </w:t>
      </w:r>
      <w:r w:rsidRPr="00CB4A30">
        <w:rPr>
          <w:b/>
        </w:rPr>
        <w:t>1943,</w:t>
      </w:r>
      <w:r w:rsidRPr="00CB4A30">
        <w:t xml:space="preserve"> </w:t>
      </w:r>
      <w:r w:rsidRPr="00CB4A30">
        <w:rPr>
          <w:i/>
        </w:rPr>
        <w:t>11</w:t>
      </w:r>
      <w:r w:rsidRPr="00CB4A30">
        <w:t>, 27-42.</w:t>
      </w:r>
    </w:p>
    <w:p w14:paraId="3349D2EC" w14:textId="77777777" w:rsidR="00CB4A30" w:rsidRPr="00CB4A30" w:rsidRDefault="00CB4A30" w:rsidP="00CB4A30">
      <w:pPr>
        <w:pStyle w:val="EndNoteBibliography"/>
        <w:spacing w:after="0"/>
      </w:pPr>
      <w:r w:rsidRPr="00CB4A30">
        <w:t>3.</w:t>
      </w:r>
      <w:r w:rsidRPr="00CB4A30">
        <w:tab/>
        <w:t xml:space="preserve">Miller, W. H. Tunneling Corrections to Unimolecular Rate Constants, with application to Formaldehyde. </w:t>
      </w:r>
      <w:r w:rsidRPr="00CB4A30">
        <w:rPr>
          <w:i/>
        </w:rPr>
        <w:t xml:space="preserve">J. Am. Chem. Soc. </w:t>
      </w:r>
      <w:r w:rsidRPr="00CB4A30">
        <w:rPr>
          <w:b/>
        </w:rPr>
        <w:t>1979,</w:t>
      </w:r>
      <w:r w:rsidRPr="00CB4A30">
        <w:t xml:space="preserve"> </w:t>
      </w:r>
      <w:r w:rsidRPr="00CB4A30">
        <w:rPr>
          <w:i/>
        </w:rPr>
        <w:t>101</w:t>
      </w:r>
      <w:r w:rsidRPr="00CB4A30">
        <w:t>, 6810-6814.</w:t>
      </w:r>
    </w:p>
    <w:p w14:paraId="296DBB70" w14:textId="77777777" w:rsidR="00CB4A30" w:rsidRPr="00CB4A30" w:rsidRDefault="00CB4A30" w:rsidP="00CB4A30">
      <w:pPr>
        <w:pStyle w:val="EndNoteBibliography"/>
        <w:spacing w:after="0"/>
      </w:pPr>
      <w:r w:rsidRPr="00CB4A30">
        <w:t>4.</w:t>
      </w:r>
      <w:r w:rsidRPr="00CB4A30">
        <w:tab/>
        <w:t xml:space="preserve">Garrett, B. C.; Truhlar, D. G. Semi-Classical Tunneling Calculations. </w:t>
      </w:r>
      <w:r w:rsidRPr="00CB4A30">
        <w:rPr>
          <w:i/>
        </w:rPr>
        <w:t xml:space="preserve">J. Phys. Chem. </w:t>
      </w:r>
      <w:r w:rsidRPr="00CB4A30">
        <w:rPr>
          <w:b/>
        </w:rPr>
        <w:t>1979,</w:t>
      </w:r>
      <w:r w:rsidRPr="00CB4A30">
        <w:t xml:space="preserve"> </w:t>
      </w:r>
      <w:r w:rsidRPr="00CB4A30">
        <w:rPr>
          <w:i/>
        </w:rPr>
        <w:t>83</w:t>
      </w:r>
      <w:r w:rsidRPr="00CB4A30">
        <w:t>, 2921-2926.</w:t>
      </w:r>
    </w:p>
    <w:p w14:paraId="628D4DA9" w14:textId="77777777" w:rsidR="00CB4A30" w:rsidRPr="00CB4A30" w:rsidRDefault="00CB4A30" w:rsidP="00CB4A30">
      <w:pPr>
        <w:pStyle w:val="EndNoteBibliography"/>
        <w:spacing w:after="0"/>
      </w:pPr>
      <w:r w:rsidRPr="00CB4A30">
        <w:t>5.</w:t>
      </w:r>
      <w:r w:rsidRPr="00CB4A30">
        <w:tab/>
        <w:t xml:space="preserve">Green, N. J. B.; Robertson, S. H. General master equation formulation of a reversible dissociation/association reaction. </w:t>
      </w:r>
      <w:r w:rsidRPr="00CB4A30">
        <w:rPr>
          <w:i/>
        </w:rPr>
        <w:t xml:space="preserve">Chem. Phys. Lett. </w:t>
      </w:r>
      <w:r w:rsidRPr="00CB4A30">
        <w:rPr>
          <w:b/>
        </w:rPr>
        <w:t>2014,</w:t>
      </w:r>
      <w:r w:rsidRPr="00CB4A30">
        <w:t xml:space="preserve"> </w:t>
      </w:r>
      <w:r w:rsidRPr="00CB4A30">
        <w:rPr>
          <w:i/>
        </w:rPr>
        <w:t>605-606</w:t>
      </w:r>
      <w:r w:rsidRPr="00CB4A30">
        <w:t>, 44-46.</w:t>
      </w:r>
    </w:p>
    <w:p w14:paraId="4D82C2E2" w14:textId="3F9FDC8D" w:rsidR="00CB4A30" w:rsidRPr="00CB4A30" w:rsidRDefault="00CB4A30" w:rsidP="00CB4A30">
      <w:pPr>
        <w:pStyle w:val="EndNoteBibliography"/>
        <w:spacing w:after="0"/>
      </w:pPr>
      <w:r w:rsidRPr="00CB4A30">
        <w:t>6.</w:t>
      </w:r>
      <w:r w:rsidRPr="00CB4A30">
        <w:tab/>
        <w:t>Davis, M. J.; Klippenstein, S. J. Geometric investigation of association/dissociation kinetics with an application to the master equation for CH</w:t>
      </w:r>
      <w:r w:rsidRPr="00133E91">
        <w:rPr>
          <w:vertAlign w:val="subscript"/>
        </w:rPr>
        <w:t>3</w:t>
      </w:r>
      <w:r w:rsidRPr="00CB4A30">
        <w:t>+CH</w:t>
      </w:r>
      <w:r w:rsidRPr="00133E91">
        <w:rPr>
          <w:vertAlign w:val="subscript"/>
        </w:rPr>
        <w:t>3</w:t>
      </w:r>
      <w:r w:rsidRPr="00CB4A30">
        <w:t xml:space="preserve"> </w:t>
      </w:r>
      <w:r w:rsidR="00133E91" w:rsidRPr="00CB4A30">
        <w:t>→</w:t>
      </w:r>
      <w:r w:rsidRPr="00CB4A30">
        <w:t xml:space="preserve"> C</w:t>
      </w:r>
      <w:r w:rsidRPr="00133E91">
        <w:rPr>
          <w:vertAlign w:val="subscript"/>
        </w:rPr>
        <w:t>2</w:t>
      </w:r>
      <w:r w:rsidRPr="00CB4A30">
        <w:t>H</w:t>
      </w:r>
      <w:r w:rsidRPr="00133E91">
        <w:rPr>
          <w:vertAlign w:val="subscript"/>
        </w:rPr>
        <w:t>6</w:t>
      </w:r>
      <w:r w:rsidRPr="00CB4A30">
        <w:t xml:space="preserve">. </w:t>
      </w:r>
      <w:r w:rsidRPr="00CB4A30">
        <w:rPr>
          <w:i/>
        </w:rPr>
        <w:t xml:space="preserve">J Phys Chem A </w:t>
      </w:r>
      <w:r w:rsidRPr="00CB4A30">
        <w:rPr>
          <w:b/>
        </w:rPr>
        <w:t>2002,</w:t>
      </w:r>
      <w:r w:rsidRPr="00CB4A30">
        <w:t xml:space="preserve"> </w:t>
      </w:r>
      <w:r w:rsidRPr="00CB4A30">
        <w:rPr>
          <w:i/>
        </w:rPr>
        <w:t>106</w:t>
      </w:r>
      <w:r w:rsidRPr="00CB4A30">
        <w:t>, 5860-5879.</w:t>
      </w:r>
    </w:p>
    <w:p w14:paraId="1E2BC3D7" w14:textId="77777777" w:rsidR="00CB4A30" w:rsidRPr="00CB4A30" w:rsidRDefault="00CB4A30" w:rsidP="00CB4A30">
      <w:pPr>
        <w:pStyle w:val="EndNoteBibliography"/>
        <w:spacing w:after="0"/>
      </w:pPr>
      <w:r w:rsidRPr="00CB4A30">
        <w:t>7.</w:t>
      </w:r>
      <w:r w:rsidRPr="00CB4A30">
        <w:tab/>
        <w:t xml:space="preserve">Robertson, S. H.; Pilling, M. J.; Jitariu, L. C.; Hillier, I. H. Master equation methods for multiple well systems: application to the 1-,2-pentyl system. </w:t>
      </w:r>
      <w:r w:rsidRPr="00CB4A30">
        <w:rPr>
          <w:i/>
        </w:rPr>
        <w:t xml:space="preserve">Phys. Chem. Chem. Phys. </w:t>
      </w:r>
      <w:r w:rsidRPr="00CB4A30">
        <w:rPr>
          <w:b/>
        </w:rPr>
        <w:t>2007,</w:t>
      </w:r>
      <w:r w:rsidRPr="00CB4A30">
        <w:t xml:space="preserve"> </w:t>
      </w:r>
      <w:r w:rsidRPr="00CB4A30">
        <w:rPr>
          <w:i/>
        </w:rPr>
        <w:t>9</w:t>
      </w:r>
      <w:r w:rsidRPr="00CB4A30">
        <w:t>, 4085-4097.</w:t>
      </w:r>
    </w:p>
    <w:p w14:paraId="6199D27E" w14:textId="77777777" w:rsidR="00CB4A30" w:rsidRPr="00CB4A30" w:rsidRDefault="00CB4A30" w:rsidP="00CB4A30">
      <w:pPr>
        <w:pStyle w:val="EndNoteBibliography"/>
        <w:spacing w:after="0"/>
      </w:pPr>
      <w:r w:rsidRPr="00CB4A30">
        <w:t>8.</w:t>
      </w:r>
      <w:r w:rsidRPr="00CB4A30">
        <w:tab/>
        <w:t>Blitz, M. A.; Green, N. J. B.; Shannon, R. J.; Pilling, M. J.; Seakins, P. W.; Western, C. M.; Robertson, S. H. Reanalysis of Rate Data for the Reaction CH</w:t>
      </w:r>
      <w:r w:rsidRPr="00133E91">
        <w:rPr>
          <w:vertAlign w:val="subscript"/>
        </w:rPr>
        <w:t>3</w:t>
      </w:r>
      <w:r w:rsidRPr="00CB4A30">
        <w:t xml:space="preserve"> + CH</w:t>
      </w:r>
      <w:r w:rsidRPr="00133E91">
        <w:rPr>
          <w:vertAlign w:val="subscript"/>
        </w:rPr>
        <w:t>3</w:t>
      </w:r>
      <w:r w:rsidRPr="00CB4A30">
        <w:t xml:space="preserve"> → C</w:t>
      </w:r>
      <w:r w:rsidRPr="00133E91">
        <w:rPr>
          <w:vertAlign w:val="subscript"/>
        </w:rPr>
        <w:t>2</w:t>
      </w:r>
      <w:r w:rsidRPr="00CB4A30">
        <w:t>H</w:t>
      </w:r>
      <w:r w:rsidRPr="00133E91">
        <w:rPr>
          <w:vertAlign w:val="subscript"/>
        </w:rPr>
        <w:t>6</w:t>
      </w:r>
      <w:r w:rsidRPr="00CB4A30">
        <w:t xml:space="preserve"> Using Revised Cross Sections and a Linearized Second-Order Master Equation. </w:t>
      </w:r>
      <w:r w:rsidRPr="00CB4A30">
        <w:rPr>
          <w:i/>
        </w:rPr>
        <w:t xml:space="preserve">J. Phys. Chem. A </w:t>
      </w:r>
      <w:r w:rsidRPr="00CB4A30">
        <w:rPr>
          <w:b/>
        </w:rPr>
        <w:t>2015,</w:t>
      </w:r>
      <w:r w:rsidRPr="00CB4A30">
        <w:t xml:space="preserve"> </w:t>
      </w:r>
      <w:r w:rsidRPr="00CB4A30">
        <w:rPr>
          <w:i/>
        </w:rPr>
        <w:t>119</w:t>
      </w:r>
      <w:r w:rsidRPr="00CB4A30">
        <w:t>, 7668-7682.</w:t>
      </w:r>
    </w:p>
    <w:p w14:paraId="4A0B6D3A" w14:textId="77777777" w:rsidR="00CB4A30" w:rsidRPr="00CB4A30" w:rsidRDefault="00CB4A30" w:rsidP="00CB4A30">
      <w:pPr>
        <w:pStyle w:val="EndNoteBibliography"/>
        <w:spacing w:after="0"/>
      </w:pPr>
      <w:r w:rsidRPr="00CB4A30">
        <w:t>9.</w:t>
      </w:r>
      <w:r w:rsidRPr="00CB4A30">
        <w:tab/>
        <w:t>McKee, K.; Blitz, M. A.; Pilling, M. J. Temperature and Pressure Studies of the Reactions of CH</w:t>
      </w:r>
      <w:r w:rsidRPr="00133E91">
        <w:rPr>
          <w:vertAlign w:val="subscript"/>
        </w:rPr>
        <w:t>3</w:t>
      </w:r>
      <w:r w:rsidRPr="00CB4A30">
        <w:t>O</w:t>
      </w:r>
      <w:r w:rsidRPr="00133E91">
        <w:rPr>
          <w:vertAlign w:val="subscript"/>
        </w:rPr>
        <w:t>2</w:t>
      </w:r>
      <w:r w:rsidRPr="00CB4A30">
        <w:t>, HO</w:t>
      </w:r>
      <w:r w:rsidRPr="00133E91">
        <w:rPr>
          <w:vertAlign w:val="subscript"/>
        </w:rPr>
        <w:t>2</w:t>
      </w:r>
      <w:r w:rsidRPr="00CB4A30">
        <w:t>, and 1,2-C</w:t>
      </w:r>
      <w:r w:rsidRPr="00133E91">
        <w:rPr>
          <w:vertAlign w:val="subscript"/>
        </w:rPr>
        <w:t>4</w:t>
      </w:r>
      <w:r w:rsidRPr="00CB4A30">
        <w:t>H</w:t>
      </w:r>
      <w:r w:rsidRPr="00133E91">
        <w:rPr>
          <w:vertAlign w:val="subscript"/>
        </w:rPr>
        <w:t>9</w:t>
      </w:r>
      <w:r w:rsidRPr="00CB4A30">
        <w:t>O</w:t>
      </w:r>
      <w:r w:rsidRPr="00133E91">
        <w:rPr>
          <w:vertAlign w:val="subscript"/>
        </w:rPr>
        <w:t>2</w:t>
      </w:r>
      <w:r w:rsidRPr="00CB4A30">
        <w:t xml:space="preserve"> with NO</w:t>
      </w:r>
      <w:r w:rsidRPr="00133E91">
        <w:rPr>
          <w:vertAlign w:val="subscript"/>
        </w:rPr>
        <w:t>2</w:t>
      </w:r>
      <w:r w:rsidRPr="00CB4A30">
        <w:t xml:space="preserve">. </w:t>
      </w:r>
      <w:r w:rsidRPr="00CB4A30">
        <w:rPr>
          <w:i/>
        </w:rPr>
        <w:t xml:space="preserve">J. Phys. Chem. A </w:t>
      </w:r>
      <w:r w:rsidRPr="00CB4A30">
        <w:rPr>
          <w:b/>
        </w:rPr>
        <w:t>2015</w:t>
      </w:r>
      <w:r w:rsidRPr="00CB4A30">
        <w:t>, Ahead of Print.</w:t>
      </w:r>
    </w:p>
    <w:p w14:paraId="32FAAA2B" w14:textId="77777777" w:rsidR="00CB4A30" w:rsidRPr="00CB4A30" w:rsidRDefault="00CB4A30" w:rsidP="00CB4A30">
      <w:pPr>
        <w:pStyle w:val="EndNoteBibliography"/>
        <w:spacing w:after="0"/>
      </w:pPr>
      <w:r w:rsidRPr="00CB4A30">
        <w:t>10.</w:t>
      </w:r>
      <w:r w:rsidRPr="00CB4A30">
        <w:tab/>
        <w:t xml:space="preserve">Tsang, W.; Bedanov, V.; Zachariah, M. R. Master Equation Analysis of Thermal Activation Reactions: Energy-Transfer Constraints on Falloff Behavior in the Decomposition of Reactive Intermediates with Low Thresholds. </w:t>
      </w:r>
      <w:r w:rsidRPr="00CB4A30">
        <w:rPr>
          <w:i/>
        </w:rPr>
        <w:t xml:space="preserve">J. Phys. Chem. </w:t>
      </w:r>
      <w:r w:rsidRPr="00CB4A30">
        <w:rPr>
          <w:b/>
        </w:rPr>
        <w:t>1996,</w:t>
      </w:r>
      <w:r w:rsidRPr="00CB4A30">
        <w:t xml:space="preserve"> </w:t>
      </w:r>
      <w:r w:rsidRPr="00CB4A30">
        <w:rPr>
          <w:i/>
        </w:rPr>
        <w:t>100</w:t>
      </w:r>
      <w:r w:rsidRPr="00CB4A30">
        <w:t>, 4011-18.</w:t>
      </w:r>
    </w:p>
    <w:p w14:paraId="79740F2F" w14:textId="77777777" w:rsidR="00CB4A30" w:rsidRPr="00CB4A30" w:rsidRDefault="00CB4A30" w:rsidP="00CB4A30">
      <w:pPr>
        <w:pStyle w:val="EndNoteBibliography"/>
        <w:spacing w:after="0"/>
      </w:pPr>
      <w:r w:rsidRPr="00CB4A30">
        <w:t>11.</w:t>
      </w:r>
      <w:r w:rsidRPr="00CB4A30">
        <w:tab/>
        <w:t xml:space="preserve">Glowacki, D. R.; Rodgers, W. J.; Shannon, R.; Robertson, S. H.; Harvey, J. N. Reaction and relaxation at surface hotspots: using molecular dynamics and the energy-grained master equation to describe diamond etching. </w:t>
      </w:r>
      <w:r w:rsidRPr="00CB4A30">
        <w:rPr>
          <w:i/>
        </w:rPr>
        <w:t xml:space="preserve">Philosophical Transactions of the Royal Society a-Mathematical Physical and Engineering Sciences </w:t>
      </w:r>
      <w:r w:rsidRPr="00CB4A30">
        <w:rPr>
          <w:b/>
        </w:rPr>
        <w:t>2017,</w:t>
      </w:r>
      <w:r w:rsidRPr="00CB4A30">
        <w:t xml:space="preserve"> </w:t>
      </w:r>
      <w:r w:rsidRPr="00CB4A30">
        <w:rPr>
          <w:i/>
        </w:rPr>
        <w:t>375</w:t>
      </w:r>
      <w:r w:rsidRPr="00CB4A30">
        <w:t>.</w:t>
      </w:r>
    </w:p>
    <w:p w14:paraId="5CF58DE0" w14:textId="77777777" w:rsidR="00CB4A30" w:rsidRPr="00CB4A30" w:rsidRDefault="00CB4A30" w:rsidP="00CB4A30">
      <w:pPr>
        <w:pStyle w:val="EndNoteBibliography"/>
        <w:spacing w:after="0"/>
      </w:pPr>
      <w:r w:rsidRPr="00CB4A30">
        <w:t>12.</w:t>
      </w:r>
      <w:r w:rsidRPr="00CB4A30">
        <w:tab/>
        <w:t>Seakins, P. W.; Robertson, S. H.; Pilling, M. J.; Slagle, I. R.; Gmurczyk, G. W.; Bencsura, A.; Gutman, D.; Tsang, W. Kinetics fo the Unimolecular Decomposition of i-C</w:t>
      </w:r>
      <w:r w:rsidRPr="00CB4A30">
        <w:rPr>
          <w:vertAlign w:val="subscript"/>
        </w:rPr>
        <w:t>3</w:t>
      </w:r>
      <w:r w:rsidRPr="00CB4A30">
        <w:t>H</w:t>
      </w:r>
      <w:r w:rsidRPr="00CB4A30">
        <w:rPr>
          <w:vertAlign w:val="subscript"/>
        </w:rPr>
        <w:t>7</w:t>
      </w:r>
      <w:r w:rsidRPr="00CB4A30">
        <w:t xml:space="preserve"> - Weak Collision Effects in Helium, Argon and Nitrogen. </w:t>
      </w:r>
      <w:r w:rsidRPr="00CB4A30">
        <w:rPr>
          <w:i/>
        </w:rPr>
        <w:t xml:space="preserve">J. Phys. Chem. </w:t>
      </w:r>
      <w:r w:rsidRPr="00CB4A30">
        <w:rPr>
          <w:b/>
        </w:rPr>
        <w:t>1993,</w:t>
      </w:r>
      <w:r w:rsidRPr="00CB4A30">
        <w:t xml:space="preserve"> </w:t>
      </w:r>
      <w:r w:rsidRPr="00CB4A30">
        <w:rPr>
          <w:i/>
        </w:rPr>
        <w:t>97</w:t>
      </w:r>
      <w:r w:rsidRPr="00CB4A30">
        <w:t>, 4450-4458.</w:t>
      </w:r>
    </w:p>
    <w:p w14:paraId="578B4B6B" w14:textId="77777777" w:rsidR="00CB4A30" w:rsidRPr="00CB4A30" w:rsidRDefault="00CB4A30" w:rsidP="00CB4A30">
      <w:pPr>
        <w:pStyle w:val="EndNoteBibliography"/>
        <w:spacing w:after="0"/>
      </w:pPr>
      <w:r w:rsidRPr="00CB4A30">
        <w:t>13.</w:t>
      </w:r>
      <w:r w:rsidRPr="00CB4A30">
        <w:tab/>
        <w:t>Brouard, M.; Macpherson, M. T.; Pilling, M. J. Experimental and RRKM Modelling Study of the CH</w:t>
      </w:r>
      <w:r w:rsidRPr="00CB4A30">
        <w:rPr>
          <w:vertAlign w:val="subscript"/>
        </w:rPr>
        <w:t>3</w:t>
      </w:r>
      <w:r w:rsidRPr="00CB4A30">
        <w:t xml:space="preserve"> + H and CH</w:t>
      </w:r>
      <w:r w:rsidRPr="00CB4A30">
        <w:rPr>
          <w:vertAlign w:val="subscript"/>
        </w:rPr>
        <w:t>3</w:t>
      </w:r>
      <w:r w:rsidRPr="00CB4A30">
        <w:t xml:space="preserve"> + D Reactions. </w:t>
      </w:r>
      <w:r w:rsidRPr="00CB4A30">
        <w:rPr>
          <w:i/>
        </w:rPr>
        <w:t xml:space="preserve">J. Phys. Chem. </w:t>
      </w:r>
      <w:r w:rsidRPr="00CB4A30">
        <w:rPr>
          <w:b/>
        </w:rPr>
        <w:t>1989,</w:t>
      </w:r>
      <w:r w:rsidRPr="00CB4A30">
        <w:t xml:space="preserve"> </w:t>
      </w:r>
      <w:r w:rsidRPr="00CB4A30">
        <w:rPr>
          <w:i/>
        </w:rPr>
        <w:t>93</w:t>
      </w:r>
      <w:r w:rsidRPr="00CB4A30">
        <w:t>, 4047-4059.</w:t>
      </w:r>
    </w:p>
    <w:p w14:paraId="09FC4B86" w14:textId="77777777" w:rsidR="00CB4A30" w:rsidRPr="00CB4A30" w:rsidRDefault="00CB4A30" w:rsidP="00CB4A30">
      <w:pPr>
        <w:pStyle w:val="EndNoteBibliography"/>
        <w:spacing w:after="0"/>
      </w:pPr>
      <w:r w:rsidRPr="00CB4A30">
        <w:t>14.</w:t>
      </w:r>
      <w:r w:rsidRPr="00CB4A30">
        <w:tab/>
        <w:t>Aubanel, E. E.; Wardlaw, D. M. Flexible Transition State Theory Rate Constants for the Recombination Reaction CH</w:t>
      </w:r>
      <w:r w:rsidRPr="00CB4A30">
        <w:rPr>
          <w:vertAlign w:val="subscript"/>
        </w:rPr>
        <w:t>3</w:t>
      </w:r>
      <w:r w:rsidRPr="00CB4A30">
        <w:t xml:space="preserve"> + H = CH</w:t>
      </w:r>
      <w:r w:rsidRPr="00CB4A30">
        <w:rPr>
          <w:vertAlign w:val="subscript"/>
        </w:rPr>
        <w:t>4</w:t>
      </w:r>
      <w:r w:rsidRPr="00CB4A30">
        <w:t xml:space="preserve">. </w:t>
      </w:r>
      <w:r w:rsidRPr="00CB4A30">
        <w:rPr>
          <w:i/>
        </w:rPr>
        <w:t xml:space="preserve">J. Phys. Chem. </w:t>
      </w:r>
      <w:r w:rsidRPr="00CB4A30">
        <w:rPr>
          <w:b/>
        </w:rPr>
        <w:t>1989,</w:t>
      </w:r>
      <w:r w:rsidRPr="00CB4A30">
        <w:t xml:space="preserve"> </w:t>
      </w:r>
      <w:r w:rsidRPr="00CB4A30">
        <w:rPr>
          <w:i/>
        </w:rPr>
        <w:t>93</w:t>
      </w:r>
      <w:r w:rsidRPr="00CB4A30">
        <w:t>, 3117-3124.</w:t>
      </w:r>
    </w:p>
    <w:p w14:paraId="62A5C0C3" w14:textId="77777777" w:rsidR="00CB4A30" w:rsidRPr="00CB4A30" w:rsidRDefault="00CB4A30" w:rsidP="00CB4A30">
      <w:pPr>
        <w:pStyle w:val="EndNoteBibliography"/>
        <w:spacing w:after="0"/>
      </w:pPr>
      <w:r w:rsidRPr="00CB4A30">
        <w:t>15.</w:t>
      </w:r>
      <w:r w:rsidRPr="00CB4A30">
        <w:tab/>
        <w:t xml:space="preserve">Harvey, J. N.; Aschi, M. Modelling spin-forbidden reactions: recombination of carbon monoxide with iron tetracarbonyl. </w:t>
      </w:r>
      <w:r w:rsidRPr="00CB4A30">
        <w:rPr>
          <w:i/>
        </w:rPr>
        <w:t xml:space="preserve">Faraday Discuss. </w:t>
      </w:r>
      <w:r w:rsidRPr="00CB4A30">
        <w:rPr>
          <w:b/>
        </w:rPr>
        <w:t>2003,</w:t>
      </w:r>
      <w:r w:rsidRPr="00CB4A30">
        <w:t xml:space="preserve"> </w:t>
      </w:r>
      <w:r w:rsidRPr="00CB4A30">
        <w:rPr>
          <w:i/>
        </w:rPr>
        <w:t>124</w:t>
      </w:r>
      <w:r w:rsidRPr="00CB4A30">
        <w:t>, 129-143.</w:t>
      </w:r>
    </w:p>
    <w:p w14:paraId="3241117D" w14:textId="57FB830B" w:rsidR="00CB4A30" w:rsidRPr="00CB4A30" w:rsidRDefault="00CB4A30" w:rsidP="00CB4A30">
      <w:pPr>
        <w:pStyle w:val="EndNoteBibliography"/>
        <w:spacing w:after="0"/>
      </w:pPr>
      <w:r w:rsidRPr="00CB4A30">
        <w:t>16.</w:t>
      </w:r>
      <w:r w:rsidRPr="00CB4A30">
        <w:tab/>
        <w:t xml:space="preserve">Zhu, C. Y.; Nakamura, H. </w:t>
      </w:r>
      <w:r w:rsidR="00133E91" w:rsidRPr="00CB4A30">
        <w:t>T</w:t>
      </w:r>
      <w:r w:rsidR="00133E91">
        <w:t>heory</w:t>
      </w:r>
      <w:r w:rsidR="00133E91" w:rsidRPr="00CB4A30">
        <w:t xml:space="preserve"> </w:t>
      </w:r>
      <w:r w:rsidR="00133E91">
        <w:t>of</w:t>
      </w:r>
      <w:r w:rsidR="00133E91" w:rsidRPr="00CB4A30">
        <w:t xml:space="preserve"> N</w:t>
      </w:r>
      <w:r w:rsidR="00133E91">
        <w:t>onadiabatic</w:t>
      </w:r>
      <w:r w:rsidR="00133E91" w:rsidRPr="00CB4A30">
        <w:t xml:space="preserve"> </w:t>
      </w:r>
      <w:r w:rsidR="00133E91">
        <w:t>Transition</w:t>
      </w:r>
      <w:r w:rsidR="00133E91" w:rsidRPr="00CB4A30">
        <w:t xml:space="preserve"> </w:t>
      </w:r>
      <w:r w:rsidR="00133E91">
        <w:t>for</w:t>
      </w:r>
      <w:r w:rsidR="00133E91" w:rsidRPr="00CB4A30">
        <w:t xml:space="preserve"> G</w:t>
      </w:r>
      <w:r w:rsidR="00133E91">
        <w:t>eneral</w:t>
      </w:r>
      <w:r w:rsidR="00133E91" w:rsidRPr="00CB4A30">
        <w:t xml:space="preserve"> </w:t>
      </w:r>
      <w:r w:rsidRPr="00CB4A30">
        <w:t>2-</w:t>
      </w:r>
      <w:r w:rsidR="00133E91">
        <w:t>State</w:t>
      </w:r>
      <w:r w:rsidR="00133E91" w:rsidRPr="00CB4A30">
        <w:t xml:space="preserve"> </w:t>
      </w:r>
      <w:r w:rsidR="00133E91">
        <w:t>Curve</w:t>
      </w:r>
      <w:r w:rsidR="00133E91" w:rsidRPr="00CB4A30">
        <w:t xml:space="preserve"> </w:t>
      </w:r>
      <w:r w:rsidR="00133E91">
        <w:t>Crossing</w:t>
      </w:r>
      <w:r w:rsidR="00133E91" w:rsidRPr="00CB4A30">
        <w:t xml:space="preserve"> </w:t>
      </w:r>
      <w:r w:rsidR="00133E91">
        <w:t>Problems</w:t>
      </w:r>
      <w:r w:rsidRPr="00CB4A30">
        <w:t xml:space="preserve">.2. </w:t>
      </w:r>
      <w:r w:rsidR="00133E91" w:rsidRPr="00CB4A30">
        <w:t>L</w:t>
      </w:r>
      <w:r w:rsidR="00133E91">
        <w:t>andau</w:t>
      </w:r>
      <w:r w:rsidRPr="00CB4A30">
        <w:t>-</w:t>
      </w:r>
      <w:r w:rsidR="00133E91" w:rsidRPr="00CB4A30">
        <w:t>Z</w:t>
      </w:r>
      <w:r w:rsidR="00133E91">
        <w:t>ener</w:t>
      </w:r>
      <w:r w:rsidR="00133E91" w:rsidRPr="00CB4A30">
        <w:t xml:space="preserve"> C</w:t>
      </w:r>
      <w:r w:rsidR="00133E91">
        <w:t>ase</w:t>
      </w:r>
      <w:r w:rsidRPr="00CB4A30">
        <w:t xml:space="preserve">. </w:t>
      </w:r>
      <w:r w:rsidRPr="00CB4A30">
        <w:rPr>
          <w:i/>
        </w:rPr>
        <w:t xml:space="preserve">J. Chem. Phys. </w:t>
      </w:r>
      <w:r w:rsidRPr="00CB4A30">
        <w:rPr>
          <w:b/>
        </w:rPr>
        <w:t>1995,</w:t>
      </w:r>
      <w:r w:rsidRPr="00CB4A30">
        <w:t xml:space="preserve"> </w:t>
      </w:r>
      <w:r w:rsidRPr="00CB4A30">
        <w:rPr>
          <w:i/>
        </w:rPr>
        <w:t>102</w:t>
      </w:r>
      <w:r w:rsidRPr="00CB4A30">
        <w:t>, 7448-7461.</w:t>
      </w:r>
    </w:p>
    <w:p w14:paraId="4BB60FFE" w14:textId="70C0E890" w:rsidR="00CB4A30" w:rsidRPr="00CB4A30" w:rsidRDefault="00CB4A30" w:rsidP="00CB4A30">
      <w:pPr>
        <w:pStyle w:val="EndNoteBibliography"/>
        <w:spacing w:after="0"/>
      </w:pPr>
      <w:r w:rsidRPr="00CB4A30">
        <w:t>17.</w:t>
      </w:r>
      <w:r w:rsidRPr="00CB4A30">
        <w:tab/>
        <w:t xml:space="preserve">Zhu, C. Y.; Nakamura, H. </w:t>
      </w:r>
      <w:r w:rsidR="00F83360" w:rsidRPr="00CB4A30">
        <w:t>T</w:t>
      </w:r>
      <w:r w:rsidR="00F83360">
        <w:t>heory</w:t>
      </w:r>
      <w:r w:rsidR="00F83360" w:rsidRPr="00CB4A30">
        <w:t xml:space="preserve"> </w:t>
      </w:r>
      <w:r w:rsidR="00F83360">
        <w:t>of</w:t>
      </w:r>
      <w:r w:rsidR="00F83360" w:rsidRPr="00CB4A30">
        <w:t xml:space="preserve"> N</w:t>
      </w:r>
      <w:r w:rsidR="00F83360">
        <w:t>onadiabatic</w:t>
      </w:r>
      <w:r w:rsidR="00F83360" w:rsidRPr="00CB4A30">
        <w:t xml:space="preserve"> </w:t>
      </w:r>
      <w:r w:rsidR="00F83360">
        <w:t>Transition</w:t>
      </w:r>
      <w:r w:rsidR="00F83360" w:rsidRPr="00CB4A30">
        <w:t xml:space="preserve"> </w:t>
      </w:r>
      <w:r w:rsidR="00F83360">
        <w:t>for</w:t>
      </w:r>
      <w:r w:rsidR="00F83360" w:rsidRPr="00CB4A30">
        <w:t xml:space="preserve"> G</w:t>
      </w:r>
      <w:r w:rsidR="00F83360">
        <w:t>eneral</w:t>
      </w:r>
      <w:r w:rsidR="00F83360" w:rsidRPr="00CB4A30">
        <w:t xml:space="preserve"> 2-</w:t>
      </w:r>
      <w:r w:rsidR="00F83360">
        <w:t>State</w:t>
      </w:r>
      <w:r w:rsidR="00F83360" w:rsidRPr="00CB4A30">
        <w:t xml:space="preserve"> </w:t>
      </w:r>
      <w:r w:rsidR="00F83360">
        <w:t>Curve</w:t>
      </w:r>
      <w:r w:rsidR="00F83360" w:rsidRPr="00CB4A30">
        <w:t xml:space="preserve"> </w:t>
      </w:r>
      <w:r w:rsidR="00F83360">
        <w:t>Crossing</w:t>
      </w:r>
      <w:r w:rsidR="00F83360" w:rsidRPr="00CB4A30">
        <w:t xml:space="preserve"> </w:t>
      </w:r>
      <w:r w:rsidR="00F83360">
        <w:t>Problems</w:t>
      </w:r>
      <w:r w:rsidR="00F83360" w:rsidRPr="00CB4A30">
        <w:t>.</w:t>
      </w:r>
      <w:r w:rsidRPr="00CB4A30">
        <w:t xml:space="preserve">1. </w:t>
      </w:r>
      <w:r w:rsidR="00F83360" w:rsidRPr="00CB4A30">
        <w:t>N</w:t>
      </w:r>
      <w:r w:rsidR="00F83360">
        <w:t>onadiabatic</w:t>
      </w:r>
      <w:r w:rsidRPr="00CB4A30">
        <w:t xml:space="preserve"> </w:t>
      </w:r>
      <w:r w:rsidR="00F83360">
        <w:t>Tunneling</w:t>
      </w:r>
      <w:r w:rsidR="00F83360" w:rsidRPr="00CB4A30">
        <w:t xml:space="preserve"> C</w:t>
      </w:r>
      <w:r w:rsidR="00F83360">
        <w:t>ase</w:t>
      </w:r>
      <w:r w:rsidRPr="00CB4A30">
        <w:t xml:space="preserve">. </w:t>
      </w:r>
      <w:r w:rsidRPr="00CB4A30">
        <w:rPr>
          <w:i/>
        </w:rPr>
        <w:t xml:space="preserve">J. Chem. Phys. </w:t>
      </w:r>
      <w:r w:rsidRPr="00CB4A30">
        <w:rPr>
          <w:b/>
        </w:rPr>
        <w:t>1994,</w:t>
      </w:r>
      <w:r w:rsidRPr="00CB4A30">
        <w:t xml:space="preserve"> </w:t>
      </w:r>
      <w:r w:rsidRPr="00CB4A30">
        <w:rPr>
          <w:i/>
        </w:rPr>
        <w:t>101</w:t>
      </w:r>
      <w:r w:rsidRPr="00CB4A30">
        <w:t>, 10630-10647.</w:t>
      </w:r>
    </w:p>
    <w:p w14:paraId="19703AC4" w14:textId="77777777" w:rsidR="00CB4A30" w:rsidRPr="00CB4A30" w:rsidRDefault="00CB4A30" w:rsidP="00CB4A30">
      <w:pPr>
        <w:pStyle w:val="EndNoteBibliography"/>
        <w:spacing w:after="0"/>
      </w:pPr>
      <w:r w:rsidRPr="00CB4A30">
        <w:lastRenderedPageBreak/>
        <w:t>18.</w:t>
      </w:r>
      <w:r w:rsidRPr="00CB4A30">
        <w:tab/>
        <w:t xml:space="preserve">Naik, C.; Carstensen, H. H.; Dean, A. M. Reaction rate representation using Chebyshev polynomials. In </w:t>
      </w:r>
      <w:r w:rsidRPr="00CB4A30">
        <w:rPr>
          <w:i/>
        </w:rPr>
        <w:t>Spring Meeting of the Combustion Institute</w:t>
      </w:r>
      <w:r w:rsidRPr="00CB4A30">
        <w:t>, San Diego, CA, 2002.</w:t>
      </w:r>
    </w:p>
    <w:p w14:paraId="3C85FF1E" w14:textId="77777777" w:rsidR="00CB4A30" w:rsidRPr="00CB4A30" w:rsidRDefault="00CB4A30" w:rsidP="00CB4A30">
      <w:pPr>
        <w:pStyle w:val="EndNoteBibliography"/>
        <w:spacing w:after="0"/>
      </w:pPr>
      <w:r w:rsidRPr="00CB4A30">
        <w:t>19.</w:t>
      </w:r>
      <w:r w:rsidRPr="00CB4A30">
        <w:tab/>
        <w:t xml:space="preserve">Ziehn, T.; Tomlin, A. S. GUI-HDMR - A software tool for global sensitivity analysis of complex models. </w:t>
      </w:r>
      <w:r w:rsidRPr="00CB4A30">
        <w:rPr>
          <w:i/>
        </w:rPr>
        <w:t xml:space="preserve">Environmental Modelling and Software </w:t>
      </w:r>
      <w:r w:rsidRPr="00CB4A30">
        <w:rPr>
          <w:b/>
        </w:rPr>
        <w:t>2009,</w:t>
      </w:r>
      <w:r w:rsidRPr="00CB4A30">
        <w:t xml:space="preserve"> </w:t>
      </w:r>
      <w:r w:rsidRPr="00CB4A30">
        <w:rPr>
          <w:i/>
        </w:rPr>
        <w:t>24(7)</w:t>
      </w:r>
      <w:r w:rsidRPr="00CB4A30">
        <w:t>, 775-785.</w:t>
      </w:r>
    </w:p>
    <w:p w14:paraId="42ABB799" w14:textId="77777777" w:rsidR="00CB4A30" w:rsidRPr="00CB4A30" w:rsidRDefault="00CB4A30" w:rsidP="00CB4A30">
      <w:pPr>
        <w:pStyle w:val="EndNoteBibliography"/>
        <w:spacing w:after="0"/>
      </w:pPr>
      <w:r w:rsidRPr="00CB4A30">
        <w:t>20.</w:t>
      </w:r>
      <w:r w:rsidRPr="00CB4A30">
        <w:tab/>
        <w:t xml:space="preserve">Li, G. Y.; Wang, S. W.; Rabitz, H.; Wang, S. Y.; Jaffe, P. Global uncertainty assessments by high dimensional model representations (HDMR). </w:t>
      </w:r>
      <w:r w:rsidRPr="00CB4A30">
        <w:rPr>
          <w:i/>
        </w:rPr>
        <w:t xml:space="preserve">Chem Eng Sci </w:t>
      </w:r>
      <w:r w:rsidRPr="00CB4A30">
        <w:rPr>
          <w:b/>
        </w:rPr>
        <w:t>2002,</w:t>
      </w:r>
      <w:r w:rsidRPr="00CB4A30">
        <w:t xml:space="preserve"> </w:t>
      </w:r>
      <w:r w:rsidRPr="00CB4A30">
        <w:rPr>
          <w:i/>
        </w:rPr>
        <w:t>57</w:t>
      </w:r>
      <w:r w:rsidRPr="00CB4A30">
        <w:t>, 4445-4460.</w:t>
      </w:r>
    </w:p>
    <w:p w14:paraId="4FC705C8" w14:textId="77777777" w:rsidR="00CB4A30" w:rsidRPr="00CB4A30" w:rsidRDefault="00CB4A30" w:rsidP="00CB4A30">
      <w:pPr>
        <w:pStyle w:val="EndNoteBibliography"/>
        <w:spacing w:after="0"/>
      </w:pPr>
      <w:r w:rsidRPr="00CB4A30">
        <w:t>21.</w:t>
      </w:r>
      <w:r w:rsidRPr="00CB4A30">
        <w:tab/>
        <w:t>Shannon, R. J.; Tomlin, A. S.; Robertson, S. H.; Blitz, M. A.; Pilling, M. J.; Seakins, P. W. Global Uncertainty Propagation and Sensitivity Analysis in the CH</w:t>
      </w:r>
      <w:r w:rsidRPr="00F83360">
        <w:rPr>
          <w:vertAlign w:val="subscript"/>
        </w:rPr>
        <w:t>3</w:t>
      </w:r>
      <w:r w:rsidRPr="00CB4A30">
        <w:t>OCH</w:t>
      </w:r>
      <w:r w:rsidRPr="00F83360">
        <w:rPr>
          <w:vertAlign w:val="subscript"/>
        </w:rPr>
        <w:t>2</w:t>
      </w:r>
      <w:r w:rsidRPr="00CB4A30">
        <w:t xml:space="preserve"> + O</w:t>
      </w:r>
      <w:r w:rsidRPr="00F83360">
        <w:rPr>
          <w:vertAlign w:val="subscript"/>
        </w:rPr>
        <w:t>2</w:t>
      </w:r>
      <w:r w:rsidRPr="00CB4A30">
        <w:t xml:space="preserve"> System: Combining Experiment and Theory To Constrain Key Rate Coefficients in DME Combustion. </w:t>
      </w:r>
      <w:r w:rsidRPr="00CB4A30">
        <w:rPr>
          <w:i/>
        </w:rPr>
        <w:t xml:space="preserve">J. Phys. Chem. A </w:t>
      </w:r>
      <w:r w:rsidRPr="00CB4A30">
        <w:rPr>
          <w:b/>
        </w:rPr>
        <w:t>2015,</w:t>
      </w:r>
      <w:r w:rsidRPr="00CB4A30">
        <w:t xml:space="preserve"> </w:t>
      </w:r>
      <w:r w:rsidRPr="00CB4A30">
        <w:rPr>
          <w:i/>
        </w:rPr>
        <w:t>119</w:t>
      </w:r>
      <w:r w:rsidRPr="00CB4A30">
        <w:t>, 7430-7438.</w:t>
      </w:r>
    </w:p>
    <w:p w14:paraId="0D658016" w14:textId="77777777" w:rsidR="00CB4A30" w:rsidRPr="00CB4A30" w:rsidRDefault="00CB4A30" w:rsidP="00CB4A30">
      <w:pPr>
        <w:pStyle w:val="EndNoteBibliography"/>
        <w:spacing w:after="0"/>
      </w:pPr>
      <w:r w:rsidRPr="00CB4A30">
        <w:t>22.</w:t>
      </w:r>
      <w:r w:rsidRPr="00CB4A30">
        <w:tab/>
        <w:t xml:space="preserve">Sharma, S.; Raman, S.; Green, W. H. Intramolecular Hydrogen Migration in Alkylperoxy and Hydroperoxyalkylperoxy Radicals: Accurate Treatment of Hindered Rotors. </w:t>
      </w:r>
      <w:r w:rsidRPr="00CB4A30">
        <w:rPr>
          <w:i/>
        </w:rPr>
        <w:t xml:space="preserve">J. Phys. Chem. A </w:t>
      </w:r>
      <w:r w:rsidRPr="00CB4A30">
        <w:rPr>
          <w:b/>
        </w:rPr>
        <w:t>2010,</w:t>
      </w:r>
      <w:r w:rsidRPr="00CB4A30">
        <w:t xml:space="preserve"> </w:t>
      </w:r>
      <w:r w:rsidRPr="00CB4A30">
        <w:rPr>
          <w:i/>
        </w:rPr>
        <w:t>114</w:t>
      </w:r>
      <w:r w:rsidRPr="00CB4A30">
        <w:t>, 5689-5701.</w:t>
      </w:r>
    </w:p>
    <w:p w14:paraId="44C04758" w14:textId="21C2D895" w:rsidR="00CB4A30" w:rsidRPr="00CB4A30" w:rsidRDefault="00CB4A30" w:rsidP="00CB4A30">
      <w:pPr>
        <w:pStyle w:val="EndNoteBibliography"/>
        <w:spacing w:after="0"/>
      </w:pPr>
      <w:r w:rsidRPr="00CB4A30">
        <w:t>23.</w:t>
      </w:r>
      <w:r w:rsidRPr="00CB4A30">
        <w:tab/>
        <w:t>Marston, C. C.; Balint</w:t>
      </w:r>
      <w:r w:rsidR="00F83360">
        <w:t>-K</w:t>
      </w:r>
      <w:r w:rsidRPr="00CB4A30">
        <w:t xml:space="preserve">urti, G. G. </w:t>
      </w:r>
      <w:r w:rsidR="00133E91" w:rsidRPr="00CB4A30">
        <w:t>T</w:t>
      </w:r>
      <w:r w:rsidR="00133E91">
        <w:t>he</w:t>
      </w:r>
      <w:r w:rsidR="00133E91" w:rsidRPr="00CB4A30">
        <w:t xml:space="preserve"> </w:t>
      </w:r>
      <w:r w:rsidR="0056459E" w:rsidRPr="00CB4A30">
        <w:t>F</w:t>
      </w:r>
      <w:r w:rsidR="0056459E">
        <w:t>ourier</w:t>
      </w:r>
      <w:r w:rsidR="0056459E" w:rsidRPr="00CB4A30">
        <w:t xml:space="preserve"> </w:t>
      </w:r>
      <w:r w:rsidR="00133E91" w:rsidRPr="00CB4A30">
        <w:t>G</w:t>
      </w:r>
      <w:r w:rsidR="00133E91">
        <w:t>rid</w:t>
      </w:r>
      <w:r w:rsidR="00133E91" w:rsidRPr="00CB4A30">
        <w:t xml:space="preserve"> H</w:t>
      </w:r>
      <w:r w:rsidR="00133E91">
        <w:t>amiltonian</w:t>
      </w:r>
      <w:r w:rsidR="00133E91" w:rsidRPr="00CB4A30">
        <w:t xml:space="preserve"> M</w:t>
      </w:r>
      <w:r w:rsidR="00133E91">
        <w:t>ethod</w:t>
      </w:r>
      <w:r w:rsidR="00133E91" w:rsidRPr="00CB4A30">
        <w:t xml:space="preserve"> F</w:t>
      </w:r>
      <w:r w:rsidR="00133E91">
        <w:t>or</w:t>
      </w:r>
      <w:r w:rsidR="00133E91" w:rsidRPr="00CB4A30">
        <w:t xml:space="preserve"> B</w:t>
      </w:r>
      <w:r w:rsidR="00133E91">
        <w:t>ound</w:t>
      </w:r>
      <w:r w:rsidRPr="00CB4A30">
        <w:t>-</w:t>
      </w:r>
      <w:r w:rsidR="00133E91" w:rsidRPr="00CB4A30">
        <w:t>S</w:t>
      </w:r>
      <w:r w:rsidR="00133E91">
        <w:t>tate</w:t>
      </w:r>
      <w:r w:rsidR="00133E91" w:rsidRPr="00CB4A30">
        <w:t xml:space="preserve"> E</w:t>
      </w:r>
      <w:r w:rsidR="00133E91">
        <w:t>igenvalues</w:t>
      </w:r>
      <w:r w:rsidR="00133E91" w:rsidRPr="00CB4A30">
        <w:t xml:space="preserve"> </w:t>
      </w:r>
      <w:r w:rsidR="00133E91">
        <w:t>and</w:t>
      </w:r>
      <w:r w:rsidR="00133E91" w:rsidRPr="00CB4A30">
        <w:t xml:space="preserve"> </w:t>
      </w:r>
      <w:r w:rsidR="00F83360" w:rsidRPr="00CB4A30">
        <w:t>E</w:t>
      </w:r>
      <w:r w:rsidR="00F83360">
        <w:t>igenfunctions</w:t>
      </w:r>
      <w:r w:rsidRPr="00CB4A30">
        <w:t xml:space="preserve">. </w:t>
      </w:r>
      <w:r w:rsidRPr="00CB4A30">
        <w:rPr>
          <w:i/>
        </w:rPr>
        <w:t xml:space="preserve">J. Chem. Phys. </w:t>
      </w:r>
      <w:r w:rsidRPr="00CB4A30">
        <w:rPr>
          <w:b/>
        </w:rPr>
        <w:t>1989,</w:t>
      </w:r>
      <w:r w:rsidRPr="00CB4A30">
        <w:t xml:space="preserve"> </w:t>
      </w:r>
      <w:r w:rsidRPr="00CB4A30">
        <w:rPr>
          <w:i/>
        </w:rPr>
        <w:t>91</w:t>
      </w:r>
      <w:r w:rsidRPr="00CB4A30">
        <w:t>, 3571-3576.</w:t>
      </w:r>
    </w:p>
    <w:p w14:paraId="4D7EB420" w14:textId="77777777" w:rsidR="00CB4A30" w:rsidRPr="00CB4A30" w:rsidRDefault="00CB4A30" w:rsidP="00CB4A30">
      <w:pPr>
        <w:pStyle w:val="EndNoteBibliography"/>
        <w:spacing w:after="0"/>
      </w:pPr>
      <w:r w:rsidRPr="00CB4A30">
        <w:t>24.</w:t>
      </w:r>
      <w:r w:rsidRPr="00CB4A30">
        <w:tab/>
        <w:t xml:space="preserve">Shannon, R. J.; Robertson, S. H.; Blitz, M. A.; Seakins, P. W. Bimolecular reactions of activated species: An analysis of problematic HC(O)C(O) chemistry. </w:t>
      </w:r>
      <w:r w:rsidRPr="00CB4A30">
        <w:rPr>
          <w:i/>
        </w:rPr>
        <w:t xml:space="preserve">Chem. Phys. Lett. </w:t>
      </w:r>
      <w:r w:rsidRPr="00CB4A30">
        <w:rPr>
          <w:b/>
        </w:rPr>
        <w:t>2016,</w:t>
      </w:r>
      <w:r w:rsidRPr="00CB4A30">
        <w:t xml:space="preserve"> </w:t>
      </w:r>
      <w:r w:rsidRPr="00CB4A30">
        <w:rPr>
          <w:i/>
        </w:rPr>
        <w:t>661</w:t>
      </w:r>
      <w:r w:rsidRPr="00CB4A30">
        <w:t>, 58-64.</w:t>
      </w:r>
    </w:p>
    <w:p w14:paraId="422545F2" w14:textId="77777777" w:rsidR="00CB4A30" w:rsidRPr="00CB4A30" w:rsidRDefault="00CB4A30" w:rsidP="00CB4A30">
      <w:pPr>
        <w:pStyle w:val="EndNoteBibliography"/>
        <w:spacing w:after="0"/>
      </w:pPr>
      <w:r w:rsidRPr="00CB4A30">
        <w:t>25.</w:t>
      </w:r>
      <w:r w:rsidRPr="00CB4A30">
        <w:tab/>
        <w:t xml:space="preserve">Pilling, M. J.; Robertson, S. H. Master equation models for chemical reactions of importance in combustion. </w:t>
      </w:r>
      <w:r w:rsidRPr="00CB4A30">
        <w:rPr>
          <w:i/>
        </w:rPr>
        <w:t xml:space="preserve">Annu. Rev. Phys. Chem. </w:t>
      </w:r>
      <w:r w:rsidRPr="00CB4A30">
        <w:rPr>
          <w:b/>
        </w:rPr>
        <w:t>2003,</w:t>
      </w:r>
      <w:r w:rsidRPr="00CB4A30">
        <w:t xml:space="preserve"> </w:t>
      </w:r>
      <w:r w:rsidRPr="00CB4A30">
        <w:rPr>
          <w:i/>
        </w:rPr>
        <w:t>54</w:t>
      </w:r>
      <w:r w:rsidRPr="00CB4A30">
        <w:t>, 245-275.</w:t>
      </w:r>
    </w:p>
    <w:p w14:paraId="3224EF13" w14:textId="77777777" w:rsidR="00CB4A30" w:rsidRPr="00CB4A30" w:rsidRDefault="00CB4A30" w:rsidP="00CB4A30">
      <w:pPr>
        <w:pStyle w:val="EndNoteBibliography"/>
        <w:spacing w:after="0"/>
      </w:pPr>
      <w:r w:rsidRPr="00CB4A30">
        <w:t>26.</w:t>
      </w:r>
      <w:r w:rsidRPr="00CB4A30">
        <w:tab/>
        <w:t xml:space="preserve">Holbrook, K. A.; Pilling, M. J.; Robertson, S. H. </w:t>
      </w:r>
      <w:r w:rsidRPr="00CB4A30">
        <w:rPr>
          <w:i/>
        </w:rPr>
        <w:t>Unimolecular Reactions</w:t>
      </w:r>
      <w:r w:rsidRPr="00CB4A30">
        <w:t>. John Wiley &amp; Sons: Chichester, 1996.</w:t>
      </w:r>
    </w:p>
    <w:p w14:paraId="51A19E68" w14:textId="77777777" w:rsidR="00CB4A30" w:rsidRPr="00CB4A30" w:rsidRDefault="00CB4A30" w:rsidP="00CB4A30">
      <w:pPr>
        <w:pStyle w:val="EndNoteBibliography"/>
        <w:spacing w:after="0"/>
      </w:pPr>
      <w:r w:rsidRPr="00CB4A30">
        <w:t>27.</w:t>
      </w:r>
      <w:r w:rsidRPr="00CB4A30">
        <w:tab/>
        <w:t xml:space="preserve">Klippenstein, S. J.; Miller, J. A. From the time-dependent, multiple-well master equation to phenomenological rate coefficients. </w:t>
      </w:r>
      <w:r w:rsidRPr="00CB4A30">
        <w:rPr>
          <w:i/>
        </w:rPr>
        <w:t xml:space="preserve">J. Phys. Chem. A </w:t>
      </w:r>
      <w:r w:rsidRPr="00CB4A30">
        <w:rPr>
          <w:b/>
        </w:rPr>
        <w:t>2002,</w:t>
      </w:r>
      <w:r w:rsidRPr="00CB4A30">
        <w:t xml:space="preserve"> </w:t>
      </w:r>
      <w:r w:rsidRPr="00CB4A30">
        <w:rPr>
          <w:i/>
        </w:rPr>
        <w:t>106</w:t>
      </w:r>
      <w:r w:rsidRPr="00CB4A30">
        <w:t>, 9267-9277.</w:t>
      </w:r>
    </w:p>
    <w:p w14:paraId="78500880" w14:textId="77777777" w:rsidR="00CB4A30" w:rsidRPr="00CB4A30" w:rsidRDefault="00CB4A30" w:rsidP="00CB4A30">
      <w:pPr>
        <w:pStyle w:val="EndNoteBibliography"/>
        <w:spacing w:after="0"/>
      </w:pPr>
      <w:r w:rsidRPr="00CB4A30">
        <w:t>28.</w:t>
      </w:r>
      <w:r w:rsidRPr="00CB4A30">
        <w:tab/>
        <w:t xml:space="preserve">Miller, J. A.; Klippenstein, S. J. Master equation methods in gas phase chemical kinetics. </w:t>
      </w:r>
      <w:r w:rsidRPr="00CB4A30">
        <w:rPr>
          <w:i/>
        </w:rPr>
        <w:t xml:space="preserve">J. Phys. Chem. A </w:t>
      </w:r>
      <w:r w:rsidRPr="00CB4A30">
        <w:rPr>
          <w:b/>
        </w:rPr>
        <w:t>2006,</w:t>
      </w:r>
      <w:r w:rsidRPr="00CB4A30">
        <w:t xml:space="preserve"> </w:t>
      </w:r>
      <w:r w:rsidRPr="00CB4A30">
        <w:rPr>
          <w:i/>
        </w:rPr>
        <w:t>110</w:t>
      </w:r>
      <w:r w:rsidRPr="00CB4A30">
        <w:t>, 10528-10544.</w:t>
      </w:r>
    </w:p>
    <w:p w14:paraId="1B71187A" w14:textId="77777777" w:rsidR="00CB4A30" w:rsidRPr="00CB4A30" w:rsidRDefault="00CB4A30" w:rsidP="00CB4A30">
      <w:pPr>
        <w:pStyle w:val="EndNoteBibliography"/>
        <w:spacing w:after="0"/>
      </w:pPr>
      <w:r w:rsidRPr="00CB4A30">
        <w:t>29.</w:t>
      </w:r>
      <w:r w:rsidRPr="00CB4A30">
        <w:tab/>
        <w:t xml:space="preserve">Robertson, S. H. Foundations of the Master Equation. In </w:t>
      </w:r>
      <w:r w:rsidRPr="00CB4A30">
        <w:rPr>
          <w:i/>
        </w:rPr>
        <w:t>Comprehensive Chemical Kinetics</w:t>
      </w:r>
      <w:r w:rsidRPr="00CB4A30">
        <w:t>, 2019; Vol. 43, pp 291-361.</w:t>
      </w:r>
    </w:p>
    <w:p w14:paraId="17D1CD0D" w14:textId="77777777" w:rsidR="00CB4A30" w:rsidRPr="00CB4A30" w:rsidRDefault="00CB4A30" w:rsidP="00CB4A30">
      <w:pPr>
        <w:pStyle w:val="EndNoteBibliography"/>
        <w:spacing w:after="0"/>
      </w:pPr>
      <w:r w:rsidRPr="00CB4A30">
        <w:t>30.</w:t>
      </w:r>
      <w:r w:rsidRPr="00CB4A30">
        <w:tab/>
        <w:t>Gannon, K. L.; Glowacki, D. R.; Blitz, M. A.; Hughes, K. J.; Pilling, M. J.; Seakins, P. W. H atom yields from the reactions of CN radicals with C</w:t>
      </w:r>
      <w:r w:rsidRPr="00CB4A30">
        <w:rPr>
          <w:vertAlign w:val="subscript"/>
        </w:rPr>
        <w:t>2</w:t>
      </w:r>
      <w:r w:rsidRPr="00CB4A30">
        <w:t>H</w:t>
      </w:r>
      <w:r w:rsidRPr="00CB4A30">
        <w:rPr>
          <w:vertAlign w:val="subscript"/>
        </w:rPr>
        <w:t>2</w:t>
      </w:r>
      <w:r w:rsidRPr="00CB4A30">
        <w:t>, C</w:t>
      </w:r>
      <w:r w:rsidRPr="00CB4A30">
        <w:rPr>
          <w:vertAlign w:val="subscript"/>
        </w:rPr>
        <w:t>2</w:t>
      </w:r>
      <w:r w:rsidRPr="00CB4A30">
        <w:t>H</w:t>
      </w:r>
      <w:r w:rsidRPr="00CB4A30">
        <w:rPr>
          <w:vertAlign w:val="subscript"/>
        </w:rPr>
        <w:t>4</w:t>
      </w:r>
      <w:r w:rsidRPr="00CB4A30">
        <w:t>, C</w:t>
      </w:r>
      <w:r w:rsidRPr="00CB4A30">
        <w:rPr>
          <w:vertAlign w:val="subscript"/>
        </w:rPr>
        <w:t>3</w:t>
      </w:r>
      <w:r w:rsidRPr="00CB4A30">
        <w:t>H</w:t>
      </w:r>
      <w:r w:rsidRPr="00CB4A30">
        <w:rPr>
          <w:vertAlign w:val="subscript"/>
        </w:rPr>
        <w:t>6</w:t>
      </w:r>
      <w:r w:rsidRPr="00CB4A30">
        <w:t>, trans-2-C</w:t>
      </w:r>
      <w:r w:rsidRPr="00CB4A30">
        <w:rPr>
          <w:vertAlign w:val="subscript"/>
        </w:rPr>
        <w:t>4</w:t>
      </w:r>
      <w:r w:rsidRPr="00CB4A30">
        <w:t>H</w:t>
      </w:r>
      <w:r w:rsidRPr="00CB4A30">
        <w:rPr>
          <w:vertAlign w:val="subscript"/>
        </w:rPr>
        <w:t>8</w:t>
      </w:r>
      <w:r w:rsidRPr="00CB4A30">
        <w:t>, and iso-C</w:t>
      </w:r>
      <w:r w:rsidRPr="00CB4A30">
        <w:rPr>
          <w:vertAlign w:val="subscript"/>
        </w:rPr>
        <w:t>4</w:t>
      </w:r>
      <w:r w:rsidRPr="00CB4A30">
        <w:t>H</w:t>
      </w:r>
      <w:r w:rsidRPr="00CB4A30">
        <w:rPr>
          <w:vertAlign w:val="subscript"/>
        </w:rPr>
        <w:t>8</w:t>
      </w:r>
      <w:r w:rsidRPr="00CB4A30">
        <w:t xml:space="preserve">. </w:t>
      </w:r>
      <w:r w:rsidRPr="00CB4A30">
        <w:rPr>
          <w:i/>
        </w:rPr>
        <w:t xml:space="preserve">J. Phys. Chem. A </w:t>
      </w:r>
      <w:r w:rsidRPr="00CB4A30">
        <w:rPr>
          <w:b/>
        </w:rPr>
        <w:t>2007,</w:t>
      </w:r>
      <w:r w:rsidRPr="00CB4A30">
        <w:t xml:space="preserve"> </w:t>
      </w:r>
      <w:r w:rsidRPr="00CB4A30">
        <w:rPr>
          <w:i/>
        </w:rPr>
        <w:t>111</w:t>
      </w:r>
      <w:r w:rsidRPr="00CB4A30">
        <w:t>, 6679-6692.</w:t>
      </w:r>
    </w:p>
    <w:p w14:paraId="28F81ADD" w14:textId="77777777" w:rsidR="00CB4A30" w:rsidRPr="00CB4A30" w:rsidRDefault="00CB4A30" w:rsidP="00CB4A30">
      <w:pPr>
        <w:pStyle w:val="EndNoteBibliography"/>
        <w:spacing w:after="0"/>
      </w:pPr>
      <w:r w:rsidRPr="00CB4A30">
        <w:t>31.</w:t>
      </w:r>
      <w:r w:rsidRPr="00CB4A30">
        <w:tab/>
        <w:t xml:space="preserve">Davies, J. W.; Green, N. J. B.; Pilling, M. J. The Testing of Models for Unimolecular Decomposition via Inverse Laplace Transformation of Experimental Recombination Data. </w:t>
      </w:r>
      <w:r w:rsidRPr="00CB4A30">
        <w:rPr>
          <w:i/>
        </w:rPr>
        <w:t xml:space="preserve">Chem. Phys. Lett. </w:t>
      </w:r>
      <w:r w:rsidRPr="00CB4A30">
        <w:rPr>
          <w:b/>
        </w:rPr>
        <w:t>1986,</w:t>
      </w:r>
      <w:r w:rsidRPr="00CB4A30">
        <w:t xml:space="preserve"> </w:t>
      </w:r>
      <w:r w:rsidRPr="00CB4A30">
        <w:rPr>
          <w:i/>
        </w:rPr>
        <w:t>126</w:t>
      </w:r>
      <w:r w:rsidRPr="00CB4A30">
        <w:t>, 373-379.</w:t>
      </w:r>
    </w:p>
    <w:p w14:paraId="73FE4A77" w14:textId="77777777" w:rsidR="00CB4A30" w:rsidRPr="00CB4A30" w:rsidRDefault="00CB4A30" w:rsidP="00CB4A30">
      <w:pPr>
        <w:pStyle w:val="EndNoteBibliography"/>
        <w:spacing w:after="0"/>
      </w:pPr>
      <w:r w:rsidRPr="00CB4A30">
        <w:t>32.</w:t>
      </w:r>
      <w:r w:rsidRPr="00CB4A30">
        <w:tab/>
        <w:t xml:space="preserve">Miller, J. A. Combustion chemistry: Elementary reactions to macroscopic processes - Concluding Remarks. </w:t>
      </w:r>
      <w:r w:rsidRPr="00CB4A30">
        <w:rPr>
          <w:i/>
        </w:rPr>
        <w:t xml:space="preserve">Faraday Discuss. </w:t>
      </w:r>
      <w:r w:rsidRPr="00CB4A30">
        <w:rPr>
          <w:b/>
        </w:rPr>
        <w:t>2001,</w:t>
      </w:r>
      <w:r w:rsidRPr="00CB4A30">
        <w:t xml:space="preserve"> </w:t>
      </w:r>
      <w:r w:rsidRPr="00CB4A30">
        <w:rPr>
          <w:i/>
        </w:rPr>
        <w:t>119</w:t>
      </w:r>
      <w:r w:rsidRPr="00CB4A30">
        <w:t>, 461-475.</w:t>
      </w:r>
    </w:p>
    <w:p w14:paraId="1BDA1D23" w14:textId="77777777" w:rsidR="00CB4A30" w:rsidRPr="00CB4A30" w:rsidRDefault="00CB4A30" w:rsidP="00CB4A30">
      <w:pPr>
        <w:pStyle w:val="EndNoteBibliography"/>
        <w:spacing w:after="0"/>
      </w:pPr>
      <w:r w:rsidRPr="00CB4A30">
        <w:t>33.</w:t>
      </w:r>
      <w:r w:rsidRPr="00CB4A30">
        <w:tab/>
        <w:t xml:space="preserve">Gilbert, R. G.; Smith, S. C. </w:t>
      </w:r>
      <w:r w:rsidRPr="00CB4A30">
        <w:rPr>
          <w:i/>
        </w:rPr>
        <w:t>Theory of Unimolecular and Recombination Reactions</w:t>
      </w:r>
      <w:r w:rsidRPr="00CB4A30">
        <w:t>. Blackwell Scientific Publications: Oxford, 1990.</w:t>
      </w:r>
    </w:p>
    <w:p w14:paraId="27FA4141" w14:textId="77777777" w:rsidR="00CB4A30" w:rsidRPr="00CB4A30" w:rsidRDefault="00CB4A30" w:rsidP="00CB4A30">
      <w:pPr>
        <w:pStyle w:val="EndNoteBibliography"/>
        <w:spacing w:after="0"/>
      </w:pPr>
      <w:r w:rsidRPr="00CB4A30">
        <w:t>34.</w:t>
      </w:r>
      <w:r w:rsidRPr="00CB4A30">
        <w:tab/>
        <w:t xml:space="preserve">Baer, T.; Hase, W. L. </w:t>
      </w:r>
      <w:r w:rsidRPr="00CB4A30">
        <w:rPr>
          <w:i/>
        </w:rPr>
        <w:t>Unimolecular Reaction Dynamics: Theory and Experiments</w:t>
      </w:r>
      <w:r w:rsidRPr="00CB4A30">
        <w:t>. Oxford University Press: New York, 1996.</w:t>
      </w:r>
    </w:p>
    <w:p w14:paraId="238CD344" w14:textId="77777777" w:rsidR="00CB4A30" w:rsidRPr="00CB4A30" w:rsidRDefault="00CB4A30" w:rsidP="00CB4A30">
      <w:pPr>
        <w:pStyle w:val="EndNoteBibliography"/>
        <w:spacing w:after="0"/>
      </w:pPr>
      <w:r w:rsidRPr="00CB4A30">
        <w:t>35.</w:t>
      </w:r>
      <w:r w:rsidRPr="00CB4A30">
        <w:tab/>
        <w:t xml:space="preserve">Robertson, S. H.; Pilling, M. J.; Baulch, D. L.; Green, N. J. B. Fitting of Pressure Dependent Kinetic Rate Data by Master Equation Inverse Laplace Transform Analysis. </w:t>
      </w:r>
      <w:r w:rsidRPr="00CB4A30">
        <w:rPr>
          <w:i/>
        </w:rPr>
        <w:t xml:space="preserve">J. Phys. Chem. </w:t>
      </w:r>
      <w:r w:rsidRPr="00CB4A30">
        <w:rPr>
          <w:b/>
        </w:rPr>
        <w:t>1995,</w:t>
      </w:r>
      <w:r w:rsidRPr="00CB4A30">
        <w:t xml:space="preserve"> </w:t>
      </w:r>
      <w:r w:rsidRPr="00CB4A30">
        <w:rPr>
          <w:i/>
        </w:rPr>
        <w:t>99</w:t>
      </w:r>
      <w:r w:rsidRPr="00CB4A30">
        <w:t>, 13452-13460.</w:t>
      </w:r>
    </w:p>
    <w:p w14:paraId="284A21BA" w14:textId="77777777" w:rsidR="00CB4A30" w:rsidRPr="00CB4A30" w:rsidRDefault="00CB4A30" w:rsidP="00CB4A30">
      <w:pPr>
        <w:pStyle w:val="EndNoteBibliography"/>
        <w:spacing w:after="0"/>
      </w:pPr>
      <w:r w:rsidRPr="00CB4A30">
        <w:t>36.</w:t>
      </w:r>
      <w:r w:rsidRPr="00CB4A30">
        <w:tab/>
        <w:t xml:space="preserve">Green, N. J. B.; Bhatti, Z. A. Steady-state master equation methods. </w:t>
      </w:r>
      <w:r w:rsidRPr="00CB4A30">
        <w:rPr>
          <w:i/>
        </w:rPr>
        <w:t xml:space="preserve">Phys. Chem. Chem. Phys. </w:t>
      </w:r>
      <w:r w:rsidRPr="00CB4A30">
        <w:rPr>
          <w:b/>
        </w:rPr>
        <w:t>2007,</w:t>
      </w:r>
      <w:r w:rsidRPr="00CB4A30">
        <w:t xml:space="preserve"> </w:t>
      </w:r>
      <w:r w:rsidRPr="00CB4A30">
        <w:rPr>
          <w:i/>
        </w:rPr>
        <w:t>9</w:t>
      </w:r>
      <w:r w:rsidRPr="00CB4A30">
        <w:t>, 4275-4290.</w:t>
      </w:r>
    </w:p>
    <w:p w14:paraId="6AF3251E" w14:textId="77777777" w:rsidR="00CB4A30" w:rsidRPr="00CB4A30" w:rsidRDefault="00CB4A30" w:rsidP="00CB4A30">
      <w:pPr>
        <w:pStyle w:val="EndNoteBibliography"/>
        <w:spacing w:after="0"/>
      </w:pPr>
      <w:r w:rsidRPr="00CB4A30">
        <w:t>37.</w:t>
      </w:r>
      <w:r w:rsidRPr="00CB4A30">
        <w:tab/>
        <w:t xml:space="preserve">Bartis, J. T.; Widom, B. Stochastic Models of Interconversion of Three or More Chemical Species. </w:t>
      </w:r>
      <w:r w:rsidRPr="00CB4A30">
        <w:rPr>
          <w:i/>
        </w:rPr>
        <w:t xml:space="preserve">J. Chem. Phys. </w:t>
      </w:r>
      <w:r w:rsidRPr="00CB4A30">
        <w:rPr>
          <w:b/>
        </w:rPr>
        <w:t>1974,</w:t>
      </w:r>
      <w:r w:rsidRPr="00CB4A30">
        <w:t xml:space="preserve"> </w:t>
      </w:r>
      <w:r w:rsidRPr="00CB4A30">
        <w:rPr>
          <w:i/>
        </w:rPr>
        <w:t>60</w:t>
      </w:r>
      <w:r w:rsidRPr="00CB4A30">
        <w:t>, 3474-3482.</w:t>
      </w:r>
    </w:p>
    <w:p w14:paraId="31384611" w14:textId="77777777" w:rsidR="00CB4A30" w:rsidRPr="00CB4A30" w:rsidRDefault="00CB4A30" w:rsidP="00CB4A30">
      <w:pPr>
        <w:pStyle w:val="EndNoteBibliography"/>
        <w:spacing w:after="0"/>
      </w:pPr>
      <w:r w:rsidRPr="00CB4A30">
        <w:lastRenderedPageBreak/>
        <w:t>38.</w:t>
      </w:r>
      <w:r w:rsidRPr="00CB4A30">
        <w:tab/>
        <w:t xml:space="preserve">Venkatesh, P. K.; Dean, A. M.; Cohen, M. H.; Carr, R. W. Master equation analysis of intermolecular energy transfer in multiple-well, multiple-channel unimolecular reactions .1. Basic theory. </w:t>
      </w:r>
      <w:r w:rsidRPr="00CB4A30">
        <w:rPr>
          <w:i/>
        </w:rPr>
        <w:t xml:space="preserve">J. Chem. Phys. </w:t>
      </w:r>
      <w:r w:rsidRPr="00CB4A30">
        <w:rPr>
          <w:b/>
        </w:rPr>
        <w:t>1997,</w:t>
      </w:r>
      <w:r w:rsidRPr="00CB4A30">
        <w:t xml:space="preserve"> </w:t>
      </w:r>
      <w:r w:rsidRPr="00CB4A30">
        <w:rPr>
          <w:i/>
        </w:rPr>
        <w:t>107</w:t>
      </w:r>
      <w:r w:rsidRPr="00CB4A30">
        <w:t>, 8904-8916.</w:t>
      </w:r>
    </w:p>
    <w:p w14:paraId="56FFC982" w14:textId="77777777" w:rsidR="00CB4A30" w:rsidRPr="00CB4A30" w:rsidRDefault="00CB4A30" w:rsidP="00CB4A30">
      <w:pPr>
        <w:pStyle w:val="EndNoteBibliography"/>
        <w:spacing w:after="0"/>
      </w:pPr>
      <w:r w:rsidRPr="00CB4A30">
        <w:t>39.</w:t>
      </w:r>
      <w:r w:rsidRPr="00CB4A30">
        <w:tab/>
        <w:t>Venkatesh, P. K.; Dean, A. M.; Cohen, M. H.; Carr, R. W. Master equation analysis of intermolecular energy transfer in multiple-well, multiple-channel unimolecular reactions. II. Numerical methods and application to the mechanism of the C</w:t>
      </w:r>
      <w:r w:rsidRPr="00CB4A30">
        <w:rPr>
          <w:vertAlign w:val="subscript"/>
        </w:rPr>
        <w:t>2</w:t>
      </w:r>
      <w:r w:rsidRPr="00CB4A30">
        <w:t>H</w:t>
      </w:r>
      <w:r w:rsidRPr="00CB4A30">
        <w:rPr>
          <w:vertAlign w:val="subscript"/>
        </w:rPr>
        <w:t>5</w:t>
      </w:r>
      <w:r w:rsidRPr="00CB4A30">
        <w:t>+O</w:t>
      </w:r>
      <w:r w:rsidRPr="00CB4A30">
        <w:rPr>
          <w:vertAlign w:val="subscript"/>
        </w:rPr>
        <w:t>2</w:t>
      </w:r>
      <w:r w:rsidRPr="00CB4A30">
        <w:t xml:space="preserve"> reaction. </w:t>
      </w:r>
      <w:r w:rsidRPr="00CB4A30">
        <w:rPr>
          <w:i/>
        </w:rPr>
        <w:t xml:space="preserve">J. Chem. Phys. </w:t>
      </w:r>
      <w:r w:rsidRPr="00CB4A30">
        <w:rPr>
          <w:b/>
        </w:rPr>
        <w:t>1999,</w:t>
      </w:r>
      <w:r w:rsidRPr="00CB4A30">
        <w:t xml:space="preserve"> </w:t>
      </w:r>
      <w:r w:rsidRPr="00CB4A30">
        <w:rPr>
          <w:i/>
        </w:rPr>
        <w:t>111</w:t>
      </w:r>
      <w:r w:rsidRPr="00CB4A30">
        <w:t>, 8313-8329.</w:t>
      </w:r>
    </w:p>
    <w:p w14:paraId="606C66EC" w14:textId="77777777" w:rsidR="00CB4A30" w:rsidRPr="00CB4A30" w:rsidRDefault="00CB4A30" w:rsidP="00CB4A30">
      <w:pPr>
        <w:pStyle w:val="EndNoteBibliography"/>
      </w:pPr>
      <w:r w:rsidRPr="00CB4A30">
        <w:t>40.</w:t>
      </w:r>
      <w:r w:rsidRPr="00CB4A30">
        <w:tab/>
        <w:t xml:space="preserve">Gang, J.; Pilling, M. J.; Robertson, S. H. Monte Carlo calculation of partition functions for straight chain alkanes. </w:t>
      </w:r>
      <w:r w:rsidRPr="00CB4A30">
        <w:rPr>
          <w:i/>
        </w:rPr>
        <w:t xml:space="preserve">Chem. Phys. </w:t>
      </w:r>
      <w:r w:rsidRPr="00CB4A30">
        <w:rPr>
          <w:b/>
        </w:rPr>
        <w:t>1998,</w:t>
      </w:r>
      <w:r w:rsidRPr="00CB4A30">
        <w:t xml:space="preserve"> </w:t>
      </w:r>
      <w:r w:rsidRPr="00CB4A30">
        <w:rPr>
          <w:i/>
        </w:rPr>
        <w:t>231</w:t>
      </w:r>
      <w:r w:rsidRPr="00CB4A30">
        <w:t>, 183-192.</w:t>
      </w:r>
    </w:p>
    <w:p w14:paraId="71A6BE74" w14:textId="24B6B938" w:rsidR="00097B97" w:rsidRDefault="007A15CE" w:rsidP="00D319EA">
      <w:pPr>
        <w:tabs>
          <w:tab w:val="clear" w:pos="540"/>
          <w:tab w:val="clear" w:pos="8064"/>
          <w:tab w:val="left" w:pos="284"/>
        </w:tabs>
        <w:spacing w:after="0" w:line="240" w:lineRule="auto"/>
      </w:pPr>
      <w:r>
        <w:fldChar w:fldCharType="end"/>
      </w:r>
    </w:p>
    <w:p w14:paraId="10EC70B7" w14:textId="59ACC803" w:rsidR="002C6656" w:rsidRDefault="002C6656" w:rsidP="00D319EA">
      <w:pPr>
        <w:tabs>
          <w:tab w:val="clear" w:pos="540"/>
          <w:tab w:val="clear" w:pos="8064"/>
          <w:tab w:val="left" w:pos="284"/>
        </w:tabs>
        <w:spacing w:after="0" w:line="240" w:lineRule="auto"/>
      </w:pPr>
    </w:p>
    <w:p w14:paraId="54820962" w14:textId="1F8CB4A3" w:rsidR="002C6656" w:rsidRDefault="002C6656" w:rsidP="002C6656">
      <w:pPr>
        <w:pStyle w:val="EndNoteBibliography"/>
      </w:pPr>
      <w:r>
        <w:t xml:space="preserve">Jasper, A. </w:t>
      </w:r>
      <w:r w:rsidRPr="002C6656">
        <w:t>“Third-body” collision parameters for hydrocarbons, alcohols,</w:t>
      </w:r>
      <w:r>
        <w:t xml:space="preserve"> </w:t>
      </w:r>
      <w:r w:rsidRPr="002C6656">
        <w:t>and hydroperoxides and an effective internal rotor approach for</w:t>
      </w:r>
      <w:r>
        <w:t xml:space="preserve"> </w:t>
      </w:r>
      <w:r w:rsidRPr="002C6656">
        <w:t>estimating them</w:t>
      </w:r>
      <w:r>
        <w:t xml:space="preserve">. </w:t>
      </w:r>
      <w:r w:rsidRPr="002C6656">
        <w:rPr>
          <w:i/>
          <w:iCs/>
        </w:rPr>
        <w:t>Int. J. Chem. Kinet.</w:t>
      </w:r>
      <w:r w:rsidRPr="002C6656">
        <w:t xml:space="preserve"> </w:t>
      </w:r>
      <w:r w:rsidRPr="002C6656">
        <w:rPr>
          <w:b/>
          <w:bCs/>
        </w:rPr>
        <w:t>2020</w:t>
      </w:r>
      <w:r>
        <w:t xml:space="preserve">, </w:t>
      </w:r>
      <w:r w:rsidRPr="002C6656">
        <w:t>52</w:t>
      </w:r>
      <w:r>
        <w:t xml:space="preserve">, </w:t>
      </w:r>
      <w:r w:rsidRPr="002C6656">
        <w:t>387–402.</w:t>
      </w: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CBFD" w14:textId="77777777" w:rsidR="0000066E" w:rsidRDefault="0000066E">
      <w:pPr>
        <w:spacing w:after="0" w:line="240" w:lineRule="auto"/>
      </w:pPr>
      <w:r>
        <w:separator/>
      </w:r>
    </w:p>
  </w:endnote>
  <w:endnote w:type="continuationSeparator" w:id="0">
    <w:p w14:paraId="7EDD424E" w14:textId="77777777" w:rsidR="0000066E" w:rsidRDefault="0000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68B61142" w:rsidR="0085350E" w:rsidRDefault="0085350E">
    <w:pPr>
      <w:pStyle w:val="Footer"/>
      <w:jc w:val="center"/>
    </w:pPr>
    <w:r>
      <w:fldChar w:fldCharType="begin"/>
    </w:r>
    <w:r>
      <w:instrText xml:space="preserve"> PAGE   \* MERGEFORMAT </w:instrText>
    </w:r>
    <w:r>
      <w:fldChar w:fldCharType="separate"/>
    </w:r>
    <w:r>
      <w:rPr>
        <w:noProof/>
      </w:rPr>
      <w:t>144</w:t>
    </w:r>
    <w:r>
      <w:rPr>
        <w:noProof/>
      </w:rPr>
      <w:fldChar w:fldCharType="end"/>
    </w:r>
  </w:p>
  <w:p w14:paraId="7716DCC5" w14:textId="77777777" w:rsidR="0085350E" w:rsidRDefault="008535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DA50E" w14:textId="77777777" w:rsidR="0000066E" w:rsidRDefault="0000066E">
      <w:pPr>
        <w:spacing w:after="0" w:line="240" w:lineRule="auto"/>
      </w:pPr>
      <w:r>
        <w:separator/>
      </w:r>
    </w:p>
  </w:footnote>
  <w:footnote w:type="continuationSeparator" w:id="0">
    <w:p w14:paraId="249356B7" w14:textId="77777777" w:rsidR="0000066E" w:rsidRDefault="0000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record-ids&gt;&lt;/item&gt;&lt;/Libraries&gt;"/>
  </w:docVars>
  <w:rsids>
    <w:rsidRoot w:val="00F77C82"/>
    <w:rsid w:val="00000233"/>
    <w:rsid w:val="0000066E"/>
    <w:rsid w:val="0000101A"/>
    <w:rsid w:val="00002487"/>
    <w:rsid w:val="00002B8B"/>
    <w:rsid w:val="00003AA1"/>
    <w:rsid w:val="00010614"/>
    <w:rsid w:val="00013DF1"/>
    <w:rsid w:val="00015B84"/>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B8C"/>
    <w:rsid w:val="00070D7F"/>
    <w:rsid w:val="00074B86"/>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4A52"/>
    <w:rsid w:val="00454DA8"/>
    <w:rsid w:val="0045725A"/>
    <w:rsid w:val="0046074F"/>
    <w:rsid w:val="00461A78"/>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491C"/>
    <w:rsid w:val="007969AF"/>
    <w:rsid w:val="007A15CE"/>
    <w:rsid w:val="007A20E0"/>
    <w:rsid w:val="007A2855"/>
    <w:rsid w:val="007A6127"/>
    <w:rsid w:val="007A66B9"/>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D98"/>
    <w:rsid w:val="00855E23"/>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2DF6"/>
    <w:rsid w:val="00B03197"/>
    <w:rsid w:val="00B06933"/>
    <w:rsid w:val="00B06F9F"/>
    <w:rsid w:val="00B1000B"/>
    <w:rsid w:val="00B112EE"/>
    <w:rsid w:val="00B13E18"/>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41E8"/>
    <w:rsid w:val="00C365E9"/>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943"/>
    <w:rsid w:val="00D84BFA"/>
    <w:rsid w:val="00D854B6"/>
    <w:rsid w:val="00D8590A"/>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crd.lbl.gov/~dhbailey/mpdist/"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E109E-2F18-4BA8-BDF4-BED8CBCD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16264</TotalTime>
  <Pages>149</Pages>
  <Words>51337</Words>
  <Characters>292621</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343272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83</cp:revision>
  <cp:lastPrinted>2020-12-31T17:20:00Z</cp:lastPrinted>
  <dcterms:created xsi:type="dcterms:W3CDTF">2020-04-24T15:12:00Z</dcterms:created>
  <dcterms:modified xsi:type="dcterms:W3CDTF">2021-06-05T23:04:00Z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