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F0708">
        <w:rPr>
          <w:noProof/>
        </w:rPr>
        <w:t>26 January 2014</w:t>
      </w:r>
      <w:r w:rsidR="007A15CE">
        <w:fldChar w:fldCharType="end"/>
      </w:r>
    </w:p>
    <w:p w:rsidR="00F77C82" w:rsidRPr="00C05534" w:rsidRDefault="00F77C82" w:rsidP="00C05534">
      <w:pPr>
        <w:pStyle w:val="Heading1"/>
      </w:pPr>
      <w:bookmarkStart w:id="0" w:name="_Toc377318912"/>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 xml:space="preserve">If you published results using MESMER, we would appreciate it if you would cite us.  A paper in which we detail some of the more interesting things implemented in MESMER, is published in the D.R. </w:t>
      </w:r>
      <w:proofErr w:type="spellStart"/>
      <w:r>
        <w:t>Glowacki</w:t>
      </w:r>
      <w:proofErr w:type="spellEnd"/>
      <w:r>
        <w:t>,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w:t>
      </w:r>
      <w:proofErr w:type="spellStart"/>
      <w:r>
        <w:t>Glowacki</w:t>
      </w:r>
      <w:proofErr w:type="spellEnd"/>
      <w:r>
        <w:t xml:space="preserve">, D. R.; Liang, C.-H.; Morley, C.; Shannon, R.; Blitz, M.; </w:t>
      </w:r>
      <w:proofErr w:type="spellStart"/>
      <w:r>
        <w:t>Seakins</w:t>
      </w:r>
      <w:proofErr w:type="spellEnd"/>
      <w:r>
        <w:t>,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77318913"/>
      <w:r>
        <w:lastRenderedPageBreak/>
        <w:t>Notices</w:t>
      </w:r>
      <w:bookmarkEnd w:id="1"/>
    </w:p>
    <w:p w:rsidR="00CE0E5E" w:rsidRDefault="00CE0E5E" w:rsidP="00CE0E5E">
      <w:r>
        <w:t>MESMER</w:t>
      </w:r>
      <w:r w:rsidR="0045725A">
        <w:t xml:space="preserve">, Copyright (C) 2009-2013 by Struan H. Robertson, David R. </w:t>
      </w:r>
      <w:proofErr w:type="spellStart"/>
      <w:r w:rsidR="0045725A">
        <w:t>Glowacki</w:t>
      </w:r>
      <w:proofErr w:type="spellEnd"/>
      <w:r w:rsidR="0045725A">
        <w:t>,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77318914"/>
      <w:r w:rsidRPr="00C05534">
        <w:lastRenderedPageBreak/>
        <w:t>Contents</w:t>
      </w:r>
      <w:bookmarkEnd w:id="2"/>
    </w:p>
    <w:p w:rsidR="00225EC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225ECE">
        <w:rPr>
          <w:noProof/>
        </w:rPr>
        <w:t>1</w:t>
      </w:r>
      <w:r w:rsidR="00225ECE">
        <w:rPr>
          <w:rFonts w:asciiTheme="minorHAnsi" w:eastAsiaTheme="minorEastAsia" w:hAnsiTheme="minorHAnsi" w:cstheme="minorBidi"/>
          <w:noProof/>
          <w:szCs w:val="22"/>
          <w:lang w:eastAsia="en-GB"/>
        </w:rPr>
        <w:tab/>
      </w:r>
      <w:r w:rsidR="00225ECE">
        <w:rPr>
          <w:noProof/>
        </w:rPr>
        <w:t>Acknowledgements and Citation</w:t>
      </w:r>
      <w:r w:rsidR="00225ECE">
        <w:rPr>
          <w:noProof/>
        </w:rPr>
        <w:tab/>
      </w:r>
      <w:r w:rsidR="00225ECE">
        <w:rPr>
          <w:noProof/>
        </w:rPr>
        <w:fldChar w:fldCharType="begin"/>
      </w:r>
      <w:r w:rsidR="00225ECE">
        <w:rPr>
          <w:noProof/>
        </w:rPr>
        <w:instrText xml:space="preserve"> PAGEREF _Toc377318912 \h </w:instrText>
      </w:r>
      <w:r w:rsidR="00225ECE">
        <w:rPr>
          <w:noProof/>
        </w:rPr>
      </w:r>
      <w:r w:rsidR="00225ECE">
        <w:rPr>
          <w:noProof/>
        </w:rPr>
        <w:fldChar w:fldCharType="separate"/>
      </w:r>
      <w:r w:rsidR="00C5162B">
        <w:rPr>
          <w:noProof/>
        </w:rPr>
        <w:t>2</w:t>
      </w:r>
      <w:r w:rsidR="00225ECE">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_Toc377318913 \h </w:instrText>
      </w:r>
      <w:r>
        <w:rPr>
          <w:noProof/>
        </w:rPr>
      </w:r>
      <w:r>
        <w:rPr>
          <w:noProof/>
        </w:rPr>
        <w:fldChar w:fldCharType="separate"/>
      </w:r>
      <w:r w:rsidR="00C5162B">
        <w:rPr>
          <w:noProof/>
        </w:rPr>
        <w:t>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_Toc377318914 \h </w:instrText>
      </w:r>
      <w:r>
        <w:rPr>
          <w:noProof/>
        </w:rPr>
      </w:r>
      <w:r>
        <w:rPr>
          <w:noProof/>
        </w:rPr>
        <w:fldChar w:fldCharType="separate"/>
      </w:r>
      <w:r w:rsidR="00C5162B">
        <w:rPr>
          <w:noProof/>
        </w:rPr>
        <w:t>5</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_Toc377318915 \h </w:instrText>
      </w:r>
      <w:r>
        <w:rPr>
          <w:noProof/>
        </w:rPr>
      </w:r>
      <w:r>
        <w:rPr>
          <w:noProof/>
        </w:rPr>
        <w:fldChar w:fldCharType="separate"/>
      </w:r>
      <w:r w:rsidR="00C5162B">
        <w:rPr>
          <w:noProof/>
        </w:rPr>
        <w:t>9</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_Toc377318916 \h </w:instrText>
      </w:r>
      <w:r>
        <w:rPr>
          <w:noProof/>
        </w:rPr>
      </w:r>
      <w:r>
        <w:rPr>
          <w:noProof/>
        </w:rPr>
        <w:fldChar w:fldCharType="separate"/>
      </w:r>
      <w:r w:rsidR="00C5162B">
        <w:rPr>
          <w:noProof/>
        </w:rPr>
        <w:t>10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_Toc377318917 \h </w:instrText>
      </w:r>
      <w:r>
        <w:rPr>
          <w:noProof/>
        </w:rPr>
      </w:r>
      <w:r>
        <w:rPr>
          <w:noProof/>
        </w:rPr>
        <w:fldChar w:fldCharType="separate"/>
      </w:r>
      <w:r w:rsidR="00C5162B">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_Toc377318918 \h </w:instrText>
      </w:r>
      <w:r>
        <w:rPr>
          <w:noProof/>
        </w:rPr>
      </w:r>
      <w:r>
        <w:rPr>
          <w:noProof/>
        </w:rPr>
        <w:fldChar w:fldCharType="separate"/>
      </w:r>
      <w:r w:rsidR="00C5162B">
        <w:rPr>
          <w:noProof/>
        </w:rPr>
        <w:t>13</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_Toc377318919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_Toc377318920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_Toc377318921 \h </w:instrText>
      </w:r>
      <w:r>
        <w:rPr>
          <w:noProof/>
        </w:rPr>
      </w:r>
      <w:r>
        <w:rPr>
          <w:noProof/>
        </w:rPr>
        <w:fldChar w:fldCharType="separate"/>
      </w:r>
      <w:r w:rsidR="00C5162B">
        <w:rPr>
          <w:noProof/>
        </w:rPr>
        <w:t>13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_Toc377318922 \h </w:instrText>
      </w:r>
      <w:r>
        <w:rPr>
          <w:noProof/>
        </w:rPr>
      </w:r>
      <w:r>
        <w:rPr>
          <w:noProof/>
        </w:rPr>
        <w:fldChar w:fldCharType="separate"/>
      </w:r>
      <w:r w:rsidR="00C5162B">
        <w:rPr>
          <w:noProof/>
        </w:rPr>
        <w:t>14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_Toc377318923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_Toc377318924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_Toc377318925 \h </w:instrText>
      </w:r>
      <w:r>
        <w:rPr>
          <w:noProof/>
        </w:rPr>
      </w:r>
      <w:r>
        <w:rPr>
          <w:noProof/>
        </w:rPr>
        <w:fldChar w:fldCharType="separate"/>
      </w:r>
      <w:r w:rsidR="00C5162B">
        <w:rPr>
          <w:noProof/>
        </w:rPr>
        <w:t>15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_Toc377318926 \h </w:instrText>
      </w:r>
      <w:r>
        <w:rPr>
          <w:noProof/>
        </w:rPr>
      </w:r>
      <w:r>
        <w:rPr>
          <w:noProof/>
        </w:rPr>
        <w:fldChar w:fldCharType="separate"/>
      </w:r>
      <w:r w:rsidR="00C5162B">
        <w:rPr>
          <w:noProof/>
        </w:rPr>
        <w:t>16</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_Toc377318927 \h </w:instrText>
      </w:r>
      <w:r>
        <w:rPr>
          <w:noProof/>
        </w:rPr>
      </w:r>
      <w:r>
        <w:rPr>
          <w:noProof/>
        </w:rPr>
        <w:fldChar w:fldCharType="separate"/>
      </w:r>
      <w:r w:rsidR="00C5162B">
        <w:rPr>
          <w:noProof/>
        </w:rPr>
        <w:t>18</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_Toc377318928 \h </w:instrText>
      </w:r>
      <w:r>
        <w:rPr>
          <w:noProof/>
        </w:rPr>
      </w:r>
      <w:r>
        <w:rPr>
          <w:noProof/>
        </w:rPr>
        <w:fldChar w:fldCharType="separate"/>
      </w:r>
      <w:r w:rsidR="00C5162B">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_Toc377318929 \h </w:instrText>
      </w:r>
      <w:r>
        <w:rPr>
          <w:noProof/>
        </w:rPr>
      </w:r>
      <w:r>
        <w:rPr>
          <w:noProof/>
        </w:rPr>
        <w:fldChar w:fldCharType="separate"/>
      </w:r>
      <w:r w:rsidR="00C5162B">
        <w:rPr>
          <w:noProof/>
        </w:rPr>
        <w:t>19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_Toc377318930 \h </w:instrText>
      </w:r>
      <w:r>
        <w:rPr>
          <w:noProof/>
        </w:rPr>
      </w:r>
      <w:r>
        <w:rPr>
          <w:noProof/>
        </w:rPr>
        <w:fldChar w:fldCharType="separate"/>
      </w:r>
      <w:r w:rsidR="00C5162B">
        <w:rPr>
          <w:noProof/>
        </w:rPr>
        <w:t>20</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_Toc377318931 \h </w:instrText>
      </w:r>
      <w:r>
        <w:rPr>
          <w:noProof/>
        </w:rPr>
      </w:r>
      <w:r>
        <w:rPr>
          <w:noProof/>
        </w:rPr>
        <w:fldChar w:fldCharType="separate"/>
      </w:r>
      <w:r w:rsidR="00C5162B">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_Toc377318932 \h </w:instrText>
      </w:r>
      <w:r>
        <w:rPr>
          <w:noProof/>
        </w:rPr>
      </w:r>
      <w:r>
        <w:rPr>
          <w:noProof/>
        </w:rPr>
        <w:fldChar w:fldCharType="separate"/>
      </w:r>
      <w:r w:rsidR="00C5162B">
        <w:rPr>
          <w:noProof/>
        </w:rPr>
        <w:t>22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_Toc377318933 \h </w:instrText>
      </w:r>
      <w:r>
        <w:rPr>
          <w:noProof/>
        </w:rPr>
      </w:r>
      <w:r>
        <w:rPr>
          <w:noProof/>
        </w:rPr>
        <w:fldChar w:fldCharType="separate"/>
      </w:r>
      <w:r w:rsidR="00C5162B">
        <w:rPr>
          <w:noProof/>
        </w:rPr>
        <w:t>24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_Toc377318934 \h </w:instrText>
      </w:r>
      <w:r>
        <w:rPr>
          <w:noProof/>
        </w:rPr>
      </w:r>
      <w:r>
        <w:rPr>
          <w:noProof/>
        </w:rPr>
        <w:fldChar w:fldCharType="separate"/>
      </w:r>
      <w:r w:rsidR="00C5162B">
        <w:rPr>
          <w:noProof/>
        </w:rPr>
        <w:t>24</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_Toc377318935 \h </w:instrText>
      </w:r>
      <w:r>
        <w:rPr>
          <w:noProof/>
        </w:rPr>
      </w:r>
      <w:r>
        <w:rPr>
          <w:noProof/>
        </w:rPr>
        <w:fldChar w:fldCharType="separate"/>
      </w:r>
      <w:r w:rsidR="00C5162B">
        <w:rPr>
          <w:noProof/>
        </w:rPr>
        <w:t>25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_Toc377318936 \h </w:instrText>
      </w:r>
      <w:r>
        <w:rPr>
          <w:noProof/>
        </w:rPr>
      </w:r>
      <w:r>
        <w:rPr>
          <w:noProof/>
        </w:rPr>
        <w:fldChar w:fldCharType="separate"/>
      </w:r>
      <w:r w:rsidR="00C5162B">
        <w:rPr>
          <w:noProof/>
        </w:rPr>
        <w:t>30</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_Toc377318937 \h </w:instrText>
      </w:r>
      <w:r>
        <w:rPr>
          <w:noProof/>
        </w:rPr>
      </w:r>
      <w:r>
        <w:rPr>
          <w:noProof/>
        </w:rPr>
        <w:fldChar w:fldCharType="separate"/>
      </w:r>
      <w:r w:rsidR="00C5162B">
        <w:rPr>
          <w:noProof/>
        </w:rPr>
        <w:t>33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_Toc377318938 \h </w:instrText>
      </w:r>
      <w:r>
        <w:rPr>
          <w:noProof/>
        </w:rPr>
      </w:r>
      <w:r>
        <w:rPr>
          <w:noProof/>
        </w:rPr>
        <w:fldChar w:fldCharType="separate"/>
      </w:r>
      <w:r w:rsidR="00C5162B">
        <w:rPr>
          <w:noProof/>
        </w:rPr>
        <w:t>37</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_Toc377318939 \h </w:instrText>
      </w:r>
      <w:r>
        <w:rPr>
          <w:noProof/>
        </w:rPr>
      </w:r>
      <w:r>
        <w:rPr>
          <w:noProof/>
        </w:rPr>
        <w:fldChar w:fldCharType="separate"/>
      </w:r>
      <w:r w:rsidR="00C5162B">
        <w:rPr>
          <w:noProof/>
        </w:rPr>
        <w:t>38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_Toc377318940 \h </w:instrText>
      </w:r>
      <w:r>
        <w:rPr>
          <w:noProof/>
        </w:rPr>
      </w:r>
      <w:r>
        <w:rPr>
          <w:noProof/>
        </w:rPr>
        <w:fldChar w:fldCharType="separate"/>
      </w:r>
      <w:r w:rsidR="00C5162B">
        <w:rPr>
          <w:noProof/>
        </w:rPr>
        <w:t>39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_Toc377318941 \h </w:instrText>
      </w:r>
      <w:r>
        <w:rPr>
          <w:noProof/>
        </w:rPr>
      </w:r>
      <w:r>
        <w:rPr>
          <w:noProof/>
        </w:rPr>
        <w:fldChar w:fldCharType="separate"/>
      </w:r>
      <w:r w:rsidR="00C5162B">
        <w:rPr>
          <w:noProof/>
        </w:rPr>
        <w:t>43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_Toc377318942 \h </w:instrText>
      </w:r>
      <w:r>
        <w:rPr>
          <w:noProof/>
        </w:rPr>
      </w:r>
      <w:r>
        <w:rPr>
          <w:noProof/>
        </w:rPr>
        <w:fldChar w:fldCharType="separate"/>
      </w:r>
      <w:r w:rsidR="00C5162B">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_Toc377318943 \h </w:instrText>
      </w:r>
      <w:r>
        <w:rPr>
          <w:noProof/>
        </w:rPr>
      </w:r>
      <w:r>
        <w:rPr>
          <w:noProof/>
        </w:rPr>
        <w:fldChar w:fldCharType="separate"/>
      </w:r>
      <w:r w:rsidR="00C5162B">
        <w:rPr>
          <w:noProof/>
        </w:rPr>
        <w:t>45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_Toc377318944 \h </w:instrText>
      </w:r>
      <w:r>
        <w:rPr>
          <w:noProof/>
        </w:rPr>
      </w:r>
      <w:r>
        <w:rPr>
          <w:noProof/>
        </w:rPr>
        <w:fldChar w:fldCharType="separate"/>
      </w:r>
      <w:r w:rsidR="00C5162B">
        <w:rPr>
          <w:noProof/>
        </w:rPr>
        <w:t>46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_Toc377318945 \h </w:instrText>
      </w:r>
      <w:r>
        <w:rPr>
          <w:noProof/>
        </w:rPr>
      </w:r>
      <w:r>
        <w:rPr>
          <w:noProof/>
        </w:rPr>
        <w:fldChar w:fldCharType="separate"/>
      </w:r>
      <w:r w:rsidR="00C5162B">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_Toc377318946 \h </w:instrText>
      </w:r>
      <w:r>
        <w:rPr>
          <w:noProof/>
        </w:rPr>
      </w:r>
      <w:r>
        <w:rPr>
          <w:noProof/>
        </w:rPr>
        <w:fldChar w:fldCharType="separate"/>
      </w:r>
      <w:r w:rsidR="00C5162B">
        <w:rPr>
          <w:noProof/>
        </w:rPr>
        <w:t>48</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_Toc377318947 \h </w:instrText>
      </w:r>
      <w:r>
        <w:rPr>
          <w:noProof/>
        </w:rPr>
      </w:r>
      <w:r>
        <w:rPr>
          <w:noProof/>
        </w:rPr>
        <w:fldChar w:fldCharType="separate"/>
      </w:r>
      <w:r w:rsidR="00C5162B">
        <w:rPr>
          <w:noProof/>
        </w:rPr>
        <w:t>49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_Toc377318948 \h </w:instrText>
      </w:r>
      <w:r>
        <w:rPr>
          <w:noProof/>
        </w:rPr>
      </w:r>
      <w:r>
        <w:rPr>
          <w:noProof/>
        </w:rPr>
        <w:fldChar w:fldCharType="separate"/>
      </w:r>
      <w:r w:rsidR="00C5162B">
        <w:rPr>
          <w:noProof/>
        </w:rPr>
        <w:t>49</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_Toc377318949 \h </w:instrText>
      </w:r>
      <w:r>
        <w:rPr>
          <w:noProof/>
        </w:rPr>
      </w:r>
      <w:r>
        <w:rPr>
          <w:noProof/>
        </w:rPr>
        <w:fldChar w:fldCharType="separate"/>
      </w:r>
      <w:r w:rsidR="00C5162B">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_Toc377318950 \h </w:instrText>
      </w:r>
      <w:r>
        <w:rPr>
          <w:noProof/>
        </w:rPr>
      </w:r>
      <w:r>
        <w:rPr>
          <w:noProof/>
        </w:rPr>
        <w:fldChar w:fldCharType="separate"/>
      </w:r>
      <w:r w:rsidR="00C5162B">
        <w:rPr>
          <w:noProof/>
        </w:rPr>
        <w:t>50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_Toc377318951 \h </w:instrText>
      </w:r>
      <w:r>
        <w:rPr>
          <w:noProof/>
        </w:rPr>
      </w:r>
      <w:r>
        <w:rPr>
          <w:noProof/>
        </w:rPr>
        <w:fldChar w:fldCharType="separate"/>
      </w:r>
      <w:r w:rsidR="00C5162B">
        <w:rPr>
          <w:noProof/>
        </w:rPr>
        <w:t>52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8.7</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_Toc377318952 \h </w:instrText>
      </w:r>
      <w:r>
        <w:rPr>
          <w:noProof/>
        </w:rPr>
      </w:r>
      <w:r>
        <w:rPr>
          <w:noProof/>
        </w:rPr>
        <w:fldChar w:fldCharType="separate"/>
      </w:r>
      <w:r w:rsidR="00C5162B">
        <w:rPr>
          <w:noProof/>
        </w:rPr>
        <w:t>54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_Toc377318953 \h </w:instrText>
      </w:r>
      <w:r>
        <w:rPr>
          <w:noProof/>
        </w:rPr>
      </w:r>
      <w:r>
        <w:rPr>
          <w:noProof/>
        </w:rPr>
        <w:fldChar w:fldCharType="separate"/>
      </w:r>
      <w:r w:rsidR="00C5162B">
        <w:rPr>
          <w:noProof/>
        </w:rPr>
        <w:t>55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_Toc377318954 \h </w:instrText>
      </w:r>
      <w:r>
        <w:rPr>
          <w:noProof/>
        </w:rPr>
      </w:r>
      <w:r>
        <w:rPr>
          <w:noProof/>
        </w:rPr>
        <w:fldChar w:fldCharType="separate"/>
      </w:r>
      <w:r w:rsidR="00C5162B">
        <w:rPr>
          <w:noProof/>
        </w:rPr>
        <w:t>55</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_Toc377318955 \h </w:instrText>
      </w:r>
      <w:r>
        <w:rPr>
          <w:noProof/>
        </w:rPr>
      </w:r>
      <w:r>
        <w:rPr>
          <w:noProof/>
        </w:rPr>
        <w:fldChar w:fldCharType="separate"/>
      </w:r>
      <w:r w:rsidR="00C5162B">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_Toc377318956 \h </w:instrText>
      </w:r>
      <w:r>
        <w:rPr>
          <w:noProof/>
        </w:rPr>
      </w:r>
      <w:r>
        <w:rPr>
          <w:noProof/>
        </w:rPr>
        <w:fldChar w:fldCharType="separate"/>
      </w:r>
      <w:r w:rsidR="00C5162B">
        <w:rPr>
          <w:noProof/>
        </w:rPr>
        <w:t>55</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157C4A">
        <w:rPr>
          <w:i/>
          <w:noProof/>
        </w:rPr>
        <w:t>k</w:t>
      </w:r>
      <w:r>
        <w:rPr>
          <w:noProof/>
        </w:rPr>
        <w:t>(</w:t>
      </w:r>
      <w:r w:rsidRPr="00157C4A">
        <w:rPr>
          <w:i/>
          <w:noProof/>
        </w:rPr>
        <w:t>E</w:t>
      </w:r>
      <w:r>
        <w:rPr>
          <w:noProof/>
        </w:rPr>
        <w:t>)s &amp; Tunnelling Corrections</w:t>
      </w:r>
      <w:r>
        <w:rPr>
          <w:noProof/>
        </w:rPr>
        <w:tab/>
      </w:r>
      <w:r>
        <w:rPr>
          <w:noProof/>
        </w:rPr>
        <w:fldChar w:fldCharType="begin"/>
      </w:r>
      <w:r>
        <w:rPr>
          <w:noProof/>
        </w:rPr>
        <w:instrText xml:space="preserve"> PAGEREF _Toc377318957 \h </w:instrText>
      </w:r>
      <w:r>
        <w:rPr>
          <w:noProof/>
        </w:rPr>
      </w:r>
      <w:r>
        <w:rPr>
          <w:noProof/>
        </w:rPr>
        <w:fldChar w:fldCharType="separate"/>
      </w:r>
      <w:r w:rsidR="00C5162B">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_Toc377318958 \h </w:instrText>
      </w:r>
      <w:r>
        <w:rPr>
          <w:noProof/>
        </w:rPr>
      </w:r>
      <w:r>
        <w:rPr>
          <w:noProof/>
        </w:rPr>
        <w:fldChar w:fldCharType="separate"/>
      </w:r>
      <w:r w:rsidR="00C5162B">
        <w:rPr>
          <w:noProof/>
        </w:rPr>
        <w:t>56</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_Toc377318959 \h </w:instrText>
      </w:r>
      <w:r>
        <w:rPr>
          <w:noProof/>
        </w:rPr>
      </w:r>
      <w:r>
        <w:rPr>
          <w:noProof/>
        </w:rPr>
        <w:fldChar w:fldCharType="separate"/>
      </w:r>
      <w:r w:rsidR="00C5162B">
        <w:rPr>
          <w:noProof/>
        </w:rPr>
        <w:t>57</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_Toc377318960 \h </w:instrText>
      </w:r>
      <w:r>
        <w:rPr>
          <w:noProof/>
        </w:rPr>
      </w:r>
      <w:r>
        <w:rPr>
          <w:noProof/>
        </w:rPr>
        <w:fldChar w:fldCharType="separate"/>
      </w:r>
      <w:r w:rsidR="00C5162B">
        <w:rPr>
          <w:noProof/>
        </w:rPr>
        <w:t>58</w:t>
      </w:r>
      <w:r>
        <w:rPr>
          <w:noProof/>
        </w:rPr>
        <w:fldChar w:fldCharType="end"/>
      </w:r>
    </w:p>
    <w:p w:rsidR="00225ECE" w:rsidRDefault="00225EC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_Toc377318961 \h </w:instrText>
      </w:r>
      <w:r>
        <w:rPr>
          <w:noProof/>
        </w:rPr>
      </w:r>
      <w:r>
        <w:rPr>
          <w:noProof/>
        </w:rPr>
        <w:fldChar w:fldCharType="separate"/>
      </w:r>
      <w:r w:rsidR="00C5162B">
        <w:rPr>
          <w:noProof/>
        </w:rPr>
        <w:t>59</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_Toc377318962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_Toc377318963 \h </w:instrText>
      </w:r>
      <w:r>
        <w:rPr>
          <w:noProof/>
        </w:rPr>
      </w:r>
      <w:r>
        <w:rPr>
          <w:noProof/>
        </w:rPr>
        <w:fldChar w:fldCharType="separate"/>
      </w:r>
      <w:r w:rsidR="00C5162B">
        <w:rPr>
          <w:noProof/>
        </w:rPr>
        <w:t>61</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_Toc377318964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_Toc377318965 \h </w:instrText>
      </w:r>
      <w:r>
        <w:rPr>
          <w:noProof/>
        </w:rPr>
      </w:r>
      <w:r>
        <w:rPr>
          <w:noProof/>
        </w:rPr>
        <w:fldChar w:fldCharType="separate"/>
      </w:r>
      <w:r w:rsidR="00C5162B">
        <w:rPr>
          <w:noProof/>
        </w:rPr>
        <w:t>61</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_Toc377318966 \h </w:instrText>
      </w:r>
      <w:r>
        <w:rPr>
          <w:noProof/>
        </w:rPr>
      </w:r>
      <w:r>
        <w:rPr>
          <w:noProof/>
        </w:rPr>
        <w:fldChar w:fldCharType="separate"/>
      </w:r>
      <w:r w:rsidR="00C5162B">
        <w:rPr>
          <w:noProof/>
        </w:rPr>
        <w:t>62</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_Toc377318967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_Toc377318968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_Toc377318969 \h </w:instrText>
      </w:r>
      <w:r>
        <w:rPr>
          <w:noProof/>
        </w:rPr>
      </w:r>
      <w:r>
        <w:rPr>
          <w:noProof/>
        </w:rPr>
        <w:fldChar w:fldCharType="separate"/>
      </w:r>
      <w:r w:rsidR="00C5162B">
        <w:rPr>
          <w:noProof/>
        </w:rPr>
        <w:t>63</w:t>
      </w:r>
      <w:r>
        <w:rPr>
          <w:noProof/>
        </w:rPr>
        <w:fldChar w:fldCharType="end"/>
      </w:r>
    </w:p>
    <w:p w:rsidR="00225ECE" w:rsidRDefault="00225EC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_Toc377318970 \h </w:instrText>
      </w:r>
      <w:r>
        <w:rPr>
          <w:noProof/>
        </w:rPr>
      </w:r>
      <w:r>
        <w:rPr>
          <w:noProof/>
        </w:rPr>
        <w:fldChar w:fldCharType="separate"/>
      </w:r>
      <w:r w:rsidR="00C5162B">
        <w:rPr>
          <w:noProof/>
        </w:rPr>
        <w:t>64</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_Toc377318971 \h </w:instrText>
      </w:r>
      <w:r>
        <w:rPr>
          <w:noProof/>
        </w:rPr>
      </w:r>
      <w:r>
        <w:rPr>
          <w:noProof/>
        </w:rPr>
        <w:fldChar w:fldCharType="separate"/>
      </w:r>
      <w:r w:rsidR="00C5162B">
        <w:rPr>
          <w:noProof/>
        </w:rPr>
        <w:t>65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_Toc377318972 \h </w:instrText>
      </w:r>
      <w:r>
        <w:rPr>
          <w:noProof/>
        </w:rPr>
      </w:r>
      <w:r>
        <w:rPr>
          <w:noProof/>
        </w:rPr>
        <w:fldChar w:fldCharType="separate"/>
      </w:r>
      <w:r w:rsidR="00C5162B">
        <w:rPr>
          <w:noProof/>
        </w:rPr>
        <w:t>65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_Toc377318973 \h </w:instrText>
      </w:r>
      <w:r>
        <w:rPr>
          <w:noProof/>
        </w:rPr>
      </w:r>
      <w:r>
        <w:rPr>
          <w:noProof/>
        </w:rPr>
        <w:fldChar w:fldCharType="separate"/>
      </w:r>
      <w:r w:rsidR="00C5162B">
        <w:rPr>
          <w:noProof/>
        </w:rPr>
        <w:t>66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_Toc377318974 \h </w:instrText>
      </w:r>
      <w:r>
        <w:rPr>
          <w:noProof/>
        </w:rPr>
      </w:r>
      <w:r>
        <w:rPr>
          <w:noProof/>
        </w:rPr>
        <w:fldChar w:fldCharType="separate"/>
      </w:r>
      <w:r w:rsidR="00C5162B">
        <w:rPr>
          <w:noProof/>
        </w:rPr>
        <w:t>67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157C4A">
        <w:rPr>
          <w:noProof/>
          <w:vertAlign w:val="subscript"/>
        </w:rPr>
        <w:t>2</w:t>
      </w:r>
      <w:r>
        <w:rPr>
          <w:noProof/>
        </w:rPr>
        <w:tab/>
      </w:r>
      <w:r>
        <w:rPr>
          <w:noProof/>
        </w:rPr>
        <w:fldChar w:fldCharType="begin"/>
      </w:r>
      <w:r>
        <w:rPr>
          <w:noProof/>
        </w:rPr>
        <w:instrText xml:space="preserve"> PAGEREF _Toc377318975 \h </w:instrText>
      </w:r>
      <w:r>
        <w:rPr>
          <w:noProof/>
        </w:rPr>
      </w:r>
      <w:r>
        <w:rPr>
          <w:noProof/>
        </w:rPr>
        <w:fldChar w:fldCharType="separate"/>
      </w:r>
      <w:r w:rsidR="00C5162B">
        <w:rPr>
          <w:noProof/>
        </w:rPr>
        <w:t>68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lastRenderedPageBreak/>
        <w:t>10.1.4</w:t>
      </w:r>
      <w:r>
        <w:rPr>
          <w:rFonts w:asciiTheme="minorHAnsi" w:eastAsiaTheme="minorEastAsia" w:hAnsiTheme="minorHAnsi" w:cstheme="minorBidi"/>
          <w:noProof/>
          <w:szCs w:val="22"/>
          <w:lang w:eastAsia="en-GB"/>
        </w:rPr>
        <w:tab/>
      </w:r>
      <w:r>
        <w:rPr>
          <w:noProof/>
        </w:rPr>
        <w:t>OH + C</w:t>
      </w:r>
      <w:r w:rsidRPr="00157C4A">
        <w:rPr>
          <w:noProof/>
          <w:vertAlign w:val="subscript"/>
        </w:rPr>
        <w:t>2</w:t>
      </w:r>
      <w:r>
        <w:rPr>
          <w:noProof/>
        </w:rPr>
        <w:t>H</w:t>
      </w:r>
      <w:r w:rsidRPr="00157C4A">
        <w:rPr>
          <w:noProof/>
          <w:vertAlign w:val="subscript"/>
        </w:rPr>
        <w:t>2</w:t>
      </w:r>
      <w:r>
        <w:rPr>
          <w:noProof/>
        </w:rPr>
        <w:tab/>
      </w:r>
      <w:r>
        <w:rPr>
          <w:noProof/>
        </w:rPr>
        <w:fldChar w:fldCharType="begin"/>
      </w:r>
      <w:r>
        <w:rPr>
          <w:noProof/>
        </w:rPr>
        <w:instrText xml:space="preserve"> PAGEREF _Toc377318976 \h </w:instrText>
      </w:r>
      <w:r>
        <w:rPr>
          <w:noProof/>
        </w:rPr>
      </w:r>
      <w:r>
        <w:rPr>
          <w:noProof/>
        </w:rPr>
        <w:fldChar w:fldCharType="separate"/>
      </w:r>
      <w:r w:rsidR="00C5162B">
        <w:rPr>
          <w:noProof/>
        </w:rPr>
        <w:t>69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157C4A">
        <w:rPr>
          <w:noProof/>
          <w:vertAlign w:val="subscript"/>
        </w:rPr>
        <w:t>3</w:t>
      </w:r>
      <w:r>
        <w:rPr>
          <w:noProof/>
        </w:rPr>
        <w:t>CO + O</w:t>
      </w:r>
      <w:r w:rsidRPr="00157C4A">
        <w:rPr>
          <w:noProof/>
          <w:vertAlign w:val="subscript"/>
        </w:rPr>
        <w:t>2</w:t>
      </w:r>
      <w:r>
        <w:rPr>
          <w:noProof/>
        </w:rPr>
        <w:tab/>
      </w:r>
      <w:r>
        <w:rPr>
          <w:noProof/>
        </w:rPr>
        <w:fldChar w:fldCharType="begin"/>
      </w:r>
      <w:r>
        <w:rPr>
          <w:noProof/>
        </w:rPr>
        <w:instrText xml:space="preserve"> PAGEREF _Toc377318977 \h </w:instrText>
      </w:r>
      <w:r>
        <w:rPr>
          <w:noProof/>
        </w:rPr>
      </w:r>
      <w:r>
        <w:rPr>
          <w:noProof/>
        </w:rPr>
        <w:fldChar w:fldCharType="separate"/>
      </w:r>
      <w:r w:rsidR="00C5162B">
        <w:rPr>
          <w:noProof/>
        </w:rPr>
        <w:t>70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157C4A">
        <w:rPr>
          <w:i/>
          <w:noProof/>
        </w:rPr>
        <w:t>i-</w:t>
      </w:r>
      <w:r>
        <w:rPr>
          <w:noProof/>
        </w:rPr>
        <w:t>propyl)</w:t>
      </w:r>
      <w:r>
        <w:rPr>
          <w:noProof/>
        </w:rPr>
        <w:tab/>
      </w:r>
      <w:r>
        <w:rPr>
          <w:noProof/>
        </w:rPr>
        <w:fldChar w:fldCharType="begin"/>
      </w:r>
      <w:r>
        <w:rPr>
          <w:noProof/>
        </w:rPr>
        <w:instrText xml:space="preserve"> PAGEREF _Toc377318978 \h </w:instrText>
      </w:r>
      <w:r>
        <w:rPr>
          <w:noProof/>
        </w:rPr>
      </w:r>
      <w:r>
        <w:rPr>
          <w:noProof/>
        </w:rPr>
        <w:fldChar w:fldCharType="separate"/>
      </w:r>
      <w:r w:rsidR="00C5162B">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_Toc377318979 \h </w:instrText>
      </w:r>
      <w:r>
        <w:rPr>
          <w:noProof/>
        </w:rPr>
      </w:r>
      <w:r>
        <w:rPr>
          <w:noProof/>
        </w:rPr>
        <w:fldChar w:fldCharType="separate"/>
      </w:r>
      <w:r w:rsidR="00C5162B">
        <w:rPr>
          <w:noProof/>
        </w:rPr>
        <w:t>71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_Toc377318980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_Toc377318981 \h </w:instrText>
      </w:r>
      <w:r>
        <w:rPr>
          <w:noProof/>
        </w:rPr>
      </w:r>
      <w:r>
        <w:rPr>
          <w:noProof/>
        </w:rPr>
        <w:fldChar w:fldCharType="separate"/>
      </w:r>
      <w:r w:rsidR="00C5162B">
        <w:rPr>
          <w:noProof/>
        </w:rPr>
        <w:t>72</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_Toc377318982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sidRPr="00157C4A">
        <w:rPr>
          <w:i/>
          <w:noProof/>
        </w:rPr>
        <w:t>‘i</w:t>
      </w:r>
      <w:r>
        <w:rPr>
          <w:noProof/>
        </w:rPr>
        <w:t xml:space="preserve">-propyl’ – </w:t>
      </w:r>
      <w:r w:rsidRPr="00157C4A">
        <w:rPr>
          <w:i/>
          <w:noProof/>
        </w:rPr>
        <w:t>i</w:t>
      </w:r>
      <w:r>
        <w:rPr>
          <w:noProof/>
        </w:rPr>
        <w:t>-C</w:t>
      </w:r>
      <w:r w:rsidRPr="00157C4A">
        <w:rPr>
          <w:noProof/>
          <w:vertAlign w:val="subscript"/>
        </w:rPr>
        <w:t>3</w:t>
      </w:r>
      <w:r>
        <w:rPr>
          <w:noProof/>
        </w:rPr>
        <w:t>H</w:t>
      </w:r>
      <w:r w:rsidRPr="00157C4A">
        <w:rPr>
          <w:noProof/>
          <w:vertAlign w:val="subscript"/>
        </w:rPr>
        <w:t>7</w:t>
      </w:r>
      <w:r>
        <w:rPr>
          <w:noProof/>
        </w:rPr>
        <w:t xml:space="preserve"> </w:t>
      </w:r>
      <w:r w:rsidRPr="00157C4A">
        <w:rPr>
          <w:rFonts w:ascii="ITC Bookman Light" w:hAnsi="ITC Bookman Light"/>
          <w:noProof/>
        </w:rPr>
        <w:t>→</w:t>
      </w:r>
      <w:r>
        <w:rPr>
          <w:noProof/>
        </w:rPr>
        <w:t xml:space="preserve"> H + C</w:t>
      </w:r>
      <w:r w:rsidRPr="00157C4A">
        <w:rPr>
          <w:noProof/>
          <w:vertAlign w:val="subscript"/>
        </w:rPr>
        <w:t>3</w:t>
      </w:r>
      <w:r>
        <w:rPr>
          <w:noProof/>
        </w:rPr>
        <w:t>H</w:t>
      </w:r>
      <w:r w:rsidRPr="00157C4A">
        <w:rPr>
          <w:noProof/>
          <w:vertAlign w:val="subscript"/>
        </w:rPr>
        <w:t>6</w:t>
      </w:r>
      <w:r>
        <w:rPr>
          <w:noProof/>
        </w:rPr>
        <w:tab/>
      </w:r>
      <w:r>
        <w:rPr>
          <w:noProof/>
        </w:rPr>
        <w:fldChar w:fldCharType="begin"/>
      </w:r>
      <w:r>
        <w:rPr>
          <w:noProof/>
        </w:rPr>
        <w:instrText xml:space="preserve"> PAGEREF _Toc377318983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‘Ethyl-H-Ethane’ - C</w:t>
      </w:r>
      <w:r w:rsidRPr="00157C4A">
        <w:rPr>
          <w:noProof/>
          <w:vertAlign w:val="subscript"/>
        </w:rPr>
        <w:t>2</w:t>
      </w:r>
      <w:r>
        <w:rPr>
          <w:noProof/>
        </w:rPr>
        <w:t>H</w:t>
      </w:r>
      <w:r w:rsidRPr="00157C4A">
        <w:rPr>
          <w:noProof/>
          <w:vertAlign w:val="subscript"/>
        </w:rPr>
        <w:t>5</w:t>
      </w:r>
      <w:r>
        <w:rPr>
          <w:noProof/>
        </w:rPr>
        <w:t xml:space="preserve"> + H </w:t>
      </w:r>
      <w:r w:rsidRPr="00157C4A">
        <w:rPr>
          <w:rFonts w:ascii="ITC Bookman Light" w:hAnsi="ITC Bookman Light"/>
          <w:noProof/>
        </w:rPr>
        <w:t>→</w:t>
      </w:r>
      <w:r>
        <w:rPr>
          <w:noProof/>
        </w:rPr>
        <w:t xml:space="preserve"> C</w:t>
      </w:r>
      <w:r w:rsidRPr="00157C4A">
        <w:rPr>
          <w:noProof/>
          <w:vertAlign w:val="subscript"/>
        </w:rPr>
        <w:t>2</w:t>
      </w:r>
      <w:r>
        <w:rPr>
          <w:noProof/>
        </w:rPr>
        <w:t>H</w:t>
      </w:r>
      <w:r w:rsidRPr="00157C4A">
        <w:rPr>
          <w:noProof/>
          <w:vertAlign w:val="subscript"/>
        </w:rPr>
        <w:t>6</w:t>
      </w:r>
      <w:r>
        <w:rPr>
          <w:noProof/>
        </w:rPr>
        <w:tab/>
      </w:r>
      <w:r>
        <w:rPr>
          <w:noProof/>
        </w:rPr>
        <w:fldChar w:fldCharType="begin"/>
      </w:r>
      <w:r>
        <w:rPr>
          <w:noProof/>
        </w:rPr>
        <w:instrText xml:space="preserve"> PAGEREF _Toc377318984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‘Methyl-H-Methane’ – CH</w:t>
      </w:r>
      <w:r w:rsidRPr="00157C4A">
        <w:rPr>
          <w:noProof/>
          <w:vertAlign w:val="subscript"/>
        </w:rPr>
        <w:t>3</w:t>
      </w:r>
      <w:r>
        <w:rPr>
          <w:noProof/>
        </w:rPr>
        <w:t xml:space="preserve"> + H </w:t>
      </w:r>
      <w:r w:rsidRPr="00157C4A">
        <w:rPr>
          <w:rFonts w:ascii="ITC Bookman Light" w:hAnsi="ITC Bookman Light"/>
          <w:noProof/>
        </w:rPr>
        <w:t>→</w:t>
      </w:r>
      <w:r>
        <w:rPr>
          <w:noProof/>
        </w:rPr>
        <w:t xml:space="preserve"> CH</w:t>
      </w:r>
      <w:r w:rsidRPr="00157C4A">
        <w:rPr>
          <w:noProof/>
          <w:vertAlign w:val="subscript"/>
        </w:rPr>
        <w:t>4</w:t>
      </w:r>
      <w:r>
        <w:rPr>
          <w:noProof/>
        </w:rPr>
        <w:tab/>
      </w:r>
      <w:r>
        <w:rPr>
          <w:noProof/>
        </w:rPr>
        <w:fldChar w:fldCharType="begin"/>
      </w:r>
      <w:r>
        <w:rPr>
          <w:noProof/>
        </w:rPr>
        <w:instrText xml:space="preserve"> PAGEREF _Toc377318985 \h </w:instrText>
      </w:r>
      <w:r>
        <w:rPr>
          <w:noProof/>
        </w:rPr>
      </w:r>
      <w:r>
        <w:rPr>
          <w:noProof/>
        </w:rPr>
        <w:fldChar w:fldCharType="separate"/>
      </w:r>
      <w:r w:rsidR="00C5162B">
        <w:rPr>
          <w:noProof/>
        </w:rPr>
        <w:t>72</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_Toc377318986 \h </w:instrText>
      </w:r>
      <w:r>
        <w:rPr>
          <w:noProof/>
        </w:rPr>
      </w:r>
      <w:r>
        <w:rPr>
          <w:noProof/>
        </w:rPr>
        <w:fldChar w:fldCharType="separate"/>
      </w:r>
      <w:r w:rsidR="00C5162B">
        <w:rPr>
          <w:noProof/>
        </w:rPr>
        <w:t>73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_Toc377318987 \h </w:instrText>
      </w:r>
      <w:r>
        <w:rPr>
          <w:noProof/>
        </w:rPr>
      </w:r>
      <w:r>
        <w:rPr>
          <w:noProof/>
        </w:rPr>
        <w:fldChar w:fldCharType="separate"/>
      </w:r>
      <w:r w:rsidR="00C5162B">
        <w:rPr>
          <w:noProof/>
        </w:rPr>
        <w:t>74</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_Toc377318988 \h </w:instrText>
      </w:r>
      <w:r>
        <w:rPr>
          <w:noProof/>
        </w:rPr>
      </w:r>
      <w:r>
        <w:rPr>
          <w:noProof/>
        </w:rPr>
        <w:fldChar w:fldCharType="separate"/>
      </w:r>
      <w:r w:rsidR="00C5162B">
        <w:rPr>
          <w:noProof/>
        </w:rPr>
        <w:t>74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_Toc377318989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_Toc377318990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_Toc377318991 \h </w:instrText>
      </w:r>
      <w:r>
        <w:rPr>
          <w:noProof/>
        </w:rPr>
      </w:r>
      <w:r>
        <w:rPr>
          <w:noProof/>
        </w:rPr>
        <w:fldChar w:fldCharType="separate"/>
      </w:r>
      <w:r w:rsidR="00C5162B">
        <w:rPr>
          <w:noProof/>
        </w:rPr>
        <w:t>75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_Toc377318992 \h </w:instrText>
      </w:r>
      <w:r>
        <w:rPr>
          <w:noProof/>
        </w:rPr>
      </w:r>
      <w:r>
        <w:rPr>
          <w:noProof/>
        </w:rPr>
        <w:fldChar w:fldCharType="separate"/>
      </w:r>
      <w:r w:rsidR="00C5162B">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_Toc377318993 \h </w:instrText>
      </w:r>
      <w:r>
        <w:rPr>
          <w:noProof/>
        </w:rPr>
      </w:r>
      <w:r>
        <w:rPr>
          <w:noProof/>
        </w:rPr>
        <w:fldChar w:fldCharType="separate"/>
      </w:r>
      <w:r w:rsidR="00C5162B">
        <w:rPr>
          <w:noProof/>
        </w:rPr>
        <w:t>76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_Toc377318994 \h </w:instrText>
      </w:r>
      <w:r>
        <w:rPr>
          <w:noProof/>
        </w:rPr>
      </w:r>
      <w:r>
        <w:rPr>
          <w:noProof/>
        </w:rPr>
        <w:fldChar w:fldCharType="separate"/>
      </w:r>
      <w:r w:rsidR="00C5162B">
        <w:rPr>
          <w:noProof/>
        </w:rPr>
        <w:t>76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_Toc377318995 \h </w:instrText>
      </w:r>
      <w:r>
        <w:rPr>
          <w:noProof/>
        </w:rPr>
      </w:r>
      <w:r>
        <w:rPr>
          <w:noProof/>
        </w:rPr>
        <w:fldChar w:fldCharType="separate"/>
      </w:r>
      <w:r w:rsidR="00C5162B">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_Toc377318996 \h </w:instrText>
      </w:r>
      <w:r>
        <w:rPr>
          <w:noProof/>
        </w:rPr>
      </w:r>
      <w:r>
        <w:rPr>
          <w:noProof/>
        </w:rPr>
        <w:fldChar w:fldCharType="separate"/>
      </w:r>
      <w:r w:rsidR="00C5162B">
        <w:rPr>
          <w:noProof/>
        </w:rPr>
        <w:t>77</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_Toc377318997 \h </w:instrText>
      </w:r>
      <w:r>
        <w:rPr>
          <w:noProof/>
        </w:rPr>
      </w:r>
      <w:r>
        <w:rPr>
          <w:noProof/>
        </w:rPr>
        <w:fldChar w:fldCharType="separate"/>
      </w:r>
      <w:r w:rsidR="00C5162B">
        <w:rPr>
          <w:noProof/>
        </w:rPr>
        <w:t>79</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_Toc377318998 \h </w:instrText>
      </w:r>
      <w:r>
        <w:rPr>
          <w:noProof/>
        </w:rPr>
      </w:r>
      <w:r>
        <w:rPr>
          <w:noProof/>
        </w:rPr>
        <w:fldChar w:fldCharType="separate"/>
      </w:r>
      <w:r w:rsidR="00C5162B">
        <w:rPr>
          <w:noProof/>
        </w:rPr>
        <w:t>81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_Toc377318999 \h </w:instrText>
      </w:r>
      <w:r>
        <w:rPr>
          <w:noProof/>
        </w:rPr>
      </w:r>
      <w:r>
        <w:rPr>
          <w:noProof/>
        </w:rPr>
        <w:fldChar w:fldCharType="separate"/>
      </w:r>
      <w:r w:rsidR="00C5162B">
        <w:rPr>
          <w:noProof/>
        </w:rPr>
        <w:t>84</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_Toc377319000 \h </w:instrText>
      </w:r>
      <w:r>
        <w:rPr>
          <w:noProof/>
        </w:rPr>
      </w:r>
      <w:r>
        <w:rPr>
          <w:noProof/>
        </w:rPr>
        <w:fldChar w:fldCharType="separate"/>
      </w:r>
      <w:r w:rsidR="00C5162B">
        <w:rPr>
          <w:noProof/>
        </w:rPr>
        <w:t>85</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_Toc377319001 \h </w:instrText>
      </w:r>
      <w:r>
        <w:rPr>
          <w:noProof/>
        </w:rPr>
      </w:r>
      <w:r>
        <w:rPr>
          <w:noProof/>
        </w:rPr>
        <w:fldChar w:fldCharType="separate"/>
      </w:r>
      <w:r w:rsidR="00C5162B">
        <w:rPr>
          <w:noProof/>
        </w:rPr>
        <w:t>86</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_Toc377319002 \h </w:instrText>
      </w:r>
      <w:r>
        <w:rPr>
          <w:noProof/>
        </w:rPr>
      </w:r>
      <w:r>
        <w:rPr>
          <w:noProof/>
        </w:rPr>
        <w:fldChar w:fldCharType="separate"/>
      </w:r>
      <w:r w:rsidR="00C5162B">
        <w:rPr>
          <w:noProof/>
        </w:rPr>
        <w:t>86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_Toc377319003 \h </w:instrText>
      </w:r>
      <w:r>
        <w:rPr>
          <w:noProof/>
        </w:rPr>
      </w:r>
      <w:r>
        <w:rPr>
          <w:noProof/>
        </w:rPr>
        <w:fldChar w:fldCharType="separate"/>
      </w:r>
      <w:r w:rsidR="00C5162B">
        <w:rPr>
          <w:noProof/>
        </w:rPr>
        <w:t>88</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_Toc377319004 \h </w:instrText>
      </w:r>
      <w:r>
        <w:rPr>
          <w:noProof/>
        </w:rPr>
      </w:r>
      <w:r>
        <w:rPr>
          <w:noProof/>
        </w:rPr>
        <w:fldChar w:fldCharType="separate"/>
      </w:r>
      <w:r w:rsidR="00C5162B">
        <w:rPr>
          <w:noProof/>
        </w:rPr>
        <w:t>90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_Toc377319005 \h </w:instrText>
      </w:r>
      <w:r>
        <w:rPr>
          <w:noProof/>
        </w:rPr>
      </w:r>
      <w:r>
        <w:rPr>
          <w:noProof/>
        </w:rPr>
        <w:fldChar w:fldCharType="separate"/>
      </w:r>
      <w:r w:rsidR="00C5162B">
        <w:rPr>
          <w:noProof/>
        </w:rPr>
        <w:t>90</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_Toc377319006 \h </w:instrText>
      </w:r>
      <w:r>
        <w:rPr>
          <w:noProof/>
        </w:rPr>
      </w:r>
      <w:r>
        <w:rPr>
          <w:noProof/>
        </w:rPr>
        <w:fldChar w:fldCharType="separate"/>
      </w:r>
      <w:r w:rsidR="00C5162B">
        <w:rPr>
          <w:noProof/>
        </w:rPr>
        <w:t>96</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_Toc377319007 \h </w:instrText>
      </w:r>
      <w:r>
        <w:rPr>
          <w:noProof/>
        </w:rPr>
      </w:r>
      <w:r>
        <w:rPr>
          <w:noProof/>
        </w:rPr>
        <w:fldChar w:fldCharType="separate"/>
      </w:r>
      <w:r w:rsidR="00C5162B">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_Toc377319008 \h </w:instrText>
      </w:r>
      <w:r>
        <w:rPr>
          <w:noProof/>
        </w:rPr>
      </w:r>
      <w:r>
        <w:rPr>
          <w:noProof/>
        </w:rPr>
        <w:fldChar w:fldCharType="separate"/>
      </w:r>
      <w:r w:rsidR="00C5162B">
        <w:rPr>
          <w:noProof/>
        </w:rPr>
        <w:t>98</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_Toc377319009 \h </w:instrText>
      </w:r>
      <w:r>
        <w:rPr>
          <w:noProof/>
        </w:rPr>
      </w:r>
      <w:r>
        <w:rPr>
          <w:noProof/>
        </w:rPr>
        <w:fldChar w:fldCharType="separate"/>
      </w:r>
      <w:r w:rsidR="00C5162B">
        <w:rPr>
          <w:noProof/>
        </w:rPr>
        <w:t>100</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lastRenderedPageBreak/>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_Toc377319010 \h </w:instrText>
      </w:r>
      <w:r>
        <w:rPr>
          <w:noProof/>
        </w:rPr>
      </w:r>
      <w:r>
        <w:rPr>
          <w:noProof/>
        </w:rPr>
        <w:fldChar w:fldCharType="separate"/>
      </w:r>
      <w:r w:rsidR="00C5162B">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_Toc377319011 \h </w:instrText>
      </w:r>
      <w:r>
        <w:rPr>
          <w:noProof/>
        </w:rPr>
      </w:r>
      <w:r>
        <w:rPr>
          <w:noProof/>
        </w:rPr>
        <w:fldChar w:fldCharType="separate"/>
      </w:r>
      <w:r w:rsidR="00C5162B">
        <w:rPr>
          <w:noProof/>
        </w:rPr>
        <w:t>101</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_Toc377319012 \h </w:instrText>
      </w:r>
      <w:r>
        <w:rPr>
          <w:noProof/>
        </w:rPr>
      </w:r>
      <w:r>
        <w:rPr>
          <w:noProof/>
        </w:rPr>
        <w:fldChar w:fldCharType="separate"/>
      </w:r>
      <w:r w:rsidR="00C5162B">
        <w:rPr>
          <w:noProof/>
        </w:rPr>
        <w:t>103</w:t>
      </w:r>
      <w:r>
        <w:rPr>
          <w:noProof/>
        </w:rPr>
        <w:fldChar w:fldCharType="end"/>
      </w:r>
    </w:p>
    <w:p w:rsidR="00225ECE" w:rsidRDefault="00225ECE">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_Toc377319013 \h </w:instrText>
      </w:r>
      <w:r>
        <w:rPr>
          <w:noProof/>
        </w:rPr>
      </w:r>
      <w:r>
        <w:rPr>
          <w:noProof/>
        </w:rPr>
        <w:fldChar w:fldCharType="separate"/>
      </w:r>
      <w:r w:rsidR="00C5162B">
        <w:rPr>
          <w:noProof/>
        </w:rPr>
        <w:t>103</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_Toc377319014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_Toc377319015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_Toc377319016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_Toc377319017 \h </w:instrText>
      </w:r>
      <w:r>
        <w:rPr>
          <w:noProof/>
        </w:rPr>
      </w:r>
      <w:r>
        <w:rPr>
          <w:noProof/>
        </w:rPr>
        <w:fldChar w:fldCharType="separate"/>
      </w:r>
      <w:r w:rsidR="00C5162B">
        <w:rPr>
          <w:noProof/>
        </w:rPr>
        <w:t>105</w:t>
      </w:r>
      <w:r>
        <w:rPr>
          <w:noProof/>
        </w:rPr>
        <w:fldChar w:fldCharType="end"/>
      </w:r>
    </w:p>
    <w:p w:rsidR="00225ECE" w:rsidRDefault="00225EC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_Toc377319018 \h </w:instrText>
      </w:r>
      <w:r>
        <w:rPr>
          <w:noProof/>
        </w:rPr>
      </w:r>
      <w:r>
        <w:rPr>
          <w:noProof/>
        </w:rPr>
        <w:fldChar w:fldCharType="separate"/>
      </w:r>
      <w:r w:rsidR="00C5162B">
        <w:rPr>
          <w:noProof/>
        </w:rPr>
        <w:t>106</w:t>
      </w:r>
      <w:r>
        <w:rPr>
          <w:noProof/>
        </w:rPr>
        <w:fldChar w:fldCharType="end"/>
      </w:r>
    </w:p>
    <w:p w:rsidR="00225ECE" w:rsidRDefault="00225EC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_Toc377319019 \h </w:instrText>
      </w:r>
      <w:r>
        <w:rPr>
          <w:noProof/>
        </w:rPr>
      </w:r>
      <w:r>
        <w:rPr>
          <w:noProof/>
        </w:rPr>
        <w:fldChar w:fldCharType="separate"/>
      </w:r>
      <w:r w:rsidR="00C5162B">
        <w:rPr>
          <w:noProof/>
        </w:rPr>
        <w:t>107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77318915"/>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C5162B">
        <w:t>7.3.1</w:t>
      </w:r>
      <w:r w:rsidR="002C584B">
        <w:fldChar w:fldCharType="end"/>
      </w:r>
      <w:r w:rsidR="002C584B">
        <w:fldChar w:fldCharType="begin"/>
      </w:r>
      <w:r w:rsidR="002C584B">
        <w:instrText xml:space="preserve"> REF _Ref353724732 \r \h </w:instrText>
      </w:r>
      <w:r w:rsidR="002C584B">
        <w:fldChar w:fldCharType="separate"/>
      </w:r>
      <w:r w:rsidR="00C5162B">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C5162B">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C5162B">
        <w:t>7.3.2</w:t>
      </w:r>
      <w:r w:rsidR="00A551FF">
        <w:fldChar w:fldCharType="end"/>
      </w:r>
      <w:r>
        <w:t>).</w:t>
      </w:r>
    </w:p>
    <w:p w:rsidR="00DC4045" w:rsidRDefault="00DC4045" w:rsidP="00812945">
      <w:pPr>
        <w:numPr>
          <w:ilvl w:val="0"/>
          <w:numId w:val="3"/>
        </w:numPr>
        <w:ind w:left="357" w:firstLine="0"/>
      </w:pPr>
      <w:r>
        <w:t>Analytical representation o</w:t>
      </w:r>
      <w:r w:rsidR="00F54CC9">
        <w:t xml:space="preserve">f rate coefficients using </w:t>
      </w:r>
      <w:proofErr w:type="spellStart"/>
      <w:r w:rsidR="00F54CC9">
        <w:t>Chebys</w:t>
      </w:r>
      <w:r>
        <w:t>hev</w:t>
      </w:r>
      <w:proofErr w:type="spellEnd"/>
      <w:r>
        <w:t xml:space="preserve"> polynomials (See section </w:t>
      </w:r>
      <w:r w:rsidR="00F54CC9">
        <w:fldChar w:fldCharType="begin"/>
      </w:r>
      <w:r w:rsidR="00F54CC9">
        <w:instrText xml:space="preserve"> REF _Ref376106032 \r \h </w:instrText>
      </w:r>
      <w:r w:rsidR="00F54CC9">
        <w:fldChar w:fldCharType="separate"/>
      </w:r>
      <w:r w:rsidR="00C5162B">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C5162B">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77318916"/>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 xml:space="preserve">(Taken from D.R. </w:t>
      </w:r>
      <w:proofErr w:type="spellStart"/>
      <w:r w:rsidR="00B50489">
        <w:t>Glowacki</w:t>
      </w:r>
      <w:proofErr w:type="spellEnd"/>
      <w:r w:rsidR="00B50489">
        <w:t>,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77318917"/>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77318918"/>
      <w:r w:rsidRPr="00246233">
        <w:t>Accessing MESMER</w:t>
      </w:r>
      <w:bookmarkEnd w:id="6"/>
    </w:p>
    <w:p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rsidR="0025017C" w:rsidRDefault="007F0708"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p>
    <w:p w:rsidR="00F77C82" w:rsidRDefault="00F77C82" w:rsidP="00C05534">
      <w:pPr>
        <w:pStyle w:val="Heading2"/>
      </w:pPr>
      <w:bookmarkStart w:id="7" w:name="_Toc377318919"/>
      <w:r>
        <w:t>Windows</w:t>
      </w:r>
      <w:bookmarkEnd w:id="7"/>
    </w:p>
    <w:p w:rsidR="00F77C82" w:rsidRDefault="00F77C82" w:rsidP="00C05534">
      <w:pPr>
        <w:pStyle w:val="Heading3"/>
      </w:pPr>
      <w:bookmarkStart w:id="8" w:name="_Toc377318920"/>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9" w:name="_Toc377318921"/>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5162B">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F0708">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7F0708">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77318922"/>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5162B">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77318923"/>
      <w:r>
        <w:lastRenderedPageBreak/>
        <w:t>Linux/UNIX/Mac</w:t>
      </w:r>
      <w:bookmarkEnd w:id="11"/>
      <w:bookmarkEnd w:id="12"/>
    </w:p>
    <w:p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3" w:name="_Toc377318924"/>
      <w:r>
        <w:t xml:space="preserve">Compiling </w:t>
      </w:r>
      <w:proofErr w:type="spellStart"/>
      <w:r>
        <w:t>TinyXML</w:t>
      </w:r>
      <w:bookmarkEnd w:id="13"/>
      <w:proofErr w:type="spellEnd"/>
    </w:p>
    <w:p w:rsidR="00F77C82" w:rsidRDefault="00F77C82">
      <w:r>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77318925"/>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77318926"/>
      <w:r>
        <w:t>Compiling and Running the Main Executable</w:t>
      </w:r>
      <w:bookmarkEnd w:id="15"/>
    </w:p>
    <w:p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77318927"/>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w:t>
      </w:r>
      <w:bookmarkStart w:id="17" w:name="_GoBack"/>
      <w:bookmarkEnd w:id="17"/>
    </w:p>
    <w:p w:rsidR="00F77C82" w:rsidRDefault="00F77C82" w:rsidP="00E41937">
      <w:pPr>
        <w:pStyle w:val="Heading2"/>
      </w:pPr>
      <w:bookmarkStart w:id="18" w:name="_Toc377318928"/>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t>
      </w:r>
      <w:r>
        <w:lastRenderedPageBreak/>
        <w:t xml:space="preserve">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5162B">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77318929"/>
      <w:r>
        <w:t>MESMER command line</w:t>
      </w:r>
      <w:bookmarkEnd w:id="19"/>
      <w:bookmarkEnd w:id="20"/>
    </w:p>
    <w:p w:rsidR="00FB7810"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 xml:space="preserve">no </w:t>
      </w:r>
      <w:proofErr w:type="spellStart"/>
      <w:r>
        <w:t>outfilename</w:t>
      </w:r>
      <w:proofErr w:type="spellEnd"/>
      <w:r>
        <w:t xml:space="preserve">, </w:t>
      </w:r>
      <w:proofErr w:type="spellStart"/>
      <w:r>
        <w:t>stdout</w:t>
      </w:r>
      <w:proofErr w:type="spellEnd"/>
      <w:r>
        <w:t xml:space="preserve"> is used.</w:t>
      </w:r>
    </w:p>
    <w:p w:rsidR="008934B5" w:rsidRDefault="008934B5" w:rsidP="008934B5">
      <w:pPr>
        <w:pStyle w:val="ListParagraph"/>
        <w:numPr>
          <w:ilvl w:val="0"/>
          <w:numId w:val="40"/>
        </w:numPr>
      </w:pPr>
      <w:r w:rsidRPr="008934B5">
        <w:rPr>
          <w:rFonts w:ascii="Courier New" w:hAnsi="Courier New"/>
          <w:color w:val="FF0000"/>
        </w:rPr>
        <w:lastRenderedPageBreak/>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77318930"/>
      <w:r>
        <w:lastRenderedPageBreak/>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77318931"/>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w:t>
      </w:r>
      <w:proofErr w:type="spellStart"/>
      <w:r w:rsidR="002E798C">
        <w:t>Markup</w:t>
      </w:r>
      <w:proofErr w:type="spellEnd"/>
      <w:r w:rsidR="002E798C">
        <w:t xml:space="preserve">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77318932"/>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C5162B" w:rsidRPr="00C5162B">
        <w:t>Figure 2:</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0E78CD29" wp14:editId="4B63623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77318933"/>
      <w:r>
        <w:lastRenderedPageBreak/>
        <w:t>Validation of MESMER input</w:t>
      </w:r>
      <w:bookmarkEnd w:id="27"/>
      <w:bookmarkEnd w:id="28"/>
    </w:p>
    <w:p w:rsidR="003D405F" w:rsidRDefault="00F77C82">
      <w:r>
        <w:t xml:space="preserve">MESMER itself provides some assistance in constructing data files. If certain required items are not present, MESMER can insert them and prompt the user to check whether the inserted values are appropriate. </w:t>
      </w:r>
      <w:r w:rsidR="003D405F">
        <w:t>(</w:t>
      </w:r>
      <w:r>
        <w:t xml:space="preserve">See the tutorial “Constructing a </w:t>
      </w:r>
      <w:proofErr w:type="spellStart"/>
      <w:r>
        <w:t>Datafile</w:t>
      </w:r>
      <w:proofErr w:type="spellEnd"/>
      <w:r>
        <w:t xml:space="preserv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A number of .</w:t>
      </w:r>
      <w:proofErr w:type="spellStart"/>
      <w:r>
        <w:t>xsd</w:t>
      </w:r>
      <w:proofErr w:type="spellEnd"/>
      <w:r>
        <w:t xml:space="preserve">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446174">
      <w:pPr>
        <w:pStyle w:val="ListParagraph"/>
        <w:numPr>
          <w:ilvl w:val="0"/>
          <w:numId w:val="38"/>
        </w:numPr>
        <w:ind w:left="900"/>
      </w:pPr>
      <w:r>
        <w:t>Any elements that do not conform to the schema will be indicated by blue zig-</w:t>
      </w:r>
      <w:proofErr w:type="spellStart"/>
      <w:r>
        <w:t>zag</w:t>
      </w:r>
      <w:proofErr w:type="spellEnd"/>
      <w:r>
        <w:t xml:space="preserve"> underlining. Hovering over this underlining will cause a dialogue box to be displayed giving more details about the possible problem that has been detected.</w:t>
      </w:r>
      <w:r w:rsidR="00446174">
        <w:t xml:space="preserve"> </w:t>
      </w:r>
    </w:p>
    <w:p w:rsidR="00F77C82" w:rsidRPr="00246233" w:rsidRDefault="00F77C82" w:rsidP="006D48A8">
      <w:pPr>
        <w:pStyle w:val="Heading2"/>
      </w:pPr>
      <w:bookmarkStart w:id="29" w:name="_Toc377318934"/>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lastRenderedPageBreak/>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Pr="004F3F1E" w:rsidRDefault="00F77C82" w:rsidP="004F3F1E">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20"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77318935"/>
      <w:proofErr w:type="spellStart"/>
      <w:proofErr w:type="gramStart"/>
      <w:r>
        <w:t>moleculeList</w:t>
      </w:r>
      <w:bookmarkEnd w:id="30"/>
      <w:bookmarkEnd w:id="31"/>
      <w:proofErr w:type="spellEnd"/>
      <w:proofErr w:type="gramEnd"/>
    </w:p>
    <w:p w:rsidR="00F77C82" w:rsidRDefault="00F77C82">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lastRenderedPageBreak/>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w:t>
      </w:r>
      <w:proofErr w:type="spellStart"/>
      <w:r w:rsidR="008D17BE">
        <w:t>Unitless</w:t>
      </w:r>
      <w:proofErr w:type="spellEnd"/>
      <w:r w:rsidR="008D17BE">
        <w:t xml:space="preserve">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F11EE7" w:rsidRDefault="00F11EE7" w:rsidP="0046074F">
      <w:pPr>
        <w:ind w:left="900"/>
      </w:pPr>
      <w:r>
        <w:lastRenderedPageBreak/>
        <w:t xml:space="preserve">If the molecule being modelled is a minimum energy crossing point (MECP) – i.e., a transition state for spin forbidden crossing, then further data are required. Both </w:t>
      </w:r>
      <w:proofErr w:type="spellStart"/>
      <w:r w:rsidRPr="00D46D0D">
        <w:t>Wentzel</w:t>
      </w:r>
      <w:proofErr w:type="spellEnd"/>
      <w:r>
        <w:t xml:space="preserve"> </w:t>
      </w:r>
      <w:proofErr w:type="spellStart"/>
      <w:r w:rsidRPr="00D46D0D">
        <w:t>Kramers</w:t>
      </w:r>
      <w:proofErr w:type="spellEnd"/>
      <w:r>
        <w:t xml:space="preserve"> </w:t>
      </w:r>
      <w:proofErr w:type="spellStart"/>
      <w:r w:rsidRPr="00D46D0D">
        <w:t>Brillouin</w:t>
      </w:r>
      <w:proofErr w:type="spellEnd"/>
      <w:r>
        <w:t xml:space="preserve"> (WKB) and Landau </w:t>
      </w:r>
      <w:proofErr w:type="spellStart"/>
      <w:r>
        <w:t>Zener</w:t>
      </w:r>
      <w:proofErr w:type="spellEnd"/>
      <w:r>
        <w:t xml:space="preserve"> (LZ) corrections require specification of the following:</w:t>
      </w:r>
    </w:p>
    <w:p w:rsidR="00F11EE7" w:rsidRDefault="00F11EE7" w:rsidP="00F11EE7">
      <w:pPr>
        <w:numPr>
          <w:ilvl w:val="1"/>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:hessian</w:t>
      </w:r>
      <w:proofErr w:type="spell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5162B">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w:t>
      </w:r>
      <w:proofErr w:type="spellStart"/>
      <w:r w:rsidRPr="004F3F1E">
        <w:rPr>
          <w:rFonts w:ascii="Courier New" w:hAnsi="Courier New" w:cs="Courier New"/>
          <w:color w:val="0000FF"/>
          <w:sz w:val="20"/>
          <w:lang w:eastAsia="en-GB"/>
        </w:rPr>
        <w:t>mol</w:t>
      </w:r>
      <w:proofErr w:type="spellEnd"/>
      <w:r w:rsidRPr="004F3F1E">
        <w:rPr>
          <w:rFonts w:ascii="Courier New" w:hAnsi="Courier New" w:cs="Courier New"/>
          <w:color w:val="0000FF"/>
          <w:sz w:val="20"/>
          <w:lang w:eastAsia="en-GB"/>
        </w:rPr>
        <w:t>/Ang2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matric type and how it is stored. In the case of</w:t>
      </w:r>
      <w:r w:rsidR="005948FB">
        <w:t xml:space="preserve"> a Hessian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rsidR="00F77C82" w:rsidRDefault="00AB5912" w:rsidP="0046074F">
      <w:pPr>
        <w:ind w:left="900"/>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5162B">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me:ZPE</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21856" w:rsidRDefault="0022185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me:rotConsts</w:t>
            </w:r>
            <w:proofErr w:type="spellEnd"/>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me:symmetryNumber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me:frequenciesScaleFactor</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me:vibFreqs</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me:MW</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me:spinMultiplicity</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me:epsilon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proofErr w:type="spellStart"/>
            <w:r>
              <w:rPr>
                <w:sz w:val="20"/>
                <w:szCs w:val="20"/>
              </w:rPr>
              <w:t>me:sigma</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proofErr w:type="spellStart"/>
            <w:r>
              <w:rPr>
                <w:sz w:val="20"/>
                <w:szCs w:val="20"/>
              </w:rPr>
              <w:t>me:deltaEDown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proofErr w:type="spellStart"/>
            <w:r>
              <w:rPr>
                <w:sz w:val="20"/>
                <w:szCs w:val="20"/>
              </w:rPr>
              <w:t>me:hessian</w:t>
            </w:r>
            <w:proofErr w:type="spellEnd"/>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w:t>
            </w:r>
            <w:proofErr w:type="spellStart"/>
            <w:r>
              <w:rPr>
                <w:sz w:val="20"/>
                <w:szCs w:val="20"/>
              </w:rPr>
              <w:t>mol</w:t>
            </w:r>
            <w:proofErr w:type="spellEnd"/>
            <w:r>
              <w:rPr>
                <w:sz w:val="20"/>
                <w:szCs w:val="20"/>
              </w:rPr>
              <w:t>/Ang2</w:t>
            </w:r>
            <w:r>
              <w:rPr>
                <w:rFonts w:ascii="Times New Roman" w:hAnsi="Times New Roman" w:cs="Times New Roman"/>
                <w:color w:val="auto"/>
                <w:sz w:val="20"/>
                <w:szCs w:val="20"/>
              </w:rPr>
              <w:t xml:space="preserve"> or </w:t>
            </w:r>
            <w:proofErr w:type="spellStart"/>
            <w:r>
              <w:rPr>
                <w:sz w:val="20"/>
                <w:szCs w:val="20"/>
              </w:rPr>
              <w:t>Hartree</w:t>
            </w:r>
            <w:proofErr w:type="spellEnd"/>
            <w:r>
              <w:rPr>
                <w:sz w:val="20"/>
                <w:szCs w:val="20"/>
              </w:rPr>
              <w:t>/bohr2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xml:space="preserve">: Some of the values of </w:t>
      </w:r>
      <w:proofErr w:type="spellStart"/>
      <w:r w:rsidRPr="008D17BE">
        <w:rPr>
          <w:sz w:val="20"/>
        </w:rPr>
        <w:t>dictRef</w:t>
      </w:r>
      <w:proofErr w:type="spellEnd"/>
      <w:r w:rsidRPr="008D17BE">
        <w:rPr>
          <w:sz w:val="20"/>
        </w:rPr>
        <w:t xml:space="preserve">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spellStart"/>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5162B">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lastRenderedPageBreak/>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rsidR="00B218B8" w:rsidRDefault="00221856" w:rsidP="005948FB">
      <w:pPr>
        <w:numPr>
          <w:ilvl w:val="0"/>
          <w:numId w:val="13"/>
        </w:numPr>
      </w:pPr>
      <w:bookmarkStart w:id="33" w:name="_Ref345768724"/>
      <w:proofErr w:type="spellStart"/>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proofErr w:type="spellEnd"/>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t xml:space="preserve"> For active species one, and only one, </w:t>
      </w:r>
      <w:proofErr w:type="spellStart"/>
      <w:r>
        <w:rPr>
          <w:rFonts w:ascii="Courier New" w:hAnsi="Courier New" w:cs="Courier New"/>
          <w:color w:val="A31515"/>
          <w:sz w:val="20"/>
          <w:lang w:val="en-US"/>
        </w:rPr>
        <w:t>me:DOSCMethod</w:t>
      </w:r>
      <w:proofErr w:type="spellEnd"/>
      <w:r>
        <w:t xml:space="preserve"> method must be specified. If no such method is defined then by default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p>
    <w:p w:rsidR="00304993" w:rsidRDefault="00221856" w:rsidP="00B218B8">
      <w:pPr>
        <w:numPr>
          <w:ilvl w:val="0"/>
          <w:numId w:val="13"/>
        </w:numPr>
      </w:pPr>
      <w:proofErr w:type="spellStart"/>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proofErr w:type="spell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proofErr w:type="spellStart"/>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proofErr w:type="spellEnd"/>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C5162B">
        <w:t>11.2.3</w:t>
      </w:r>
      <w:r>
        <w:fldChar w:fldCharType="end"/>
      </w:r>
      <w:r>
        <w:t>.</w:t>
      </w:r>
      <w:bookmarkEnd w:id="33"/>
      <w:r>
        <w:t xml:space="preserve"> </w:t>
      </w:r>
      <w:r>
        <w:lastRenderedPageBreak/>
        <w:t xml:space="preserve">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spellStart"/>
      <w:proofErr w:type="gramStart"/>
      <w:r w:rsidRPr="00B218B8">
        <w:rPr>
          <w:i/>
          <w:sz w:val="20"/>
        </w:rPr>
        <w:t>g</w:t>
      </w:r>
      <w:r w:rsidRPr="00B218B8">
        <w:rPr>
          <w:i/>
          <w:sz w:val="20"/>
          <w:vertAlign w:val="subscript"/>
        </w:rPr>
        <w:t>JK</w:t>
      </w:r>
      <w:proofErr w:type="spellEnd"/>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77318936"/>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w:t>
      </w:r>
      <w:r w:rsidR="00F77C82">
        <w:lastRenderedPageBreak/>
        <w:t xml:space="preserve">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r w:rsidR="00D47E4C" w:rsidRPr="00D47E4C">
        <w:t>me:ZPE</w:t>
      </w:r>
      <w:proofErr w:type="spell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w:t>
      </w:r>
      <w:r w:rsidRPr="009C7DF7">
        <w:lastRenderedPageBreak/>
        <w:t>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proofErr w:type="spellStart"/>
      <w:r w:rsidR="00F77C82" w:rsidRPr="008242A4">
        <w:rPr>
          <w:rFonts w:ascii="Courier New" w:hAnsi="Courier New" w:cs="Courier New"/>
          <w:color w:val="FF0000"/>
        </w:rPr>
        <w:t>dictRef</w:t>
      </w:r>
      <w:proofErr w:type="spellEnd"/>
      <w:r w:rsidR="00F77C82" w:rsidRPr="008242A4">
        <w:rPr>
          <w:rFonts w:ascii="Courier New" w:hAnsi="Courier New" w:cs="Courier New"/>
          <w:color w:val="FF0000"/>
        </w:rPr>
        <w:t xml:space="preserve"> =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proofErr w:type="spellStart"/>
      <w:r w:rsidR="00F77C82" w:rsidRPr="003C5A3E">
        <w:rPr>
          <w:rFonts w:ascii="Courier New" w:hAnsi="Courier New" w:cs="Courier New"/>
          <w:color w:val="FF0000"/>
        </w:rPr>
        <w:t>me:Z</w:t>
      </w:r>
      <w:r w:rsidR="00F77C82" w:rsidRPr="00296248">
        <w:rPr>
          <w:rFonts w:ascii="Courier New" w:hAnsi="Courier New" w:cs="Courier New"/>
          <w:color w:val="FF0000"/>
        </w:rPr>
        <w:t>PE</w:t>
      </w:r>
      <w:proofErr w:type="spellEnd"/>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4" name="TextBox 16"/>
                        <wps:cNvSpPr txBox="1"/>
                        <wps:spPr>
                          <a:xfrm>
                            <a:off x="2914657" y="1569492"/>
                            <a:ext cx="1070240" cy="525780"/>
                          </a:xfrm>
                          <a:prstGeom prst="rect">
                            <a:avLst/>
                          </a:prstGeom>
                          <a:noFill/>
                        </wps:spPr>
                        <wps:txbx>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36" name="TextBox 24"/>
                        <wps:cNvSpPr txBox="1"/>
                        <wps:spPr>
                          <a:xfrm>
                            <a:off x="1123953" y="4306108"/>
                            <a:ext cx="702310" cy="277495"/>
                          </a:xfrm>
                          <a:prstGeom prst="rect">
                            <a:avLst/>
                          </a:prstGeom>
                          <a:noFill/>
                        </wps:spPr>
                        <wps:txbx>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38" name="TextBox 26"/>
                        <wps:cNvSpPr txBox="1"/>
                        <wps:spPr>
                          <a:xfrm>
                            <a:off x="1631937" y="3817646"/>
                            <a:ext cx="687705" cy="277495"/>
                          </a:xfrm>
                          <a:prstGeom prst="rect">
                            <a:avLst/>
                          </a:prstGeom>
                          <a:noFill/>
                        </wps:spPr>
                        <wps:txbx>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40" name="TextBox 28"/>
                        <wps:cNvSpPr txBox="1"/>
                        <wps:spPr>
                          <a:xfrm>
                            <a:off x="2395820" y="3068296"/>
                            <a:ext cx="790575" cy="277495"/>
                          </a:xfrm>
                          <a:prstGeom prst="rect">
                            <a:avLst/>
                          </a:prstGeom>
                          <a:noFill/>
                        </wps:spPr>
                        <wps:txbx>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43" name="TextBox 32"/>
                        <wps:cNvSpPr txBox="1"/>
                        <wps:spPr>
                          <a:xfrm>
                            <a:off x="4499200" y="4362624"/>
                            <a:ext cx="751840" cy="277495"/>
                          </a:xfrm>
                          <a:prstGeom prst="rect">
                            <a:avLst/>
                          </a:prstGeom>
                          <a:noFill/>
                        </wps:spPr>
                        <wps:txbx>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708" w:rsidRDefault="007F0708" w:rsidP="00AA480E"/>
                          </w:txbxContent>
                        </wps:txbx>
                        <wps:bodyPr rtlCol="0" anchor="ctr"/>
                      </wps:wsp>
                      <wps:wsp>
                        <wps:cNvPr id="47" name="TextBox 35"/>
                        <wps:cNvSpPr txBox="1"/>
                        <wps:spPr>
                          <a:xfrm>
                            <a:off x="5507708" y="3714890"/>
                            <a:ext cx="840105" cy="277495"/>
                          </a:xfrm>
                          <a:prstGeom prst="rect">
                            <a:avLst/>
                          </a:prstGeom>
                          <a:noFill/>
                        </wps:spPr>
                        <wps:txbx>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7F0708" w:rsidRDefault="007F070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7F0708" w:rsidRDefault="007F070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7F0708" w:rsidRDefault="007F070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7F0708" w:rsidRDefault="007F070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7F0708" w:rsidRDefault="007F070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7F0708" w:rsidRDefault="007F070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7F0708" w:rsidRDefault="007F070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7F0708" w:rsidRDefault="007F070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7F0708" w:rsidRDefault="007F070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rPr>
                          <w:t>ZPE</w:t>
                        </w:r>
                        <w:proofErr w:type="spellStart"/>
                        <w:r>
                          <w:rPr>
                            <w:rFonts w:asciiTheme="minorHAnsi" w:hAnsi="Calibri" w:cstheme="minorBidi"/>
                            <w:color w:val="000000" w:themeColor="text1"/>
                            <w:kern w:val="24"/>
                            <w:position w:val="-6"/>
                            <w:vertAlign w:val="subscript"/>
                          </w:rPr>
                          <w:t>int</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7F0708" w:rsidRDefault="007F070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7F0708" w:rsidRDefault="007F070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7F0708" w:rsidRDefault="007F070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7F0708" w:rsidRPr="004F239A" w:rsidRDefault="007F070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Th</w:t>
                        </w:r>
                        <w:proofErr w:type="spellEnd"/>
                        <w:r>
                          <w:rPr>
                            <w:rFonts w:asciiTheme="minorHAnsi" w:hAnsi="Calibri" w:cstheme="minorBidi"/>
                            <w:color w:val="000000" w:themeColor="text1"/>
                            <w:kern w:val="24"/>
                          </w:rPr>
                          <w:t>)</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7F0708" w:rsidRDefault="007F070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7F0708" w:rsidRDefault="007F070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7F0708" w:rsidRDefault="007F070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7F0708" w:rsidRDefault="007F070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77318937"/>
      <w:proofErr w:type="spellStart"/>
      <w:proofErr w:type="gramStart"/>
      <w:r>
        <w:t>reactionList</w:t>
      </w:r>
      <w:bookmarkEnd w:id="36"/>
      <w:bookmarkEnd w:id="37"/>
      <w:proofErr w:type="spellEnd"/>
      <w:proofErr w:type="gramEnd"/>
    </w:p>
    <w:p w:rsidR="00F77C82" w:rsidRDefault="00F77C82">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proofErr w:type="spellStart"/>
            <w:r w:rsidRPr="007C0ED8">
              <w:rPr>
                <w:sz w:val="18"/>
                <w:szCs w:val="18"/>
              </w:rPr>
              <w:t>excessReactant</w:t>
            </w:r>
            <w:proofErr w:type="spellEnd"/>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w:t>
      </w:r>
      <w:r w:rsidR="009B5AE2">
        <w:t>4</w:t>
      </w:r>
      <w:r>
        <w:t xml:space="preserve">.  </w:t>
      </w:r>
    </w:p>
    <w:p w:rsidR="00F03646" w:rsidRDefault="00F77C82" w:rsidP="009B5AE2">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 xml:space="preserve">dimensional tunnelling through an asymmetric </w:t>
      </w:r>
      <w:proofErr w:type="spellStart"/>
      <w:r>
        <w:t>Eckart</w:t>
      </w:r>
      <w:proofErr w:type="spellEnd"/>
      <w:r>
        <w:t xml:space="preserve">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proofErr w:type="spellStart"/>
      <w:r>
        <w:rPr>
          <w:rFonts w:ascii="Courier New" w:hAnsi="Courier New" w:cs="Courier New"/>
          <w:color w:val="FF0000"/>
        </w:rPr>
        <w:t>me:MCRCMethod</w:t>
      </w:r>
      <w:proofErr w:type="spellEnd"/>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proofErr w:type="spellStart"/>
      <w:r w:rsidR="002161D2">
        <w:rPr>
          <w:rFonts w:ascii="Courier New" w:hAnsi="Courier New" w:cs="Courier New"/>
          <w:color w:val="FF0000"/>
        </w:rPr>
        <w:t>me:transitionState</w:t>
      </w:r>
      <w:proofErr w:type="spellEnd"/>
      <w:r w:rsidR="002161D2">
        <w:t xml:space="preserve"> is specified, then the </w:t>
      </w:r>
      <w:proofErr w:type="spellStart"/>
      <w:r w:rsidR="002161D2" w:rsidRPr="002161D2">
        <w:rPr>
          <w:rFonts w:ascii="Courier New" w:hAnsi="Courier New" w:cs="Courier New"/>
          <w:color w:val="FF0000"/>
        </w:rPr>
        <w:t>DefinedSumOfStates</w:t>
      </w:r>
      <w:proofErr w:type="spellEnd"/>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7F0708"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proofErr w:type="spellStart"/>
      <w:r w:rsidR="00592261" w:rsidRPr="00592261">
        <w:rPr>
          <w:rFonts w:ascii="Courier" w:hAnsi="Courier"/>
          <w:color w:val="FF0000"/>
        </w:rPr>
        <w:t>me:type</w:t>
      </w:r>
      <w:proofErr w:type="spellEnd"/>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 xml:space="preserve">well species that is formed from a sequence of isomerization/source reactions reacts with another excess reactant. In implementing this type </w:t>
      </w:r>
      <w:proofErr w:type="gramStart"/>
      <w:r w:rsidR="00A551FF">
        <w:t>a knowledge</w:t>
      </w:r>
      <w:proofErr w:type="gramEnd"/>
      <w:r w:rsidR="00A551FF">
        <w:t xml:space="preserv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8" w:name="_Ref313049784"/>
      <w:bookmarkStart w:id="39" w:name="_Toc377318938"/>
      <w:proofErr w:type="spellStart"/>
      <w:proofErr w:type="gramStart"/>
      <w:r>
        <w:t>me:</w:t>
      </w:r>
      <w:proofErr w:type="gramEnd"/>
      <w:r>
        <w:t>conditions</w:t>
      </w:r>
      <w:bookmarkEnd w:id="38"/>
      <w:bookmarkEnd w:id="39"/>
      <w:proofErr w:type="spellEnd"/>
    </w:p>
    <w:p w:rsidR="00F77C82" w:rsidRDefault="00F77C82">
      <w:r>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 xml:space="preserve">three </w:t>
      </w:r>
      <w:proofErr w:type="spellStart"/>
      <w:r>
        <w:rPr>
          <w:rFonts w:ascii="Courier New" w:hAnsi="Courier New" w:cs="Courier New"/>
          <w:color w:val="FF0000"/>
        </w:rPr>
        <w:t>me</w:t>
      </w:r>
      <w:proofErr w:type="gramEnd"/>
      <w:r>
        <w:rPr>
          <w:rFonts w:ascii="Courier New" w:hAnsi="Courier New" w:cs="Courier New"/>
          <w:color w:val="FF0000"/>
        </w:rPr>
        <w:t>:PTpair</w:t>
      </w:r>
      <w:r>
        <w:t>s</w:t>
      </w:r>
      <w:proofErr w:type="spell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rsidR="00880451">
        <w:t xml:space="preserve">; </w:t>
      </w:r>
      <w:r>
        <w:t xml:space="preserve">(4) atmospheres, specified as </w:t>
      </w:r>
      <w:proofErr w:type="spellStart"/>
      <w:r>
        <w:rPr>
          <w:rFonts w:ascii="Courier New" w:hAnsi="Courier New" w:cs="Courier New"/>
          <w:color w:val="FF0000"/>
          <w:szCs w:val="24"/>
        </w:rPr>
        <w:t>atm</w:t>
      </w:r>
      <w:proofErr w:type="spellEnd"/>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C5162B">
        <w:t>8.3</w:t>
      </w:r>
      <w:r w:rsidR="007A15CE">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proofErr w:type="spellEnd"/>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w:t>
      </w:r>
      <w:r w:rsidR="00634816">
        <w:rPr>
          <w:rFonts w:ascii="Courier New" w:hAnsi="Courier New" w:cs="Courier New"/>
          <w:b/>
          <w:color w:val="0000FF"/>
          <w:sz w:val="20"/>
        </w:rPr>
        <w:t>i</w:t>
      </w:r>
      <w:r>
        <w:rPr>
          <w:rFonts w:ascii="Courier New" w:hAnsi="Courier New" w:cs="Courier New"/>
          <w:b/>
          <w:color w:val="0000FF"/>
          <w:sz w:val="20"/>
        </w:rPr>
        <w:t>alPopulation</w:t>
      </w:r>
      <w:proofErr w:type="spellEnd"/>
      <w:r>
        <w:rPr>
          <w:rFonts w:ascii="Courier New" w:hAnsi="Courier New" w:cs="Courier New"/>
          <w:b/>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77318939"/>
      <w:proofErr w:type="spellStart"/>
      <w:proofErr w:type="gramStart"/>
      <w:r>
        <w:t>me:</w:t>
      </w:r>
      <w:proofErr w:type="gramEnd"/>
      <w:r>
        <w:t>modelParameters</w:t>
      </w:r>
      <w:bookmarkEnd w:id="40"/>
      <w:proofErr w:type="spellEnd"/>
    </w:p>
    <w:p w:rsidR="00F77C82" w:rsidRDefault="00F77C82">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pt;height:21.3pt" o:ole="" filled="t">
            <v:fill color2="black"/>
            <v:imagedata r:id="rId22" o:title=""/>
          </v:shape>
          <o:OLEObject Type="Embed" ProgID="Equation.3" ShapeID="_x0000_i1025" DrawAspect="Content" ObjectID="_1452370928"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4A294C" w:rsidRDefault="004A294C" w:rsidP="004A294C">
      <w:pPr>
        <w:ind w:left="540"/>
      </w:pPr>
    </w:p>
    <w:p w:rsidR="00F77C82" w:rsidRDefault="00F77C82" w:rsidP="006D48A8">
      <w:pPr>
        <w:pStyle w:val="Heading3"/>
      </w:pPr>
      <w:bookmarkStart w:id="41" w:name="_Ref207708603"/>
      <w:bookmarkStart w:id="42" w:name="_Toc377318940"/>
      <w:proofErr w:type="spellStart"/>
      <w:proofErr w:type="gramStart"/>
      <w:r>
        <w:t>me:</w:t>
      </w:r>
      <w:proofErr w:type="gramEnd"/>
      <w:r>
        <w:t>control</w:t>
      </w:r>
      <w:bookmarkEnd w:id="41"/>
      <w:bookmarkEnd w:id="42"/>
      <w:proofErr w:type="spellEnd"/>
    </w:p>
    <w:p w:rsidR="00F77C82" w:rsidRDefault="00F77C82">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proofErr w:type="spellStart"/>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proofErr w:type="spellEnd"/>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spellStart"/>
      <w:proofErr w:type="gramStart"/>
      <w:r w:rsidRPr="00C767E1">
        <w:rPr>
          <w:rFonts w:ascii="Courier New" w:hAnsi="Courier New" w:cs="Courier New"/>
          <w:color w:val="FF0000"/>
        </w:rPr>
        <w:t>analyticalRepresentation</w:t>
      </w:r>
      <w:proofErr w:type="spellEnd"/>
      <w:proofErr w:type="gramEnd"/>
      <w:r>
        <w:t xml:space="preserve">: Calculates a </w:t>
      </w:r>
      <w:proofErr w:type="spellStart"/>
      <w:r>
        <w:t>Chebyshev</w:t>
      </w:r>
      <w:proofErr w:type="spellEnd"/>
      <w:r>
        <w:t xml:space="preserve"> analytical representation of the rate coefficients over a specified temperature and pressure range.</w:t>
      </w:r>
    </w:p>
    <w:p w:rsidR="00386A56" w:rsidRDefault="00C767E1" w:rsidP="00C767E1">
      <w:pPr>
        <w:numPr>
          <w:ilvl w:val="1"/>
          <w:numId w:val="9"/>
        </w:numPr>
      </w:pPr>
      <w:proofErr w:type="spellStart"/>
      <w:r w:rsidRPr="00CC06FF">
        <w:rPr>
          <w:rFonts w:ascii="Courier New" w:hAnsi="Courier New" w:cs="Courier New"/>
          <w:color w:val="FF0000"/>
        </w:rPr>
        <w:t>ThermodynamicTable</w:t>
      </w:r>
      <w:proofErr w:type="spellEnd"/>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proofErr w:type="spell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r w:rsidRPr="00A45C48">
        <w:rPr>
          <w:rFonts w:ascii="Courier New" w:hAnsi="Courier New" w:cs="Courier New"/>
          <w:color w:val="A31515"/>
          <w:sz w:val="18"/>
          <w:szCs w:val="18"/>
          <w:lang w:eastAsia="en-GB"/>
        </w:rPr>
        <w:t>me:automaticallySetMaxEne</w:t>
      </w:r>
      <w:proofErr w:type="spell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ForceMacroDetailedBalance</w:t>
      </w:r>
      <w:proofErr w:type="spell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r w:rsidR="00D8320D" w:rsidRPr="00ED65F4">
        <w:rPr>
          <w:rFonts w:ascii="Courier New" w:hAnsi="Courier New" w:cs="Courier New"/>
          <w:color w:val="A31515"/>
          <w:sz w:val="18"/>
          <w:szCs w:val="18"/>
          <w:lang w:eastAsia="en-GB"/>
        </w:rPr>
        <w:t>me:ForceMacroDetailedBalance</w:t>
      </w:r>
      <w:proofErr w:type="spellEnd"/>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77318941"/>
      <w:r>
        <w:t>Summary Table: Molecular input variables in MESMER</w:t>
      </w:r>
      <w:bookmarkEnd w:id="43"/>
    </w:p>
    <w:p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F070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77318942"/>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77318943"/>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proofErr w:type="gramStart"/>
      <w:r w:rsidRPr="00ED65F4">
        <w:rPr>
          <w:rFonts w:ascii="Courier New" w:hAnsi="Courier New" w:cs="Courier New"/>
          <w:color w:val="A31515"/>
          <w:sz w:val="18"/>
          <w:szCs w:val="18"/>
          <w:lang w:eastAsia="en-GB"/>
        </w:rPr>
        <w:t>propertyList</w:t>
      </w:r>
      <w:proofErr w:type="spellEnd"/>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me:epsilon</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me:sigma</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amu</w:t>
      </w:r>
      <w:proofErr w:type="spellEnd"/>
      <w:r w:rsidRPr="00ED65F4">
        <w:rPr>
          <w:rFonts w:ascii="Courier New" w:hAnsi="Courier New" w:cs="Courier New"/>
          <w:sz w:val="18"/>
          <w:szCs w:val="18"/>
        </w:rPr>
        <w:t>"&gt;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77318944"/>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 xml:space="preserve">Use lower camel case for new element and attribute names (except for obvious </w:t>
      </w:r>
      <w:proofErr w:type="spellStart"/>
      <w:r>
        <w:t>abreviations</w:t>
      </w:r>
      <w:proofErr w:type="spellEnd"/>
      <w:r>
        <w:t xml:space="preserve">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C5162B">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 xml:space="preserve">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w:t>
      </w:r>
      <w:proofErr w:type="spellStart"/>
      <w:r>
        <w:t>havea</w:t>
      </w:r>
      <w:proofErr w:type="spellEnd"/>
      <w:r>
        <w:t xml:space="preserve"> prefix (like opt1:TS2). This has been relaxed for Mesmer but it would be </w:t>
      </w:r>
      <w:proofErr w:type="spellStart"/>
      <w:r>
        <w:t>goodpractice</w:t>
      </w:r>
      <w:proofErr w:type="spellEnd"/>
      <w:r>
        <w:t xml:space="preserv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77318945"/>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5162B">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F070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77318946"/>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77318947"/>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77318948"/>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Toc377318949"/>
      <w:bookmarkStart w:id="53" w:name="_Ref378624763"/>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dd</w:t>
      </w:r>
      <w:proofErr w:type="spellEnd"/>
      <w:r w:rsidR="00592261" w:rsidRPr="0025017C">
        <w:rPr>
          <w:rFonts w:ascii="Courier New" w:hAnsi="Courier New" w:cs="Courier New"/>
          <w:color w:val="FF0000"/>
          <w:sz w:val="20"/>
        </w:rPr>
        <w:t>"</w:t>
      </w:r>
    </w:p>
    <w:p w:rsidR="00F77C82" w:rsidRDefault="008053F7" w:rsidP="00F66AB7">
      <w:pPr>
        <w:pStyle w:val="Heading2"/>
      </w:pPr>
      <w:bookmarkStart w:id="54" w:name="_Ref344824982"/>
      <w:bookmarkStart w:id="55" w:name="_Toc377318950"/>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7F070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7F070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7F070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7F070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dictRef</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proofErr w:type="spellStart"/>
      <w:r w:rsidRPr="00AF112E">
        <w:rPr>
          <w:rFonts w:ascii="Courier New" w:hAnsi="Courier New" w:cs="Courier New"/>
          <w:color w:val="0000FF"/>
          <w:sz w:val="18"/>
          <w:szCs w:val="18"/>
          <w:lang w:eastAsia="en-GB"/>
        </w:rPr>
        <w:t>me:deltaEDown</w:t>
      </w:r>
      <w:proofErr w:type="spell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proofErr w:type="spellStart"/>
      <w:r w:rsidRPr="00AF112E">
        <w:rPr>
          <w:rFonts w:ascii="Courier New" w:hAnsi="Courier New" w:cs="Courier New"/>
          <w:color w:val="FF0000"/>
          <w:sz w:val="18"/>
          <w:szCs w:val="18"/>
          <w:lang w:eastAsia="en-GB"/>
        </w:rPr>
        <w:t>me:derivedFrom</w:t>
      </w:r>
      <w:proofErr w:type="spellEnd"/>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lastRenderedPageBreak/>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dictRef</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proofErr w:type="spellStart"/>
      <w:r w:rsidRPr="00AF112E">
        <w:rPr>
          <w:rFonts w:ascii="Consolas" w:hAnsi="Consolas" w:cs="Consolas"/>
          <w:color w:val="0000FF"/>
          <w:sz w:val="18"/>
          <w:szCs w:val="18"/>
          <w:lang w:eastAsia="en-GB"/>
        </w:rPr>
        <w:t>me:deltaEDown</w:t>
      </w:r>
      <w:proofErr w:type="spellEnd"/>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proofErr w:type="spellStart"/>
      <w:r w:rsidRPr="00AF112E">
        <w:rPr>
          <w:rFonts w:ascii="Consolas" w:hAnsi="Consolas" w:cs="Consolas"/>
          <w:color w:val="FF0000"/>
          <w:sz w:val="18"/>
          <w:szCs w:val="18"/>
          <w:lang w:eastAsia="en-GB"/>
        </w:rPr>
        <w:t>me:derivedFrom</w:t>
      </w:r>
      <w:proofErr w:type="spellEnd"/>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77318951"/>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5162B">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lastRenderedPageBreak/>
        <w:tab/>
      </w:r>
      <w:r w:rsidR="000F151C" w:rsidRPr="00B2799C">
        <w:rPr>
          <w:szCs w:val="24"/>
        </w:rPr>
        <w:t xml:space="preserve">The ILT has been used with association rate data, for reactions with bimolecular source or sink terms, typically involving </w:t>
      </w:r>
      <w:proofErr w:type="spellStart"/>
      <w:r w:rsidR="000F151C" w:rsidRPr="00B2799C">
        <w:rPr>
          <w:szCs w:val="24"/>
        </w:rPr>
        <w:t>barrierless</w:t>
      </w:r>
      <w:proofErr w:type="spellEnd"/>
      <w:r w:rsidR="000F151C" w:rsidRPr="00B2799C">
        <w:rPr>
          <w:szCs w:val="24"/>
        </w:rPr>
        <w:t xml:space="preserve">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5162B">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w:t>
      </w:r>
      <w:proofErr w:type="spellStart"/>
      <w:r w:rsidRPr="00B2799C">
        <w:rPr>
          <w:rFonts w:ascii="Courier New" w:hAnsi="Courier New" w:cs="Courier New"/>
          <w:color w:val="0000FF"/>
          <w:sz w:val="18"/>
          <w:szCs w:val="18"/>
        </w:rPr>
        <w:t>mol</w:t>
      </w:r>
      <w:proofErr w:type="spellEnd"/>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rsidR="00261331" w:rsidRPr="00B2799C" w:rsidRDefault="0099224A" w:rsidP="00115263">
      <w:pPr>
        <w:spacing w:before="240"/>
      </w:pPr>
      <w:r w:rsidRPr="00B2799C">
        <w:lastRenderedPageBreak/>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5162B">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7" w:name="_Toc377318952"/>
      <w:r>
        <w:t>Secondary input files</w:t>
      </w:r>
      <w:bookmarkEnd w:id="5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8" w:name="_Ref207690758"/>
      <w:bookmarkStart w:id="59" w:name="_Toc377318953"/>
      <w:r w:rsidRPr="00C05534">
        <w:lastRenderedPageBreak/>
        <w:t>MESMER files explained</w:t>
      </w:r>
      <w:bookmarkEnd w:id="58"/>
      <w:bookmarkEnd w:id="59"/>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0" w:name="_Toc377318954"/>
      <w:r w:rsidRPr="00246233">
        <w:t>MESMER output files</w:t>
      </w:r>
      <w:bookmarkEnd w:id="60"/>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1" w:name="_Toc377318955"/>
      <w:proofErr w:type="spellStart"/>
      <w:r>
        <w:t>mesmer.test</w:t>
      </w:r>
      <w:bookmarkEnd w:id="61"/>
      <w:proofErr w:type="spellEnd"/>
    </w:p>
    <w:p w:rsidR="00F77C82" w:rsidRDefault="00F77C82">
      <w:r>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62" w:name="_Ref313053442"/>
      <w:bookmarkStart w:id="63" w:name="_Toc377318956"/>
      <w:r>
        <w:t>Partition Functions and State Densities</w:t>
      </w:r>
      <w:bookmarkEnd w:id="62"/>
      <w:bookmarkEnd w:id="63"/>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4" w:name="_Toc377318957"/>
      <w:proofErr w:type="gramStart"/>
      <w:r w:rsidR="00F77C82" w:rsidRPr="00145FA6">
        <w:rPr>
          <w:i/>
        </w:rPr>
        <w:t>k</w:t>
      </w:r>
      <w:r w:rsidR="00F77C82">
        <w:t>(</w:t>
      </w:r>
      <w:proofErr w:type="gramEnd"/>
      <w:r w:rsidR="00F77C82">
        <w:rPr>
          <w:i/>
        </w:rPr>
        <w:t>E</w:t>
      </w:r>
      <w:r w:rsidR="00F77C82">
        <w:t>)s &amp; Tunnelling Corrections</w:t>
      </w:r>
      <w:bookmarkEnd w:id="64"/>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5" w:name="_Toc377318958"/>
      <w:r>
        <w:t>Equilibrium Fractions</w:t>
      </w:r>
      <w:bookmarkEnd w:id="65"/>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41356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413564">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41356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6" w:name="_Toc377318959"/>
      <w:r>
        <w:t>Eigenvalues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lastRenderedPageBreak/>
              <w:t>(9.4)</w:t>
            </w:r>
          </w:p>
        </w:tc>
      </w:tr>
    </w:tbl>
    <w:p w:rsidR="00F77C82" w:rsidRDefault="00F77C82">
      <w:proofErr w:type="gramStart"/>
      <w:r>
        <w:lastRenderedPageBreak/>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7" w:name="_Toc377318960"/>
      <w:r>
        <w:t>Species Profiles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w:t>
      </w:r>
      <w:r>
        <w:lastRenderedPageBreak/>
        <w:t>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8" w:name="_Toc377318961"/>
      <w:r>
        <w:t>Phenomenological rate coefficients</w:t>
      </w:r>
      <w:bookmarkEnd w:id="68"/>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w:t>
      </w:r>
      <w:r>
        <w:lastRenderedPageBreak/>
        <w:t>matrix algebra.  The Bartis-Widom analysis is a v</w:t>
      </w:r>
      <w:proofErr w:type="spellStart"/>
      <w:r>
        <w:t>ery</w:t>
      </w:r>
      <w:proofErr w:type="spellEnd"/>
      <w:r>
        <w:t xml:space="preserve">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377318962"/>
      <w:r>
        <w:lastRenderedPageBreak/>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0" w:name="_Toc377318963"/>
      <w:r>
        <w:t>XML output</w:t>
      </w:r>
      <w:bookmarkEnd w:id="70"/>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5162B">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proofErr w:type="gramStart"/>
      <w:r w:rsidR="00592261" w:rsidRPr="00BC05CA">
        <w:rPr>
          <w:rFonts w:ascii="Courier New" w:hAnsi="Courier New" w:cs="Courier New"/>
          <w:color w:val="0000FF"/>
          <w:sz w:val="20"/>
        </w:rPr>
        <w:t>mesmer</w:t>
      </w:r>
      <w:proofErr w:type="spellEnd"/>
      <w:proofErr w:type="gramEnd"/>
      <w:r w:rsidR="00592261" w:rsidRPr="00BC05CA">
        <w:rPr>
          <w:rFonts w:ascii="Courier New" w:hAnsi="Courier New" w:cs="Courier New"/>
          <w:color w:val="0000FF"/>
          <w:sz w:val="20"/>
        </w:rPr>
        <w:t>&gt;</w:t>
      </w:r>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C5162B">
        <w:t>7.1</w:t>
      </w:r>
      <w:r w:rsidR="007A15CE">
        <w:fldChar w:fldCharType="end"/>
      </w:r>
      <w:r>
        <w:t>.</w:t>
      </w:r>
    </w:p>
    <w:p w:rsidR="00F77C82" w:rsidRPr="00246233" w:rsidRDefault="00F77C82" w:rsidP="00F66AB7">
      <w:pPr>
        <w:pStyle w:val="Heading2"/>
      </w:pPr>
      <w:bookmarkStart w:id="71" w:name="_Toc377318964"/>
      <w:r w:rsidRPr="00246233">
        <w:t>Other files</w:t>
      </w:r>
      <w:bookmarkEnd w:id="71"/>
    </w:p>
    <w:p w:rsidR="00F77C82" w:rsidRDefault="00F77C82">
      <w:pPr>
        <w:pStyle w:val="Heading3"/>
        <w:tabs>
          <w:tab w:val="left" w:pos="567"/>
        </w:tabs>
        <w:ind w:left="426" w:hanging="426"/>
      </w:pPr>
      <w:bookmarkStart w:id="72" w:name="_Toc377318965"/>
      <w:r>
        <w:t>defaults.xml</w:t>
      </w:r>
      <w:bookmarkEnd w:id="72"/>
    </w:p>
    <w:p w:rsidR="00F77C82" w:rsidRDefault="00F77C82">
      <w:r>
        <w:t xml:space="preserve">Many of the parameters specified in the input file come with default values. These may be properties of molecules or reactions, methods and modelling parameters. If MESMER </w:t>
      </w:r>
      <w:r>
        <w:lastRenderedPageBreak/>
        <w:t xml:space="preserve">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3" w:name="_Toc377318966"/>
      <w:r>
        <w:t>librarymols.xml</w:t>
      </w:r>
      <w:bookmarkEnd w:id="73"/>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4" w:name="_Toc377318967"/>
      <w:r>
        <w:lastRenderedPageBreak/>
        <w:t>Secondary input files</w:t>
      </w:r>
      <w:bookmarkEnd w:id="7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5" w:name="_Toc377318968"/>
      <w:proofErr w:type="gramStart"/>
      <w:r>
        <w:t>source.dot</w:t>
      </w:r>
      <w:proofErr w:type="gramEnd"/>
      <w:r>
        <w:t xml:space="preserve"> and source.ps</w:t>
      </w:r>
      <w:bookmarkEnd w:id="75"/>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5"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6" w:name="_Toc377318969"/>
      <w:r>
        <w:t>mesmer1.xsl, mesmerDiag.xsl, popDiag.xsl and switchcontent.xsl</w:t>
      </w:r>
      <w:bookmarkEnd w:id="76"/>
    </w:p>
    <w:p w:rsidR="00F77C82" w:rsidRDefault="00F77C82">
      <w:r>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w:t>
      </w:r>
      <w:proofErr w:type="spellStart"/>
      <w:r w:rsidRPr="00332C9D">
        <w:rPr>
          <w:rFonts w:ascii="Courier New" w:hAnsi="Courier New" w:cs="Courier New"/>
          <w:b/>
          <w:color w:val="0000FF"/>
          <w:sz w:val="18"/>
          <w:szCs w:val="18"/>
        </w:rPr>
        <w:t>stylesheet</w:t>
      </w:r>
      <w:proofErr w:type="spellEnd"/>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332C9D" w:rsidRDefault="00332C9D"/>
    <w:p w:rsidR="00F77C82" w:rsidRDefault="00F77C82">
      <w:pPr>
        <w:pStyle w:val="Heading3"/>
        <w:tabs>
          <w:tab w:val="left" w:pos="567"/>
        </w:tabs>
        <w:ind w:left="426" w:hanging="426"/>
      </w:pPr>
      <w:bookmarkStart w:id="77" w:name="_Ref347248442"/>
      <w:bookmarkStart w:id="78" w:name="_Toc377318970"/>
      <w:r>
        <w:t>punch.xsl, punchout.bat</w:t>
      </w:r>
      <w:bookmarkEnd w:id="77"/>
      <w:bookmarkEnd w:id="78"/>
    </w:p>
    <w:p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6" w:history="1">
        <w:proofErr w:type="spellStart"/>
        <w:proofErr w:type="gramStart"/>
        <w:r w:rsidR="00F77C82" w:rsidRPr="003F4B89">
          <w:rPr>
            <w:rStyle w:val="Hyperlink"/>
          </w:rPr>
          <w:t>saxon</w:t>
        </w:r>
        <w:proofErr w:type="spellEnd"/>
        <w:proofErr w:type="gramEnd"/>
      </w:hyperlink>
      <w:r w:rsidR="00F77C82">
        <w:t xml:space="preserve"> or </w:t>
      </w:r>
      <w:hyperlink r:id="rId27"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rsidR="00F77C82" w:rsidRPr="00C05534" w:rsidRDefault="00F77C82" w:rsidP="00C05534">
      <w:pPr>
        <w:pStyle w:val="Heading1"/>
      </w:pPr>
      <w:bookmarkStart w:id="79" w:name="_Ref206915297"/>
      <w:bookmarkStart w:id="80" w:name="_Toc377318971"/>
      <w:r w:rsidRPr="00C05534">
        <w:lastRenderedPageBreak/>
        <w:t>Test Suite</w:t>
      </w:r>
      <w:bookmarkEnd w:id="79"/>
      <w:bookmarkEnd w:id="80"/>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1" w:name="_Ref316226934"/>
      <w:bookmarkStart w:id="82" w:name="_Toc377318972"/>
      <w:proofErr w:type="spellStart"/>
      <w:r w:rsidRPr="00246233">
        <w:t>MesmerQA</w:t>
      </w:r>
      <w:bookmarkEnd w:id="81"/>
      <w:bookmarkEnd w:id="82"/>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3" w:name="_Toc377318973"/>
      <w:r w:rsidRPr="0082158A">
        <w:lastRenderedPageBreak/>
        <w:t>1</w:t>
      </w:r>
      <w:r w:rsidR="00F77C82">
        <w:t>-Pentyl Isomerization</w:t>
      </w:r>
      <w:bookmarkEnd w:id="83"/>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4" w:name="_Toc377318974"/>
      <w:proofErr w:type="spellStart"/>
      <w:r w:rsidRPr="00F66AB7">
        <w:lastRenderedPageBreak/>
        <w:t>Cyclopropene</w:t>
      </w:r>
      <w:proofErr w:type="spellEnd"/>
      <w:r w:rsidRPr="00F66AB7">
        <w:t xml:space="preserve"> Isomerization + Reservoir State</w:t>
      </w:r>
      <w:bookmarkEnd w:id="84"/>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 xml:space="preserve">the </w:t>
      </w:r>
      <w:proofErr w:type="spellStart"/>
      <w:r>
        <w:t>cyclopropene</w:t>
      </w:r>
      <w:proofErr w:type="spellEnd"/>
      <w:r>
        <w:t xml:space="preserv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C5162B">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5" w:name="_Toc377318975"/>
      <w:r w:rsidRPr="00F66AB7">
        <w:lastRenderedPageBreak/>
        <w:t>H + SO</w:t>
      </w:r>
      <w:r w:rsidRPr="007D5484">
        <w:rPr>
          <w:vertAlign w:val="subscript"/>
        </w:rPr>
        <w:t>2</w:t>
      </w:r>
      <w:bookmarkEnd w:id="85"/>
    </w:p>
    <w:p w:rsidR="00F77C82" w:rsidRDefault="00CE39BB">
      <w:pPr>
        <w:keepNext/>
        <w:jc w:val="center"/>
      </w:pPr>
      <w:r>
        <w:rPr>
          <w:noProof/>
          <w:lang w:eastAsia="en-GB"/>
        </w:rPr>
        <w:drawing>
          <wp:inline distT="0" distB="0" distL="0" distR="0" wp14:anchorId="4F688E68" wp14:editId="792C0EAF">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86" w:name="_Toc377318976"/>
      <w:r w:rsidRPr="00F66AB7">
        <w:lastRenderedPageBreak/>
        <w:t>OH + C</w:t>
      </w:r>
      <w:r w:rsidRPr="00B35D94">
        <w:rPr>
          <w:vertAlign w:val="subscript"/>
        </w:rPr>
        <w:t>2</w:t>
      </w:r>
      <w:r w:rsidRPr="00F66AB7">
        <w:t>H</w:t>
      </w:r>
      <w:r w:rsidRPr="00B35D94">
        <w:rPr>
          <w:vertAlign w:val="subscript"/>
        </w:rPr>
        <w:t>2</w:t>
      </w:r>
      <w:bookmarkEnd w:id="86"/>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7" w:name="_Ref353724186"/>
      <w:bookmarkStart w:id="88" w:name="_Toc37731897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7"/>
      <w:bookmarkEnd w:id="88"/>
    </w:p>
    <w:p w:rsidR="00F77C82" w:rsidRDefault="00F77C82"/>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15696B">
      <w:pPr>
        <w:pStyle w:val="Heading3"/>
      </w:pPr>
      <w:bookmarkStart w:id="89" w:name="_Toc377318978"/>
      <w:r w:rsidRPr="0015696B">
        <w:lastRenderedPageBreak/>
        <w:t>2</w:t>
      </w:r>
      <w:r w:rsidR="00F77C82">
        <w:t>-propyl</w:t>
      </w:r>
      <w:r>
        <w:t xml:space="preserve"> (</w:t>
      </w:r>
      <w:proofErr w:type="spellStart"/>
      <w:r>
        <w:rPr>
          <w:i/>
        </w:rPr>
        <w:t>i</w:t>
      </w:r>
      <w:proofErr w:type="spellEnd"/>
      <w:r>
        <w:rPr>
          <w:i/>
        </w:rPr>
        <w:t>-</w:t>
      </w:r>
      <w:r>
        <w:t>propyl)</w:t>
      </w:r>
      <w:bookmarkEnd w:id="89"/>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proofErr w:type="spellStart"/>
      <w:r w:rsidR="0015696B">
        <w:rPr>
          <w:i/>
        </w:rPr>
        <w:t>i</w:t>
      </w:r>
      <w:proofErr w:type="spellEnd"/>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90" w:name="_Toc377318979"/>
      <w:r>
        <w:t>Benzene-OH Oxidation</w:t>
      </w:r>
      <w:bookmarkEnd w:id="90"/>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Default="00225ECE" w:rsidP="00225ECE">
      <w:pPr>
        <w:pStyle w:val="figurecaption"/>
        <w:rPr>
          <w:vertAlign w:val="subscript"/>
        </w:rPr>
      </w:pPr>
      <w:r>
        <w:lastRenderedPageBreak/>
        <w:t>Figure 10: PES for benzene-OH + O</w:t>
      </w:r>
      <w:r>
        <w:rPr>
          <w:vertAlign w:val="subscript"/>
        </w:rPr>
        <w:t>2</w:t>
      </w:r>
    </w:p>
    <w:p w:rsidR="00225ECE" w:rsidRDefault="00225ECE" w:rsidP="00225ECE"/>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91" w:name="_Toc377318980"/>
      <w:r>
        <w:t>Thermodynamic Table</w:t>
      </w:r>
      <w:bookmarkEnd w:id="91"/>
    </w:p>
    <w:p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6" type="#_x0000_t75" style="width:101.95pt;height:14.4pt" o:ole="">
            <v:imagedata r:id="rId35" o:title=""/>
          </v:shape>
          <o:OLEObject Type="Embed" ProgID="Equation.3" ShapeID="_x0000_i1026" DrawAspect="Content" ObjectID="_1452370929" r:id="rId36"/>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5B07D2" w:rsidRDefault="005B07D2" w:rsidP="005B07D2">
      <w:pPr>
        <w:pStyle w:val="Heading3"/>
      </w:pPr>
      <w:bookmarkStart w:id="92" w:name="_Toc377318981"/>
      <w:proofErr w:type="spellStart"/>
      <w:r>
        <w:t>UnitTests</w:t>
      </w:r>
      <w:bookmarkEnd w:id="92"/>
      <w:proofErr w:type="spellEnd"/>
      <w:r w:rsidR="00FA7964">
        <w:t xml:space="preserve"> </w:t>
      </w:r>
    </w:p>
    <w:p w:rsidR="00F85358" w:rsidRDefault="005B07D2">
      <w:r>
        <w:t>This is a set of tests that are used by developers during MESMER development and are used to test some lower level aspects of MESMER.</w:t>
      </w:r>
    </w:p>
    <w:p w:rsidR="00F77C82" w:rsidRPr="00246233" w:rsidRDefault="00F77C82" w:rsidP="00F66AB7">
      <w:pPr>
        <w:pStyle w:val="Heading2"/>
      </w:pPr>
      <w:bookmarkStart w:id="93" w:name="_Toc377318982"/>
      <w:r w:rsidRPr="00246233">
        <w:t>Examples</w:t>
      </w:r>
      <w:bookmarkEnd w:id="93"/>
    </w:p>
    <w:p w:rsidR="00290667" w:rsidRDefault="00F77C82">
      <w:r>
        <w:t xml:space="preserve">Some of the systems in the examples folder are discussed below. The list is not complete as it is expected that the number systems will increase with time.  </w:t>
      </w:r>
    </w:p>
    <w:p w:rsidR="00F77C82" w:rsidRDefault="002F6987">
      <w:pPr>
        <w:pStyle w:val="Heading3"/>
      </w:pPr>
      <w:bookmarkStart w:id="94" w:name="_Toc377318983"/>
      <w:r>
        <w:rPr>
          <w:i/>
        </w:rPr>
        <w:t>‘</w:t>
      </w:r>
      <w:proofErr w:type="spellStart"/>
      <w:r w:rsidR="00F77C82" w:rsidRPr="00F85358">
        <w:rPr>
          <w:i/>
        </w:rPr>
        <w:t>i</w:t>
      </w:r>
      <w:proofErr w:type="spellEnd"/>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4"/>
    </w:p>
    <w:p w:rsidR="00786573"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4B4C36" w:rsidRDefault="00786573" w:rsidP="004B4C36">
      <w:pPr>
        <w:pStyle w:val="Heading3"/>
      </w:pPr>
      <w:bookmarkStart w:id="95" w:name="_Toc377318984"/>
      <w:r>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5"/>
    </w:p>
    <w:p w:rsidR="00786573"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4B4C36" w:rsidRDefault="002F6987" w:rsidP="008242A4">
      <w:pPr>
        <w:pStyle w:val="Heading3"/>
      </w:pPr>
      <w:bookmarkStart w:id="96" w:name="_Toc377318985"/>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6"/>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786573" w:rsidRDefault="00E83B68">
      <w:r>
        <w:lastRenderedPageBreak/>
        <w:t xml:space="preserve">They both fit the data obtained by </w:t>
      </w:r>
      <w:proofErr w:type="spellStart"/>
      <w:r w:rsidRPr="00E83B68">
        <w:t>Brouard</w:t>
      </w:r>
      <w:proofErr w:type="spellEnd"/>
      <w:r w:rsidRPr="00E83B68">
        <w:t xml:space="preserve">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proofErr w:type="spellStart"/>
      <w:r w:rsidRPr="008242A4">
        <w:rPr>
          <w:rFonts w:ascii="Courier New" w:hAnsi="Courier New" w:cs="Courier New"/>
          <w:color w:val="FF0000"/>
        </w:rPr>
        <w:t>Methyl_H_to</w:t>
      </w:r>
      <w:proofErr w:type="spellEnd"/>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w:t>
      </w:r>
      <w:proofErr w:type="spellStart"/>
      <w:r>
        <w:t>precomputed</w:t>
      </w:r>
      <w:proofErr w:type="spellEnd"/>
      <w:r>
        <w:t xml:space="preserve"> transition state sums states obtained by </w:t>
      </w:r>
      <w:proofErr w:type="spellStart"/>
      <w:r w:rsidRPr="00E83B68">
        <w:t>Aubanel</w:t>
      </w:r>
      <w:proofErr w:type="spellEnd"/>
      <w:r w:rsidRPr="00E83B68">
        <w:t xml:space="preserve"> and  </w:t>
      </w:r>
      <w:proofErr w:type="spellStart"/>
      <w:r w:rsidRPr="00E83B68">
        <w:t>Ward</w:t>
      </w:r>
      <w:r w:rsidR="00861E47">
        <w:t>law</w:t>
      </w:r>
      <w:proofErr w:type="spellEnd"/>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7" w:name="_Toc377318986"/>
      <w:r>
        <w:t>Spin Forbidden Test Systems</w:t>
      </w:r>
      <w:bookmarkEnd w:id="97"/>
    </w:p>
    <w:p w:rsidR="00F77C82" w:rsidRDefault="00F77C82">
      <w:r>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w:t>
      </w:r>
      <w:proofErr w:type="spellStart"/>
      <w:r>
        <w:t>Aschi</w:t>
      </w:r>
      <w:proofErr w:type="spellEnd"/>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98" w:name="_Toc377318987"/>
      <w:r w:rsidRPr="00C05534">
        <w:lastRenderedPageBreak/>
        <w:t>Adding Functionality to MESMER</w:t>
      </w:r>
      <w:bookmarkEnd w:id="98"/>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\plugins\ExponentialDown.cpp</w:t>
      </w:r>
      <w:r w:rsidR="00F77C82">
        <w:rPr>
          <w:szCs w:val="24"/>
        </w:rPr>
        <w:t xml:space="preserve">: contains the definition and the implementation of the </w:t>
      </w:r>
      <w:proofErr w:type="spellStart"/>
      <w:r w:rsidRPr="00BF27D1">
        <w:rPr>
          <w:rFonts w:ascii="Courier New" w:hAnsi="Courier New" w:cs="Courier New"/>
          <w:color w:val="FF0000"/>
          <w:sz w:val="20"/>
          <w:lang w:val="en-US"/>
        </w:rPr>
        <w:t>ExponentialDown</w:t>
      </w:r>
      <w:proofErr w:type="spellEnd"/>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9" w:name="_Toc377318988"/>
      <w:bookmarkStart w:id="100" w:name="_Ref277428806"/>
      <w:bookmarkStart w:id="101" w:name="_Ref277416966"/>
      <w:r w:rsidRPr="00246233">
        <w:t>Data Access</w:t>
      </w:r>
      <w:bookmarkEnd w:id="99"/>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2" w:name="_Toc377318989"/>
      <w:proofErr w:type="spellStart"/>
      <w:r>
        <w:t>XmlMoveTo</w:t>
      </w:r>
      <w:bookmarkEnd w:id="102"/>
      <w:proofErr w:type="spellEnd"/>
    </w:p>
    <w:p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roofErr w:type="spellStart"/>
      <w:r w:rsidR="00F77C82">
        <w:rPr>
          <w:rFonts w:ascii="Courier New" w:hAnsi="Courier New" w:cs="Courier New"/>
          <w:sz w:val="20"/>
        </w:rPr>
        <w:t>std</w:t>
      </w:r>
      <w:proofErr w:type="spellEnd"/>
      <w:r w:rsidR="00F77C82">
        <w:rPr>
          <w:rFonts w:ascii="Courier New" w:hAnsi="Courier New" w:cs="Courier New"/>
          <w:sz w:val="20"/>
        </w:rPr>
        <w:t>::string&amp;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3" w:name="_Toc377318990"/>
      <w:proofErr w:type="spellStart"/>
      <w:r>
        <w:t>XmlRead</w:t>
      </w:r>
      <w:bookmarkEnd w:id="103"/>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4" w:name="_Toc377318991"/>
      <w:proofErr w:type="spellStart"/>
      <w:r>
        <w:t>XmlReadValue</w:t>
      </w:r>
      <w:bookmarkEnd w:id="10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5" w:name="_Toc377318992"/>
      <w:proofErr w:type="spellStart"/>
      <w:r>
        <w:lastRenderedPageBreak/>
        <w:t>XmlReadDouble</w:t>
      </w:r>
      <w:bookmarkEnd w:id="105"/>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6" w:name="_Toc377318993"/>
      <w:proofErr w:type="spellStart"/>
      <w:r>
        <w:t>XmlReadInteger</w:t>
      </w:r>
      <w:bookmarkEnd w:id="106"/>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proofErr w:type="spellStart"/>
      <w:r w:rsidRPr="00391CEA">
        <w:rPr>
          <w:rFonts w:ascii="Courier New" w:hAnsi="Courier New" w:cs="Courier New"/>
          <w:sz w:val="20"/>
        </w:rPr>
        <w:t>MustBeThere</w:t>
      </w:r>
      <w:proofErr w:type="spellEnd"/>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7" w:name="_Toc377318994"/>
      <w:proofErr w:type="spellStart"/>
      <w:r>
        <w:t>XmlReadBoolean</w:t>
      </w:r>
      <w:bookmarkEnd w:id="107"/>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sidR="00592261" w:rsidRPr="00391CEA">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8" w:name="_Ref376099370"/>
      <w:bookmarkStart w:id="109" w:name="_Toc377318995"/>
      <w:r w:rsidRPr="00246233">
        <w:lastRenderedPageBreak/>
        <w:t>Plug-in Classes</w:t>
      </w:r>
      <w:bookmarkEnd w:id="108"/>
      <w:bookmarkEnd w:id="109"/>
    </w:p>
    <w:p w:rsidR="00F77C82" w:rsidRDefault="00F77C82">
      <w:pPr>
        <w:pStyle w:val="Heading3"/>
        <w:tabs>
          <w:tab w:val="left" w:pos="567"/>
        </w:tabs>
        <w:ind w:left="426" w:hanging="426"/>
      </w:pPr>
      <w:bookmarkStart w:id="110" w:name="_Ref376106032"/>
      <w:bookmarkStart w:id="111" w:name="_Toc377318996"/>
      <w:r>
        <w:t>Calculation Methods</w:t>
      </w:r>
      <w:bookmarkEnd w:id="100"/>
      <w:bookmarkEnd w:id="110"/>
      <w:bookmarkEnd w:id="111"/>
    </w:p>
    <w:p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proofErr w:type="spellStart"/>
      <w:proofErr w:type="gramStart"/>
      <w:r w:rsidRPr="00C767E1">
        <w:rPr>
          <w:rFonts w:ascii="Courier New" w:hAnsi="Courier New" w:cs="Courier New"/>
          <w:color w:val="FF0000"/>
        </w:rPr>
        <w:t>analyticalRepresentation</w:t>
      </w:r>
      <w:proofErr w:type="spellEnd"/>
      <w:proofErr w:type="gramEnd"/>
      <w:r>
        <w:t xml:space="preserve">: This class calculates an analytic representation of the rate coefficients based on </w:t>
      </w:r>
      <w:proofErr w:type="spellStart"/>
      <w:r>
        <w:t>Chebyshev</w:t>
      </w:r>
      <w:proofErr w:type="spellEnd"/>
      <w:r>
        <w:t xml:space="preserve"> polynomials</w:t>
      </w:r>
      <w:r w:rsidR="006A50D9">
        <w:t>, for a specified ranges of temperature and 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me:calcMethod</w:t>
      </w:r>
      <w:proofErr w:type="spell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spellEnd"/>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roofErr w:type="spellStart"/>
      <w:r>
        <w:rPr>
          <w:rFonts w:ascii="Courier New" w:hAnsi="Courier New" w:cs="Courier New"/>
          <w:sz w:val="18"/>
          <w:szCs w:val="18"/>
          <w:lang w:eastAsia="en-GB"/>
        </w:rPr>
        <w:t>dd</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me:chebNumConc</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me:chebNumConc</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me:chebMaxTemp</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me:chebMaxTemp</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me:chebMinTemp</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me:chebMinTemp</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me:chebMaxConc</w:t>
      </w:r>
      <w:proofErr w:type="spellEnd"/>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atm</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proofErr w:type="spellStart"/>
      <w:r w:rsidRPr="00C767E1">
        <w:rPr>
          <w:rFonts w:ascii="Courier New" w:hAnsi="Courier New" w:cs="Courier New"/>
          <w:color w:val="A31515"/>
          <w:sz w:val="18"/>
          <w:szCs w:val="18"/>
          <w:lang w:eastAsia="en-GB"/>
        </w:rPr>
        <w:t>me:chebMaxConc</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me:chebMinConc</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me:chebMinConc</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me:chebTExSize</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me:chebTExSize</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me:chebPExSize</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me:chebPExSize</w:t>
      </w:r>
      <w:proofErr w:type="spellEnd"/>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me:calcMethod</w:t>
      </w:r>
      <w:proofErr w:type="spellEnd"/>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 xml:space="preserve">specifies the format which the </w:t>
      </w:r>
      <w:proofErr w:type="spellStart"/>
      <w:r>
        <w:t>C</w:t>
      </w:r>
      <w:r w:rsidR="00A03B16">
        <w:t>hebyshev</w:t>
      </w:r>
      <w:proofErr w:type="spellEnd"/>
      <w:r w:rsidR="00A03B16">
        <w:t xml:space="preserve"> coefficients should be </w:t>
      </w:r>
      <w:r w:rsidR="006A50D9">
        <w:t xml:space="preserve">written out in. There are at present two </w:t>
      </w:r>
      <w:r w:rsidR="006F6E85">
        <w:t>formats are supported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w:t>
      </w:r>
      <w:proofErr w:type="spellStart"/>
      <w:r w:rsidR="00A45C48">
        <w:t>Cantera</w:t>
      </w:r>
      <w:proofErr w:type="spellEnd"/>
      <w:r w:rsidR="00A45C48">
        <w:t xml:space="preserve">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t>8.4</w:t>
            </w:r>
            <w:r>
              <w:fldChar w:fldCharType="end"/>
            </w:r>
            <w:r>
              <w:t>.</w:t>
            </w:r>
          </w:p>
        </w:tc>
      </w:tr>
      <w:tr w:rsidR="00A45C48" w:rsidTr="00A45C48">
        <w:tc>
          <w:tcPr>
            <w:tcW w:w="2235" w:type="dxa"/>
          </w:tcPr>
          <w:p w:rsidR="00A45C48" w:rsidRDefault="00A45C48">
            <w:proofErr w:type="spellStart"/>
            <w:r w:rsidRPr="00C767E1">
              <w:rPr>
                <w:rFonts w:ascii="Courier New" w:hAnsi="Courier New" w:cs="Courier New"/>
                <w:color w:val="A31515"/>
                <w:sz w:val="18"/>
                <w:szCs w:val="18"/>
                <w:lang w:eastAsia="en-GB"/>
              </w:rPr>
              <w:t>me:chebNumTemp</w:t>
            </w:r>
            <w:proofErr w:type="spellEnd"/>
          </w:p>
        </w:tc>
        <w:tc>
          <w:tcPr>
            <w:tcW w:w="7051" w:type="dxa"/>
          </w:tcPr>
          <w:p w:rsidR="00A45C48" w:rsidRDefault="00A45C48">
            <w:r>
              <w:t xml:space="preserve">Number of temperature points at which rate coefficients are to </w:t>
            </w:r>
            <w:r>
              <w:lastRenderedPageBreak/>
              <w:t xml:space="preserve">calculated and used in the generation of the analytical representation. </w:t>
            </w:r>
          </w:p>
        </w:tc>
      </w:tr>
      <w:tr w:rsidR="00A45C48" w:rsidTr="00A45C48">
        <w:tc>
          <w:tcPr>
            <w:tcW w:w="2235" w:type="dxa"/>
          </w:tcPr>
          <w:p w:rsidR="00A45C48" w:rsidRDefault="00A45C48">
            <w:proofErr w:type="spellStart"/>
            <w:r w:rsidRPr="00C767E1">
              <w:rPr>
                <w:rFonts w:ascii="Courier New" w:hAnsi="Courier New" w:cs="Courier New"/>
                <w:color w:val="A31515"/>
                <w:sz w:val="18"/>
                <w:szCs w:val="18"/>
                <w:lang w:eastAsia="en-GB"/>
              </w:rPr>
              <w:lastRenderedPageBreak/>
              <w:t>me:chebNumConc</w:t>
            </w:r>
            <w:proofErr w:type="spellEnd"/>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7051" w:type="dxa"/>
          </w:tcPr>
          <w:p w:rsidR="008E64FB" w:rsidRDefault="008E64FB" w:rsidP="008E64FB">
            <w:r>
              <w:t xml:space="preserve">The maximum and minimum temperatures of the fit. The fit is undefined outside of this region. Execution will halt if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rsidTr="00A45C48">
        <w:tc>
          <w:tcPr>
            <w:tcW w:w="2235" w:type="dxa"/>
          </w:tcPr>
          <w:p w:rsidR="008E64FB" w:rsidRDefault="008E64FB">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rsidTr="00A45C48">
        <w:tc>
          <w:tcPr>
            <w:tcW w:w="2235" w:type="dxa"/>
          </w:tcPr>
          <w:p w:rsidR="008E64FB" w:rsidRDefault="00A03B16">
            <w:proofErr w:type="spellStart"/>
            <w:r w:rsidRPr="00C767E1">
              <w:rPr>
                <w:rFonts w:ascii="Courier New" w:hAnsi="Courier New" w:cs="Courier New"/>
                <w:color w:val="A31515"/>
                <w:sz w:val="18"/>
                <w:szCs w:val="18"/>
                <w:lang w:eastAsia="en-GB"/>
              </w:rPr>
              <w:t>me:chebTExSize</w:t>
            </w:r>
            <w:proofErr w:type="spellEnd"/>
          </w:p>
        </w:tc>
        <w:tc>
          <w:tcPr>
            <w:tcW w:w="7051" w:type="dxa"/>
          </w:tcPr>
          <w:p w:rsidR="008E64FB" w:rsidRDefault="00A03B16" w:rsidP="00A03B16">
            <w:r>
              <w:t xml:space="preserve">The number </w:t>
            </w:r>
            <w:proofErr w:type="spellStart"/>
            <w:r>
              <w:t>Chebyshev</w:t>
            </w:r>
            <w:proofErr w:type="spellEnd"/>
            <w:r>
              <w:t xml:space="preserve">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me:chebTExSize</w:t>
            </w:r>
            <w:proofErr w:type="spell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rsidTr="00A45C48">
        <w:tc>
          <w:tcPr>
            <w:tcW w:w="2235" w:type="dxa"/>
          </w:tcPr>
          <w:p w:rsidR="00A03B16" w:rsidRDefault="00A03B16">
            <w:proofErr w:type="spellStart"/>
            <w:r w:rsidRPr="00C767E1">
              <w:rPr>
                <w:rFonts w:ascii="Courier New" w:hAnsi="Courier New" w:cs="Courier New"/>
                <w:color w:val="A31515"/>
                <w:sz w:val="18"/>
                <w:szCs w:val="18"/>
                <w:lang w:eastAsia="en-GB"/>
              </w:rPr>
              <w:t>me:chebPExSize</w:t>
            </w:r>
            <w:proofErr w:type="spellEnd"/>
          </w:p>
        </w:tc>
        <w:tc>
          <w:tcPr>
            <w:tcW w:w="7051" w:type="dxa"/>
          </w:tcPr>
          <w:p w:rsidR="00A03B16" w:rsidRDefault="00A03B16" w:rsidP="00A03B16">
            <w:r>
              <w:t xml:space="preserve">The number </w:t>
            </w:r>
            <w:proofErr w:type="spellStart"/>
            <w:r>
              <w:t>Chebyshev</w:t>
            </w:r>
            <w:proofErr w:type="spellEnd"/>
            <w:r>
              <w:t xml:space="preserve">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me:chebPExSize</w:t>
            </w:r>
            <w:proofErr w:type="spell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 xml:space="preserve">Details of the </w:t>
      </w:r>
      <w:proofErr w:type="spellStart"/>
      <w:r w:rsidRPr="00A03B16">
        <w:rPr>
          <w:sz w:val="20"/>
        </w:rPr>
        <w:t>Chebyshev</w:t>
      </w:r>
      <w:proofErr w:type="spellEnd"/>
      <w:r w:rsidRPr="00A03B16">
        <w:rPr>
          <w:sz w:val="20"/>
        </w:rPr>
        <w:t xml:space="preserve">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4C74E7" w:rsidRDefault="001C12F6">
      <w:r w:rsidRPr="001C12F6">
        <w:t xml:space="preserve">At </w:t>
      </w:r>
      <w:r>
        <w:t>present the allowed units are kcal/</w:t>
      </w:r>
      <w:proofErr w:type="spellStart"/>
      <w:r w:rsidR="004C74E7">
        <w:t>m</w:t>
      </w:r>
      <w:r>
        <w:t>ol</w:t>
      </w:r>
      <w:proofErr w:type="spellEnd"/>
      <w:r>
        <w:t xml:space="preserve">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12" w:name="_Toc377318997"/>
      <w:r>
        <w:lastRenderedPageBreak/>
        <w:t>Collisional Energy Transfer Models</w:t>
      </w:r>
      <w:bookmarkEnd w:id="112"/>
    </w:p>
    <w:p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F070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spellEnd"/>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me:deltaEDown</w:t>
      </w:r>
      <w:proofErr w:type="spellEnd"/>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spellEnd"/>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spellEnd"/>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me:deltaEDown</w:t>
      </w:r>
      <w:proofErr w:type="spellEnd"/>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proofErr w:type="spellStart"/>
      <w:r w:rsidR="00EF0624" w:rsidRPr="00EF062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me:deltaEDownTExponent</w:t>
      </w:r>
      <w:proofErr w:type="spellEnd"/>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proofErr w:type="spellStart"/>
      <w:r w:rsidR="00EF0624" w:rsidRPr="00557FD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3" w:name="_Ref345764698"/>
      <w:bookmarkStart w:id="114" w:name="_Ref345765223"/>
      <w:bookmarkStart w:id="115" w:name="_Ref345772888"/>
      <w:bookmarkStart w:id="116" w:name="_Toc377318998"/>
      <w:r>
        <w:t>Density of States</w:t>
      </w:r>
      <w:bookmarkEnd w:id="101"/>
      <w:bookmarkEnd w:id="113"/>
      <w:bookmarkEnd w:id="114"/>
      <w:bookmarkEnd w:id="115"/>
      <w:bookmarkEnd w:id="116"/>
    </w:p>
    <w:p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 xml:space="preserve">amiltonian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07FC">
            <w:pPr>
              <w:rPr>
                <w:b/>
              </w:rPr>
            </w:pPr>
            <w:r>
              <w:t>(11.3)</w:t>
            </w:r>
          </w:p>
        </w:tc>
      </w:tr>
    </w:tbl>
    <w:p w:rsidR="00F77C82" w:rsidRDefault="00F77C82">
      <w:proofErr w:type="gramStart"/>
      <w:r>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610BF6">
            <w:pPr>
              <w:rPr>
                <w:b/>
              </w:rPr>
            </w:pPr>
            <w:r>
              <w:t>(11.4)</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07FC">
            <w:pPr>
              <w:rPr>
                <w:b/>
              </w:rPr>
            </w:pPr>
            <w:r>
              <w:t>(11.5)</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07FC">
            <w:pPr>
              <w:rPr>
                <w:b/>
              </w:rPr>
            </w:pPr>
            <w:r>
              <w:t>(11.6)</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w:t>
      </w:r>
      <w:proofErr w:type="spellStart"/>
      <w:r>
        <w:rPr>
          <w:szCs w:val="24"/>
        </w:rPr>
        <w:t>anharmonicity</w:t>
      </w:r>
      <w:proofErr w:type="spellEnd"/>
      <w:r>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anharmonicity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lastRenderedPageBreak/>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proofErr w:type="spellStart"/>
      <w:r w:rsidRPr="004C74E7">
        <w:rPr>
          <w:rFonts w:ascii="Courier New" w:hAnsi="Courier New" w:cs="Courier New"/>
          <w:color w:val="FF0000"/>
          <w:sz w:val="20"/>
          <w:lang w:eastAsia="en-GB"/>
        </w:rPr>
        <w:t>anharmonicity</w:t>
      </w:r>
      <w:proofErr w:type="spellEnd"/>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7" w:name="_Ref344830943"/>
      <w:bookmarkStart w:id="118" w:name="_Toc377318999"/>
      <w:r>
        <w:t>Microcanonical Rates</w:t>
      </w:r>
      <w:bookmarkEnd w:id="117"/>
      <w:bookmarkEnd w:id="118"/>
      <w:r>
        <w:t xml:space="preserve"> </w:t>
      </w:r>
    </w:p>
    <w:p w:rsidR="00F77C82" w:rsidRDefault="00F77C82">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proofErr w:type="spellStart"/>
      <w:r w:rsidRPr="000222DF">
        <w:rPr>
          <w:rFonts w:ascii="Courier New" w:hAnsi="Courier New" w:cs="Courier New"/>
          <w:color w:val="A31515"/>
          <w:sz w:val="16"/>
          <w:szCs w:val="16"/>
          <w:lang w:eastAsia="en-GB"/>
        </w:rPr>
        <w:t>me:SumOfStates</w:t>
      </w:r>
      <w:proofErr w:type="spellEnd"/>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angularMomentum</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noLogSpline</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proofErr w:type="spellStart"/>
      <w:r w:rsidRPr="00592261">
        <w:rPr>
          <w:rFonts w:ascii="Courier New" w:hAnsi="Courier New" w:cs="Courier New"/>
          <w:color w:val="FF0000"/>
          <w:sz w:val="18"/>
          <w:szCs w:val="18"/>
          <w:lang w:eastAsia="en-GB"/>
        </w:rPr>
        <w:t>angMomMag</w:t>
      </w:r>
      <w:proofErr w:type="spellEnd"/>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proofErr w:type="spellStart"/>
      <w:r w:rsidRPr="00592261">
        <w:rPr>
          <w:rFonts w:ascii="Courier New" w:hAnsi="Courier New" w:cs="Courier New"/>
          <w:color w:val="A31515"/>
          <w:sz w:val="18"/>
          <w:szCs w:val="18"/>
          <w:lang w:eastAsia="en-GB"/>
        </w:rPr>
        <w:t>me:SumOfStatesPoint</w:t>
      </w:r>
      <w:proofErr w:type="spellEnd"/>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w:t>
      </w:r>
      <w:r w:rsidR="002A4536">
        <w:rPr>
          <w:szCs w:val="24"/>
        </w:rPr>
        <w:lastRenderedPageBreak/>
        <w:t xml:space="preserve">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proofErr w:type="spellStart"/>
      <w:r w:rsidR="00E35EF8" w:rsidRPr="00E35EF8">
        <w:rPr>
          <w:szCs w:val="24"/>
        </w:rPr>
        <w:t>Methyl_H_to_Methane</w:t>
      </w:r>
      <w:proofErr w:type="spellEnd"/>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9" w:name="_Toc377319000"/>
      <w:r>
        <w:t>Tunnel</w:t>
      </w:r>
      <w:r w:rsidR="007463C5">
        <w:t>l</w:t>
      </w:r>
      <w:r>
        <w:t>ing Corrections</w:t>
      </w:r>
      <w:bookmarkEnd w:id="119"/>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9C3F80">
        <w:rPr>
          <w:szCs w:val="24"/>
        </w:rPr>
        <w:t>this class</w:t>
      </w:r>
      <w:r w:rsidR="00F77C82">
        <w:rPr>
          <w:szCs w:val="24"/>
        </w:rPr>
        <w:t xml:space="preserve"> approximates tunnelling using a user defined potential according to a </w:t>
      </w:r>
      <w:proofErr w:type="spellStart"/>
      <w:r w:rsidR="00F77C82">
        <w:rPr>
          <w:szCs w:val="24"/>
        </w:rPr>
        <w:t>semiclassical</w:t>
      </w:r>
      <w:proofErr w:type="spellEnd"/>
      <w:r w:rsidR="00F77C82">
        <w:rPr>
          <w:szCs w:val="24"/>
        </w:rPr>
        <w:t xml:space="preserve">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proofErr w:type="spellStart"/>
      <w:r w:rsidR="00002487" w:rsidRPr="00D434D8">
        <w:rPr>
          <w:rFonts w:ascii="Courier New" w:hAnsi="Courier New" w:cs="Courier New"/>
          <w:noProof/>
          <w:color w:val="A31515"/>
          <w:sz w:val="20"/>
          <w:lang w:eastAsia="en-GB"/>
        </w:rPr>
        <w:t>me:tunneling</w:t>
      </w:r>
      <w:proofErr w:type="spellEnd"/>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 xml:space="preserve">Garrett and </w:t>
      </w:r>
      <w:proofErr w:type="spellStart"/>
      <w:r w:rsidR="00F77C82">
        <w:t>Truhlar</w:t>
      </w:r>
      <w:proofErr w:type="spellEnd"/>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proofErr w:type="spellStart"/>
      <w:r w:rsidR="00F77C82">
        <w:rPr>
          <w:rFonts w:ascii="Courier New" w:hAnsi="Courier New" w:cs="Courier New"/>
          <w:color w:val="A31515"/>
          <w:sz w:val="20"/>
        </w:rPr>
        <w:t>me:DOSCMethod</w:t>
      </w:r>
      <w:proofErr w:type="spellEnd"/>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proofErr w:type="spellStart"/>
      <w:r w:rsidRPr="007318A4">
        <w:rPr>
          <w:rFonts w:ascii="Courier New" w:hAnsi="Courier New" w:cs="Courier New"/>
          <w:color w:val="A31515"/>
          <w:sz w:val="18"/>
          <w:szCs w:val="18"/>
        </w:rPr>
        <w:t>me:IRCPotential</w:t>
      </w:r>
      <w:proofErr w:type="spellEnd"/>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w:t>
      </w:r>
      <w:proofErr w:type="spellStart"/>
      <w:r w:rsidRPr="007318A4">
        <w:rPr>
          <w:rFonts w:ascii="Courier New" w:hAnsi="Courier New" w:cs="Courier New"/>
          <w:color w:val="0000FF"/>
          <w:sz w:val="18"/>
          <w:szCs w:val="18"/>
        </w:rPr>
        <w:t>mol</w:t>
      </w:r>
      <w:proofErr w:type="spellEnd"/>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ReducedMass</w:t>
      </w:r>
      <w:proofErr w:type="spellEnd"/>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proofErr w:type="spellStart"/>
      <w:r w:rsidRPr="007318A4">
        <w:rPr>
          <w:rFonts w:ascii="Courier New" w:hAnsi="Courier New" w:cs="Courier New"/>
          <w:color w:val="A31515"/>
          <w:sz w:val="18"/>
          <w:szCs w:val="18"/>
        </w:rPr>
        <w:t>me:PotentialPoint</w:t>
      </w:r>
      <w:proofErr w:type="spellEnd"/>
      <w:r w:rsidRPr="007318A4">
        <w:rPr>
          <w:rFonts w:ascii="Courier New" w:hAnsi="Courier New" w:cs="Courier New"/>
          <w:color w:val="0000FF"/>
          <w:sz w:val="18"/>
          <w:szCs w:val="18"/>
        </w:rPr>
        <w:t xml:space="preserve"> </w:t>
      </w:r>
      <w:proofErr w:type="spellStart"/>
      <w:r w:rsidRPr="007318A4">
        <w:rPr>
          <w:rFonts w:ascii="Courier New" w:hAnsi="Courier New" w:cs="Courier New"/>
          <w:color w:val="FF0000"/>
          <w:sz w:val="18"/>
          <w:szCs w:val="18"/>
        </w:rPr>
        <w:t>ReacCoord</w:t>
      </w:r>
      <w:proofErr w:type="spellEnd"/>
      <w:r w:rsidRPr="007318A4">
        <w:rPr>
          <w:rFonts w:ascii="Courier New" w:hAnsi="Courier New" w:cs="Courier New"/>
          <w:color w:val="FF0000"/>
          <w:sz w:val="18"/>
          <w:szCs w:val="18"/>
        </w:rPr>
        <w:t>/m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 and is specified by</w:t>
      </w:r>
      <w:r w:rsidRPr="00D434D8">
        <w:rPr>
          <w:rFonts w:ascii="Courier New" w:hAnsi="Courier New" w:cs="Courier New"/>
          <w:noProof/>
          <w:color w:val="0000FF"/>
          <w:sz w:val="20"/>
          <w:lang w:eastAsia="en-GB"/>
        </w:rPr>
        <w:t>&lt;</w:t>
      </w:r>
      <w:proofErr w:type="spellStart"/>
      <w:r w:rsidRPr="00D434D8">
        <w:rPr>
          <w:rFonts w:ascii="Courier New" w:hAnsi="Courier New" w:cs="Courier New"/>
          <w:noProof/>
          <w:color w:val="A31515"/>
          <w:sz w:val="20"/>
          <w:lang w:eastAsia="en-GB"/>
        </w:rPr>
        <w:t>me:tunneling</w:t>
      </w:r>
      <w:proofErr w:type="spellEnd"/>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w:t>
      </w:r>
      <w:proofErr w:type="spellStart"/>
      <w:r w:rsidR="00002487">
        <w:t>tunneling</w:t>
      </w:r>
      <w:proofErr w:type="spellEnd"/>
      <w:r w:rsidR="00002487">
        <w:t xml:space="preserve"> coefficients should be defined after any </w:t>
      </w:r>
      <w:r w:rsidR="00002487">
        <w:rPr>
          <w:rFonts w:ascii="Courier New" w:hAnsi="Courier New" w:cs="Courier New"/>
          <w:color w:val="0000FF"/>
          <w:sz w:val="20"/>
        </w:rPr>
        <w:t>&lt;</w:t>
      </w:r>
      <w:proofErr w:type="spellStart"/>
      <w:r w:rsidR="00002487">
        <w:rPr>
          <w:rFonts w:ascii="Courier New" w:hAnsi="Courier New" w:cs="Courier New"/>
          <w:color w:val="A31515"/>
          <w:sz w:val="20"/>
        </w:rPr>
        <w:t>me:DOSCMethod</w:t>
      </w:r>
      <w:proofErr w:type="spellEnd"/>
      <w:r w:rsidR="00002487">
        <w:rPr>
          <w:rFonts w:ascii="Courier New" w:hAnsi="Courier New" w:cs="Courier New"/>
          <w:color w:val="0000FF"/>
          <w:sz w:val="20"/>
        </w:rPr>
        <w:t xml:space="preserve">&gt;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w:t>
      </w:r>
      <w:proofErr w:type="gramEnd"/>
      <w:r>
        <w:rPr>
          <w:rFonts w:ascii="Consolas" w:hAnsi="Consolas" w:cs="Consolas"/>
          <w:color w:val="A31515"/>
          <w:sz w:val="19"/>
          <w:szCs w:val="19"/>
          <w:lang w:eastAsia="en-GB"/>
        </w:rPr>
        <w:t>DefinedTunnelingCoefficients</w:t>
      </w:r>
      <w:proofErr w:type="spellEnd"/>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me:DefinedPE</w:t>
      </w:r>
      <w:proofErr w:type="spellEnd"/>
      <w:r w:rsidR="005825B7">
        <w:rPr>
          <w:rFonts w:ascii="Consolas" w:hAnsi="Consolas" w:cs="Consolas"/>
          <w:color w:val="0000FF"/>
          <w:sz w:val="19"/>
          <w:szCs w:val="19"/>
          <w:lang w:eastAsia="en-GB"/>
        </w:rPr>
        <w:t xml:space="preserve"> </w:t>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0</w:t>
      </w:r>
      <w:r>
        <w:rPr>
          <w:rFonts w:ascii="Consolas" w:hAnsi="Consolas" w:cs="Consolas"/>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pE</w:t>
      </w:r>
      <w:proofErr w:type="spellEnd"/>
      <w:r>
        <w:rPr>
          <w:rFonts w:ascii="Consolas" w:hAnsi="Consolas" w:cs="Consolas"/>
          <w:color w:val="0000FF"/>
          <w:sz w:val="19"/>
          <w:szCs w:val="19"/>
          <w:lang w:eastAsia="en-GB"/>
        </w:rPr>
        <w:t xml:space="preserve">= </w:t>
      </w:r>
      <w:r>
        <w:rPr>
          <w:rFonts w:ascii="Consolas" w:hAnsi="Consolas" w:cs="Consolas"/>
          <w:sz w:val="19"/>
          <w:szCs w:val="19"/>
          <w:lang w:eastAsia="en-GB"/>
        </w:rPr>
        <w:t>"</w:t>
      </w:r>
      <w:r w:rsidR="005825B7">
        <w:rPr>
          <w:rFonts w:ascii="Consolas" w:hAnsi="Consolas" w:cs="Consolas"/>
          <w:color w:val="0000FF"/>
          <w:sz w:val="19"/>
          <w:szCs w:val="19"/>
          <w:lang w:eastAsia="en-GB"/>
        </w:rPr>
        <w:t>3.96E-15</w:t>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w:t>
      </w:r>
      <w:proofErr w:type="spellStart"/>
      <w:r>
        <w:t>tunneling</w:t>
      </w:r>
      <w:proofErr w:type="spellEnd"/>
      <w:r>
        <w:t xml:space="preserve">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20" w:name="_Toc377319001"/>
      <w:r>
        <w:t>Spin Forbidden RRKM theory</w:t>
      </w:r>
      <w:bookmarkEnd w:id="120"/>
    </w:p>
    <w:p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CrossingCalculator</w:t>
      </w:r>
      <w:proofErr w:type="spellEnd"/>
      <w:r>
        <w:rPr>
          <w:szCs w:val="24"/>
        </w:rPr>
        <w:t xml:space="preserve">, which lives in </w:t>
      </w:r>
      <w:proofErr w:type="spellStart"/>
      <w:r w:rsidR="00592261" w:rsidRPr="00391CEA">
        <w:rPr>
          <w:rFonts w:ascii="Courier New" w:hAnsi="Courier New" w:cs="Courier New"/>
          <w:color w:val="FF0000"/>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r w:rsidR="007318A4">
        <w:rPr>
          <w:szCs w:val="24"/>
        </w:rPr>
        <w:t>.</w:t>
      </w:r>
      <w:proofErr w:type="gramEnd"/>
    </w:p>
    <w:p w:rsidR="007318A4"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21" w:name="_Ref345774704"/>
      <w:bookmarkStart w:id="122" w:name="_Toc377319002"/>
      <w:r>
        <w:lastRenderedPageBreak/>
        <w:t>Distribution Calculator</w:t>
      </w:r>
      <w:bookmarkEnd w:id="121"/>
      <w:bookmarkEnd w:id="122"/>
    </w:p>
    <w:p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r w:rsidR="0035469C">
        <w:rPr>
          <w:szCs w:val="24"/>
        </w:rPr>
        <w:t>is located</w:t>
      </w:r>
      <w:r>
        <w:rPr>
          <w:szCs w:val="24"/>
        </w:rPr>
        <w:t xml:space="preserve"> in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proofErr w:type="spellStart"/>
      <w:r w:rsidR="00592261" w:rsidRPr="00592261">
        <w:rPr>
          <w:rFonts w:ascii="Courier New" w:hAnsi="Courier New" w:cs="Courier New"/>
          <w:color w:val="A31515"/>
          <w:sz w:val="18"/>
          <w:szCs w:val="18"/>
          <w:lang w:eastAsia="en-GB"/>
        </w:rPr>
        <w:t>me:DistributionCalcMethod</w:t>
      </w:r>
      <w:proofErr w:type="spellEnd"/>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07FC">
            <w:pPr>
              <w:rPr>
                <w:b/>
              </w:rPr>
            </w:pPr>
            <w:r>
              <w:t>(11.7)</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07FC">
            <w:pPr>
              <w:rPr>
                <w:b/>
              </w:rPr>
            </w:pPr>
            <w:r>
              <w:t>(11.8)</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CoFragment</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proofErr w:type="spellStart"/>
      <w:r w:rsidRPr="007318A4">
        <w:rPr>
          <w:rFonts w:ascii="Courier New" w:hAnsi="Courier New" w:cs="Courier New"/>
          <w:color w:val="0000FF"/>
          <w:sz w:val="18"/>
          <w:szCs w:val="18"/>
          <w:lang w:eastAsia="en-GB"/>
        </w:rPr>
        <w:t>CoReact</w:t>
      </w:r>
      <w:proofErr w:type="spellEnd"/>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proofErr w:type="spellStart"/>
      <w:r w:rsidRPr="007318A4">
        <w:rPr>
          <w:rFonts w:ascii="Courier New" w:hAnsi="Courier New" w:cs="Courier New"/>
          <w:color w:val="FF0000"/>
          <w:sz w:val="18"/>
          <w:szCs w:val="18"/>
          <w:lang w:eastAsia="en-GB"/>
        </w:rPr>
        <w:t>EnergyExcess</w:t>
      </w:r>
      <w:proofErr w:type="spellEnd"/>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proofErr w:type="spellStart"/>
      <w:r w:rsidRPr="007318A4">
        <w:rPr>
          <w:rFonts w:ascii="Courier New" w:hAnsi="Courier New" w:cs="Courier New"/>
          <w:color w:val="A31515"/>
          <w:sz w:val="18"/>
          <w:szCs w:val="18"/>
          <w:lang w:eastAsia="en-GB"/>
        </w:rPr>
        <w:t>me:DistributionCalcMethod</w:t>
      </w:r>
      <w:proofErr w:type="spellEnd"/>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lastRenderedPageBreak/>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3" w:name="_Toc377319003"/>
      <w:r w:rsidRPr="00C05534">
        <w:lastRenderedPageBreak/>
        <w:t>MESMER FAQs</w:t>
      </w:r>
      <w:bookmarkEnd w:id="123"/>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5162B">
        <w:t>9.1.1.1</w:t>
      </w:r>
      <w:r w:rsidR="007A15CE">
        <w:fldChar w:fldCharType="end"/>
      </w:r>
    </w:p>
    <w:p w:rsidR="00F77C82" w:rsidRDefault="00F77C82">
      <w:pPr>
        <w:rPr>
          <w:b/>
        </w:rPr>
      </w:pPr>
      <w:r>
        <w:rPr>
          <w:b/>
        </w:rPr>
        <w:t xml:space="preserve">Q. What is </w:t>
      </w:r>
      <w:proofErr w:type="spellStart"/>
      <w:r>
        <w:rPr>
          <w:b/>
        </w:rPr>
        <w:t>conc</w:t>
      </w:r>
      <w:proofErr w:type="spellEnd"/>
      <w:r>
        <w:rPr>
          <w:b/>
        </w:rPr>
        <w:t>?</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CE14A5" w:rsidRDefault="00CE14A5">
      <w:pPr>
        <w:numPr>
          <w:ilvl w:val="0"/>
          <w:numId w:val="10"/>
        </w:numPr>
      </w:pPr>
      <w:proofErr w:type="spellStart"/>
      <w:r>
        <w:t>BimolecularSinkReaction</w:t>
      </w:r>
      <w:proofErr w:type="spellEnd"/>
      <w:r>
        <w:t xml:space="preserve">, </w:t>
      </w:r>
      <w:r w:rsidR="002C55C8">
        <w:t>which has two reactants, one excess and one deficient modelled molecule, and one product which is a sink molecule</w:t>
      </w:r>
    </w:p>
    <w:p w:rsidR="00E7057E" w:rsidRDefault="00E7057E">
      <w:pPr>
        <w:numPr>
          <w:ilvl w:val="0"/>
          <w:numId w:val="10"/>
        </w:numPr>
      </w:pPr>
      <w:proofErr w:type="spellStart"/>
      <w:r>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C5162B">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5162B">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t>OpenBabel</w:t>
      </w:r>
      <w:proofErr w:type="spellEnd"/>
      <w:r>
        <w:t>, and may offer useful functionality in the future (e.g., visualizing molecular structures in Firefox).</w:t>
      </w:r>
    </w:p>
    <w:p w:rsidR="00F77C82" w:rsidRPr="00C05534" w:rsidRDefault="00F77C82" w:rsidP="00C05534">
      <w:pPr>
        <w:pStyle w:val="Heading1"/>
      </w:pPr>
      <w:bookmarkStart w:id="124" w:name="_Toc377319004"/>
      <w:r w:rsidRPr="00C05534">
        <w:lastRenderedPageBreak/>
        <w:t>Theoretical Background</w:t>
      </w:r>
      <w:bookmarkEnd w:id="124"/>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w:t>
      </w:r>
      <w:proofErr w:type="spellStart"/>
      <w:r>
        <w:t>Klippenstein</w:t>
      </w:r>
      <w:proofErr w:type="spellEnd"/>
      <w:r>
        <w:t>.</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5" w:name="_Toc377319005"/>
      <w:r w:rsidRPr="00246233">
        <w:t>Matrix Formulation of the EGME</w:t>
      </w:r>
      <w:bookmarkEnd w:id="125"/>
    </w:p>
    <w:p w:rsidR="00F77C82" w:rsidRDefault="00F77C82">
      <w:pPr>
        <w:rPr>
          <w:vertAlign w:val="superscript"/>
        </w:rPr>
      </w:pPr>
      <w:r>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w:t>
      </w:r>
      <w:proofErr w:type="spellStart"/>
      <w:r>
        <w:t>collisionless</w:t>
      </w:r>
      <w:proofErr w:type="spellEnd"/>
      <w:r>
        <w:t xml:space="preserve">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7" type="#_x0000_t75" style="width:9.2pt;height:17.85pt" o:ole="" filled="t">
            <v:fill color2="black"/>
            <v:imagedata r:id="rId37" o:title=""/>
          </v:shape>
          <o:OLEObject Type="Embed" ProgID="Equation.3" ShapeID="_x0000_i1027" DrawAspect="Content" ObjectID="_1452370930" r:id="rId3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F070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Pr="002C2271">
        <w:rPr>
          <w:position w:val="-7"/>
        </w:rPr>
        <w:object w:dxaOrig="420" w:dyaOrig="380">
          <v:shape id="_x0000_i1028" type="#_x0000_t75" style="width:21.3pt;height:19pt" o:ole="" filled="t">
            <v:fill color2="black"/>
            <v:imagedata r:id="rId39" o:title=""/>
          </v:shape>
          <o:OLEObject Type="Embed" ProgID="Equation.3" ShapeID="_x0000_i1028" DrawAspect="Content" ObjectID="_1452370931" r:id="rId40"/>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w:t>
      </w:r>
      <w:proofErr w:type="spellStart"/>
      <w:r>
        <w:t>rovibrational</w:t>
      </w:r>
      <w:proofErr w:type="spellEnd"/>
      <w:r>
        <w:t xml:space="preserve"> partition function for the molecular species corresponding to isomer </w:t>
      </w:r>
      <w:proofErr w:type="spellStart"/>
      <w:r>
        <w:rPr>
          <w:i/>
        </w:rPr>
        <w:t>i</w:t>
      </w:r>
      <w:proofErr w:type="spellEnd"/>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w:t>
      </w:r>
      <w:proofErr w:type="spellStart"/>
      <w:r>
        <w:t>Hase</w:t>
      </w:r>
      <w:proofErr w:type="spellEnd"/>
      <w:r>
        <w:t>,</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9" type="#_x0000_t75" style="width:33.4pt;height:12.65pt" o:ole="" filled="t">
            <v:fill color2="black"/>
            <v:imagedata r:id="rId42" o:title=""/>
          </v:shape>
          <o:OLEObject Type="Embed" ProgID="Equation.3" ShapeID="_x0000_i1029" DrawAspect="Content" ObjectID="_1452370932"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w:t>
      </w:r>
      <w:proofErr w:type="spellStart"/>
      <w:r>
        <w:t>atures</w:t>
      </w:r>
      <w:proofErr w:type="spellEnd"/>
      <w:r>
        <w:t xml:space="preserve">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F070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w:t>
      </w:r>
      <w:proofErr w:type="spellStart"/>
      <w:r>
        <w:t>istributions</w:t>
      </w:r>
      <w:proofErr w:type="spellEnd"/>
      <w:r>
        <w:t xml:space="preserve">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w:t>
      </w:r>
      <w:proofErr w:type="spellStart"/>
      <w:r>
        <w:t>qual</w:t>
      </w:r>
      <w:proofErr w:type="spellEnd"/>
      <w:r>
        <w:t xml:space="preserve">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w:t>
      </w:r>
      <w:proofErr w:type="spellStart"/>
      <w:r>
        <w:t>Bartis</w:t>
      </w:r>
      <w:proofErr w:type="spellEnd"/>
      <w:r>
        <w:t xml:space="preserve"> and </w:t>
      </w:r>
      <w:proofErr w:type="spellStart"/>
      <w:r>
        <w:t>Widom</w:t>
      </w:r>
      <w:proofErr w:type="spellEnd"/>
      <w:r>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w:t>
      </w:r>
      <w:proofErr w:type="spellStart"/>
      <w:r>
        <w:t>artis</w:t>
      </w:r>
      <w:proofErr w:type="spellEnd"/>
      <w:r>
        <w:t xml:space="preserve"> and </w:t>
      </w:r>
      <w:proofErr w:type="spellStart"/>
      <w:r>
        <w:t>Widom</w:t>
      </w:r>
      <w:proofErr w:type="spellEnd"/>
      <w:r>
        <w:t xml:space="preserve"> approach defines a set of rate coefficients based on the </w:t>
      </w:r>
      <w:proofErr w:type="spellStart"/>
      <w:r>
        <w:t>eigenpairs</w:t>
      </w:r>
      <w:proofErr w:type="spellEnd"/>
      <w:r>
        <w:t xml:space="preserve"> of the chemically significant eigenvalues.</w:t>
      </w:r>
    </w:p>
    <w:p w:rsidR="00F77C82" w:rsidRDefault="00F77C82"/>
    <w:p w:rsidR="00F77C82" w:rsidRDefault="00F77C82">
      <w:pPr>
        <w:pStyle w:val="Heading3"/>
        <w:tabs>
          <w:tab w:val="left" w:pos="567"/>
        </w:tabs>
        <w:ind w:left="426" w:hanging="426"/>
      </w:pPr>
      <w:bookmarkStart w:id="126" w:name="_Toc377319006"/>
      <w:r>
        <w:t>The Bimolecular Source Term</w:t>
      </w:r>
      <w:bookmarkEnd w:id="12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F070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F070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F070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7" w:name="_Toc377319007"/>
      <w:r w:rsidRPr="00246233">
        <w:t>Other Methods for solving the master equation</w:t>
      </w:r>
      <w:bookmarkEnd w:id="127"/>
    </w:p>
    <w:p w:rsidR="00F77C82" w:rsidRDefault="00F77C82">
      <w:pPr>
        <w:pStyle w:val="Heading3"/>
        <w:tabs>
          <w:tab w:val="left" w:pos="567"/>
        </w:tabs>
        <w:ind w:left="426" w:hanging="426"/>
      </w:pPr>
      <w:bookmarkStart w:id="128" w:name="_Ref353724376"/>
      <w:bookmarkStart w:id="129" w:name="_Toc377319008"/>
      <w:r>
        <w:t>The Reservoir State Approximation</w:t>
      </w:r>
      <w:bookmarkEnd w:id="128"/>
      <w:bookmarkEnd w:id="129"/>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0" w:name="_Toc377319009"/>
      <w:r>
        <w:t>The Contracted Basis Set Approach</w:t>
      </w:r>
      <w:bookmarkEnd w:id="130"/>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31" w:name="_Ref347673354"/>
      <w:bookmarkStart w:id="132" w:name="_Toc377319010"/>
      <w:r w:rsidRPr="00246233">
        <w:t>Inverse Laplace Transform</w:t>
      </w:r>
      <w:bookmarkEnd w:id="131"/>
      <w:bookmarkEnd w:id="132"/>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3" w:name="_Ref353724256"/>
      <w:bookmarkStart w:id="134" w:name="_Toc377319011"/>
      <w:r>
        <w:t>Unimolecular ILT</w:t>
      </w:r>
      <w:bookmarkEnd w:id="133"/>
      <w:bookmarkEnd w:id="134"/>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7F070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7F070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5" w:name="_Toc377319012"/>
      <w:r>
        <w:t>The association ILT</w:t>
      </w:r>
      <w:bookmarkEnd w:id="135"/>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rsidR="0047709E">
        <w:t>.28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6" w:name="_Toc377319013"/>
      <w:r>
        <w:t>The C’ constant in MESMER ILT</w:t>
      </w:r>
      <w:bookmarkEnd w:id="136"/>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30" type="#_x0000_t75" style="width:14.4pt;height:17.85pt" o:ole="" filled="t">
            <v:fill color2="black"/>
            <v:imagedata r:id="rId44" o:title=""/>
          </v:shape>
          <o:OLEObject Type="Embed" ProgID="Equation.3" ShapeID="_x0000_i1030" DrawAspect="Content" ObjectID="_1452370933" r:id="rId45"/>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F070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812945" w:rsidRDefault="00812945">
      <w:pPr>
        <w:spacing w:line="240" w:lineRule="auto"/>
      </w:pPr>
    </w:p>
    <w:p w:rsidR="00812945" w:rsidRDefault="00812945" w:rsidP="00812945">
      <w:pPr>
        <w:pStyle w:val="Heading1"/>
      </w:pPr>
      <w:bookmarkStart w:id="137" w:name="_Toc377319014"/>
      <w:r>
        <w:lastRenderedPageBreak/>
        <w:t>Revision History</w:t>
      </w:r>
      <w:bookmarkEnd w:id="137"/>
    </w:p>
    <w:p w:rsidR="00411665" w:rsidRDefault="00411665" w:rsidP="00411665">
      <w:pPr>
        <w:pStyle w:val="Heading2"/>
      </w:pPr>
      <w:bookmarkStart w:id="138" w:name="_Toc377319015"/>
      <w:r>
        <w:t>MESMER 0.1 (Released 12/Jun/2009)</w:t>
      </w:r>
      <w:bookmarkEnd w:id="138"/>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9" w:name="_Toc377319016"/>
      <w:r w:rsidRPr="00C05534">
        <w:t>MESMER 0.2</w:t>
      </w:r>
      <w:r>
        <w:t xml:space="preserve"> (Released 9/Jan/2011)</w:t>
      </w:r>
      <w:bookmarkEnd w:id="139"/>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0" w:name="_Toc377319017"/>
      <w:r w:rsidRPr="00C05534">
        <w:t>MESMER 1.0</w:t>
      </w:r>
      <w:r>
        <w:t xml:space="preserve"> (Released </w:t>
      </w:r>
      <w:r w:rsidR="00411665">
        <w:t>10/Feb</w:t>
      </w:r>
      <w:r>
        <w:t>/2012)</w:t>
      </w:r>
      <w:bookmarkEnd w:id="140"/>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 xml:space="preserve">An implementation of the WKB </w:t>
      </w:r>
      <w:proofErr w:type="spellStart"/>
      <w:r>
        <w:t>tunneling</w:t>
      </w:r>
      <w:proofErr w:type="spellEnd"/>
      <w:r>
        <w:t xml:space="preserve">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1" w:name="_Toc377319018"/>
      <w:r w:rsidRPr="00C05534">
        <w:t xml:space="preserve">MESMER </w:t>
      </w:r>
      <w:r>
        <w:t>2</w:t>
      </w:r>
      <w:r w:rsidRPr="00C05534">
        <w:t>.0</w:t>
      </w:r>
      <w:r>
        <w:t xml:space="preserve"> (Released 10/Feb/2013)</w:t>
      </w:r>
      <w:bookmarkEnd w:id="141"/>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5162B">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5162B">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5162B">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5162B">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C5162B">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2" w:name="_Toc377319019"/>
      <w:r w:rsidRPr="00C05534">
        <w:lastRenderedPageBreak/>
        <w:t>References</w:t>
      </w:r>
      <w:bookmarkEnd w:id="142"/>
    </w:p>
    <w:p w:rsidR="00B112EE" w:rsidRDefault="00B112EE" w:rsidP="00B112EE">
      <w:r>
        <w:t>New refers:</w:t>
      </w:r>
    </w:p>
    <w:p w:rsidR="00B112EE" w:rsidRDefault="00B112EE" w:rsidP="00B112EE">
      <w:r w:rsidRPr="00B112EE">
        <w:t xml:space="preserve">King et al, </w:t>
      </w:r>
      <w:proofErr w:type="spellStart"/>
      <w:r w:rsidRPr="00B112EE">
        <w:t>J.Chem.Phys</w:t>
      </w:r>
      <w:proofErr w:type="spellEnd"/>
      <w:r w:rsidRPr="00B112EE">
        <w:t>. 11, 27 (1942)</w:t>
      </w:r>
    </w:p>
    <w:p w:rsidR="00B112EE" w:rsidRDefault="00B112EE" w:rsidP="00B112EE">
      <w:r w:rsidRPr="00B112EE">
        <w:t xml:space="preserve">S. Sharma, S. Raman and W. H. Green, J </w:t>
      </w:r>
      <w:proofErr w:type="spellStart"/>
      <w:r w:rsidRPr="00B112EE">
        <w:t>Phys</w:t>
      </w:r>
      <w:proofErr w:type="spellEnd"/>
      <w:r w:rsidRPr="00B112EE">
        <w:t xml:space="preserve"> </w:t>
      </w:r>
      <w:proofErr w:type="spellStart"/>
      <w:r w:rsidRPr="00B112EE">
        <w:t>Chem</w:t>
      </w:r>
      <w:proofErr w:type="spellEnd"/>
      <w:r w:rsidRPr="00B112EE">
        <w:t xml:space="preserve"> A, 2010, 114, 5689-5701.</w:t>
      </w:r>
    </w:p>
    <w:p w:rsidR="008E64FB" w:rsidRDefault="008E64FB" w:rsidP="00B112EE">
      <w:r>
        <w:t xml:space="preserve">C. </w:t>
      </w:r>
      <w:proofErr w:type="spellStart"/>
      <w:r>
        <w:t>Naik</w:t>
      </w:r>
      <w:proofErr w:type="spellEnd"/>
      <w:r>
        <w:t xml:space="preserve">, H.-H. </w:t>
      </w:r>
      <w:proofErr w:type="spellStart"/>
      <w:r>
        <w:t>Carstensen</w:t>
      </w:r>
      <w:proofErr w:type="spellEnd"/>
      <w:r>
        <w:t xml:space="preserve">, and A. M. </w:t>
      </w:r>
      <w:proofErr w:type="gramStart"/>
      <w:r>
        <w:t>Dean ????</w:t>
      </w:r>
      <w:proofErr w:type="gramEnd"/>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C42" w:rsidRDefault="00925C42">
      <w:pPr>
        <w:spacing w:after="0" w:line="240" w:lineRule="auto"/>
      </w:pPr>
      <w:r>
        <w:separator/>
      </w:r>
    </w:p>
  </w:endnote>
  <w:endnote w:type="continuationSeparator" w:id="0">
    <w:p w:rsidR="00925C42" w:rsidRDefault="0092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708" w:rsidRDefault="007F0708">
    <w:pPr>
      <w:pStyle w:val="Footer"/>
      <w:jc w:val="center"/>
    </w:pPr>
    <w:r>
      <w:fldChar w:fldCharType="begin"/>
    </w:r>
    <w:r>
      <w:instrText xml:space="preserve"> PAGE   \* MERGEFORMAT </w:instrText>
    </w:r>
    <w:r>
      <w:fldChar w:fldCharType="separate"/>
    </w:r>
    <w:r w:rsidR="00DE5624">
      <w:rPr>
        <w:noProof/>
      </w:rPr>
      <w:t>25</w:t>
    </w:r>
    <w:r>
      <w:rPr>
        <w:noProof/>
      </w:rPr>
      <w:fldChar w:fldCharType="end"/>
    </w:r>
  </w:p>
  <w:p w:rsidR="007F0708" w:rsidRDefault="007F070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C42" w:rsidRDefault="00925C42">
      <w:pPr>
        <w:spacing w:after="0" w:line="240" w:lineRule="auto"/>
      </w:pPr>
      <w:r>
        <w:separator/>
      </w:r>
    </w:p>
  </w:footnote>
  <w:footnote w:type="continuationSeparator" w:id="0">
    <w:p w:rsidR="00925C42" w:rsidRDefault="00925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6A2E"/>
    <w:rsid w:val="00191D6B"/>
    <w:rsid w:val="001943CB"/>
    <w:rsid w:val="001A094E"/>
    <w:rsid w:val="001A0D52"/>
    <w:rsid w:val="001A3493"/>
    <w:rsid w:val="001A3892"/>
    <w:rsid w:val="001A498E"/>
    <w:rsid w:val="001B13F5"/>
    <w:rsid w:val="001B3B1A"/>
    <w:rsid w:val="001C12F6"/>
    <w:rsid w:val="001C1DA5"/>
    <w:rsid w:val="001C497D"/>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10ACE"/>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4051"/>
    <w:rsid w:val="00557FD4"/>
    <w:rsid w:val="00562F39"/>
    <w:rsid w:val="005658C6"/>
    <w:rsid w:val="00565DC1"/>
    <w:rsid w:val="005825B7"/>
    <w:rsid w:val="00583428"/>
    <w:rsid w:val="00592261"/>
    <w:rsid w:val="005948FB"/>
    <w:rsid w:val="005975A6"/>
    <w:rsid w:val="005A1DA0"/>
    <w:rsid w:val="005A449C"/>
    <w:rsid w:val="005A60C1"/>
    <w:rsid w:val="005B07D2"/>
    <w:rsid w:val="005C2DF0"/>
    <w:rsid w:val="005C646F"/>
    <w:rsid w:val="005D09CE"/>
    <w:rsid w:val="005D3B32"/>
    <w:rsid w:val="005D3FE3"/>
    <w:rsid w:val="005D4F98"/>
    <w:rsid w:val="005D50CD"/>
    <w:rsid w:val="005E02A9"/>
    <w:rsid w:val="005F4AB5"/>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48A8"/>
    <w:rsid w:val="006D63C2"/>
    <w:rsid w:val="006D776A"/>
    <w:rsid w:val="006E335F"/>
    <w:rsid w:val="006F448E"/>
    <w:rsid w:val="006F6E85"/>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1AF7"/>
    <w:rsid w:val="0084231E"/>
    <w:rsid w:val="00842ED7"/>
    <w:rsid w:val="00847981"/>
    <w:rsid w:val="00852DE5"/>
    <w:rsid w:val="00856DF0"/>
    <w:rsid w:val="00857BCF"/>
    <w:rsid w:val="00861E47"/>
    <w:rsid w:val="00862797"/>
    <w:rsid w:val="00863202"/>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25C4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7BE2"/>
    <w:rsid w:val="009A0E6C"/>
    <w:rsid w:val="009B0E0F"/>
    <w:rsid w:val="009B4006"/>
    <w:rsid w:val="009B542A"/>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hyperlink" Target="http://saxon.sourceforge.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hyperlink" Target="http://flourish.org/cinclude2dot/" TargetMode="External"/><Relationship Id="rId33" Type="http://schemas.openxmlformats.org/officeDocument/2006/relationships/image" Target="media/image9.png"/><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image" Target="media/image5.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8.png"/><Relationship Id="rId37" Type="http://schemas.openxmlformats.org/officeDocument/2006/relationships/image" Target="media/image12.wmf"/><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image" Target="media/image4.png"/><Relationship Id="rId36" Type="http://schemas.openxmlformats.org/officeDocument/2006/relationships/oleObject" Target="embeddings/oleObject2.bin"/><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expat.sourceforge.net/" TargetMode="External"/><Relationship Id="rId30" Type="http://schemas.openxmlformats.org/officeDocument/2006/relationships/image" Target="media/image6.png"/><Relationship Id="rId35" Type="http://schemas.openxmlformats.org/officeDocument/2006/relationships/image" Target="media/image11.wmf"/><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EDEB-E244-4260-B36B-E4F6E5B2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9048</TotalTime>
  <Pages>109</Pages>
  <Words>37238</Words>
  <Characters>212257</Characters>
  <Application>Microsoft Office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248998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62</cp:revision>
  <cp:lastPrinted>2014-01-12T19:43:00Z</cp:lastPrinted>
  <dcterms:created xsi:type="dcterms:W3CDTF">2013-02-07T13:26:00Z</dcterms:created>
  <dcterms:modified xsi:type="dcterms:W3CDTF">2014-01-27T23:36:00Z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