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3CC4375C" w:rsidR="00F77C82" w:rsidRDefault="00F77C82">
      <w:pPr>
        <w:pStyle w:val="Subtitle1"/>
        <w:rPr>
          <w:b w:val="0"/>
          <w:sz w:val="36"/>
          <w:szCs w:val="36"/>
        </w:rPr>
      </w:pPr>
      <w:r>
        <w:rPr>
          <w:b w:val="0"/>
          <w:sz w:val="36"/>
          <w:szCs w:val="36"/>
        </w:rPr>
        <w:t xml:space="preserve">Version </w:t>
      </w:r>
      <w:r w:rsidR="00AD1A87">
        <w:rPr>
          <w:b w:val="0"/>
          <w:sz w:val="36"/>
          <w:szCs w:val="36"/>
        </w:rPr>
        <w:t>5.</w:t>
      </w:r>
      <w:r w:rsidR="00C16C1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94F8A60" w:rsidR="00F77C82" w:rsidRDefault="00F77C82">
      <w:pPr>
        <w:jc w:val="center"/>
      </w:pPr>
      <w:r>
        <w:t xml:space="preserve">Last updated: </w:t>
      </w:r>
      <w:r w:rsidR="007A15CE">
        <w:fldChar w:fldCharType="begin"/>
      </w:r>
      <w:r>
        <w:instrText xml:space="preserve"> DATE \@"DD\ MMMM\ YYYY" </w:instrText>
      </w:r>
      <w:r w:rsidR="007A15CE">
        <w:fldChar w:fldCharType="separate"/>
      </w:r>
      <w:r w:rsidR="00D25E34">
        <w:rPr>
          <w:noProof/>
        </w:rPr>
        <w:t>16 January 2019</w:t>
      </w:r>
      <w:r w:rsidR="007A15CE">
        <w:fldChar w:fldCharType="end"/>
      </w:r>
    </w:p>
    <w:p w14:paraId="4D357056" w14:textId="77777777" w:rsidR="00F77C82" w:rsidRPr="00C05534" w:rsidRDefault="00F77C82" w:rsidP="00C05534">
      <w:pPr>
        <w:pStyle w:val="Heading1"/>
      </w:pPr>
      <w:bookmarkStart w:id="0" w:name="_Toc532144728"/>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32144729"/>
      <w:r>
        <w:lastRenderedPageBreak/>
        <w:t>Notices</w:t>
      </w:r>
      <w:bookmarkEnd w:id="1"/>
    </w:p>
    <w:p w14:paraId="1FB52EB8" w14:textId="0BE7A337" w:rsidR="00CE0E5E" w:rsidRDefault="00CE0E5E" w:rsidP="00CE0E5E">
      <w:r>
        <w:t>MESMER</w:t>
      </w:r>
      <w:r w:rsidR="0045725A">
        <w:t>, Copyright (C) 2009-201</w:t>
      </w:r>
      <w:r w:rsidR="00084C55">
        <w:t>9</w:t>
      </w:r>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 xml:space="preserve">(INCLUDING NEGLIGENCE OR OTHERWISE) ARISING IN ANY WAY OUT OF THE </w:t>
      </w:r>
      <w:r w:rsidRPr="00301117">
        <w:lastRenderedPageBreak/>
        <w:t>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532144730"/>
      <w:r w:rsidRPr="00C05534">
        <w:lastRenderedPageBreak/>
        <w:t>Contents</w:t>
      </w:r>
      <w:bookmarkEnd w:id="2"/>
    </w:p>
    <w:p w14:paraId="72C2E95E" w14:textId="3674CF4C" w:rsidR="00246D65"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246D65">
        <w:rPr>
          <w:noProof/>
        </w:rPr>
        <w:t>1</w:t>
      </w:r>
      <w:r w:rsidR="00246D65">
        <w:rPr>
          <w:rFonts w:asciiTheme="minorHAnsi" w:eastAsiaTheme="minorEastAsia" w:hAnsiTheme="minorHAnsi" w:cstheme="minorBidi"/>
          <w:noProof/>
          <w:szCs w:val="22"/>
          <w:lang w:eastAsia="en-GB"/>
        </w:rPr>
        <w:tab/>
      </w:r>
      <w:r w:rsidR="00246D65">
        <w:rPr>
          <w:noProof/>
        </w:rPr>
        <w:t>Acknowledgements and Citation</w:t>
      </w:r>
      <w:r w:rsidR="00246D65">
        <w:rPr>
          <w:noProof/>
        </w:rPr>
        <w:tab/>
      </w:r>
      <w:r w:rsidR="00246D65">
        <w:rPr>
          <w:noProof/>
        </w:rPr>
        <w:fldChar w:fldCharType="begin"/>
      </w:r>
      <w:r w:rsidR="00246D65">
        <w:rPr>
          <w:noProof/>
        </w:rPr>
        <w:instrText xml:space="preserve"> PAGEREF _Toc532144728 \h </w:instrText>
      </w:r>
      <w:r w:rsidR="00246D65">
        <w:rPr>
          <w:noProof/>
        </w:rPr>
      </w:r>
      <w:r w:rsidR="00246D65">
        <w:rPr>
          <w:noProof/>
        </w:rPr>
        <w:fldChar w:fldCharType="separate"/>
      </w:r>
      <w:r w:rsidR="000F002E">
        <w:rPr>
          <w:noProof/>
        </w:rPr>
        <w:t>2</w:t>
      </w:r>
      <w:r w:rsidR="00246D65">
        <w:rPr>
          <w:noProof/>
        </w:rPr>
        <w:fldChar w:fldCharType="end"/>
      </w:r>
    </w:p>
    <w:p w14:paraId="3A7FA53F" w14:textId="7AD46556" w:rsidR="00246D65" w:rsidRDefault="00246D6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_Toc532144729 \h </w:instrText>
      </w:r>
      <w:r>
        <w:rPr>
          <w:noProof/>
        </w:rPr>
      </w:r>
      <w:r>
        <w:rPr>
          <w:noProof/>
        </w:rPr>
        <w:fldChar w:fldCharType="separate"/>
      </w:r>
      <w:r w:rsidR="000F002E">
        <w:rPr>
          <w:noProof/>
        </w:rPr>
        <w:t>3</w:t>
      </w:r>
      <w:r>
        <w:rPr>
          <w:noProof/>
        </w:rPr>
        <w:fldChar w:fldCharType="end"/>
      </w:r>
    </w:p>
    <w:p w14:paraId="4DF34385" w14:textId="62E8297A" w:rsidR="00246D65" w:rsidRDefault="00246D6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_Toc532144730 \h </w:instrText>
      </w:r>
      <w:r>
        <w:rPr>
          <w:noProof/>
        </w:rPr>
      </w:r>
      <w:r>
        <w:rPr>
          <w:noProof/>
        </w:rPr>
        <w:fldChar w:fldCharType="separate"/>
      </w:r>
      <w:r w:rsidR="000F002E">
        <w:rPr>
          <w:noProof/>
        </w:rPr>
        <w:t>5</w:t>
      </w:r>
      <w:r>
        <w:rPr>
          <w:noProof/>
        </w:rPr>
        <w:fldChar w:fldCharType="end"/>
      </w:r>
    </w:p>
    <w:p w14:paraId="087212CC" w14:textId="3B51922D" w:rsidR="00246D65" w:rsidRDefault="00246D6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5.2</w:t>
      </w:r>
      <w:r>
        <w:rPr>
          <w:noProof/>
        </w:rPr>
        <w:tab/>
      </w:r>
      <w:r>
        <w:rPr>
          <w:noProof/>
        </w:rPr>
        <w:fldChar w:fldCharType="begin"/>
      </w:r>
      <w:r>
        <w:rPr>
          <w:noProof/>
        </w:rPr>
        <w:instrText xml:space="preserve"> PAGEREF _Toc532144731 \h </w:instrText>
      </w:r>
      <w:r>
        <w:rPr>
          <w:noProof/>
        </w:rPr>
      </w:r>
      <w:r>
        <w:rPr>
          <w:noProof/>
        </w:rPr>
        <w:fldChar w:fldCharType="separate"/>
      </w:r>
      <w:r w:rsidR="000F002E">
        <w:rPr>
          <w:noProof/>
        </w:rPr>
        <w:t>9</w:t>
      </w:r>
      <w:r>
        <w:rPr>
          <w:noProof/>
        </w:rPr>
        <w:fldChar w:fldCharType="end"/>
      </w:r>
    </w:p>
    <w:p w14:paraId="1B47C88B" w14:textId="14C88F67" w:rsidR="00246D65" w:rsidRDefault="00246D6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_Toc532144732 \h </w:instrText>
      </w:r>
      <w:r>
        <w:rPr>
          <w:noProof/>
        </w:rPr>
      </w:r>
      <w:r>
        <w:rPr>
          <w:noProof/>
        </w:rPr>
        <w:fldChar w:fldCharType="separate"/>
      </w:r>
      <w:r w:rsidR="000F002E">
        <w:rPr>
          <w:noProof/>
        </w:rPr>
        <w:t>10</w:t>
      </w:r>
      <w:r>
        <w:rPr>
          <w:noProof/>
        </w:rPr>
        <w:fldChar w:fldCharType="end"/>
      </w:r>
    </w:p>
    <w:p w14:paraId="2BE54B52" w14:textId="38F41C08" w:rsidR="00246D65" w:rsidRDefault="00246D6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_Toc532144733 \h </w:instrText>
      </w:r>
      <w:r>
        <w:rPr>
          <w:noProof/>
        </w:rPr>
      </w:r>
      <w:r>
        <w:rPr>
          <w:noProof/>
        </w:rPr>
        <w:fldChar w:fldCharType="separate"/>
      </w:r>
      <w:r w:rsidR="000F002E">
        <w:rPr>
          <w:noProof/>
        </w:rPr>
        <w:t>13</w:t>
      </w:r>
      <w:r>
        <w:rPr>
          <w:noProof/>
        </w:rPr>
        <w:fldChar w:fldCharType="end"/>
      </w:r>
    </w:p>
    <w:p w14:paraId="168765EE" w14:textId="58D7CF44" w:rsidR="00246D65" w:rsidRDefault="00246D6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_Toc532144734 \h </w:instrText>
      </w:r>
      <w:r>
        <w:rPr>
          <w:noProof/>
        </w:rPr>
      </w:r>
      <w:r>
        <w:rPr>
          <w:noProof/>
        </w:rPr>
        <w:fldChar w:fldCharType="separate"/>
      </w:r>
      <w:r w:rsidR="000F002E">
        <w:rPr>
          <w:noProof/>
        </w:rPr>
        <w:t>13</w:t>
      </w:r>
      <w:r>
        <w:rPr>
          <w:noProof/>
        </w:rPr>
        <w:fldChar w:fldCharType="end"/>
      </w:r>
    </w:p>
    <w:p w14:paraId="635E0678" w14:textId="65158599" w:rsidR="00246D65" w:rsidRDefault="00246D6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_Toc532144735 \h </w:instrText>
      </w:r>
      <w:r>
        <w:rPr>
          <w:noProof/>
        </w:rPr>
      </w:r>
      <w:r>
        <w:rPr>
          <w:noProof/>
        </w:rPr>
        <w:fldChar w:fldCharType="separate"/>
      </w:r>
      <w:r w:rsidR="000F002E">
        <w:rPr>
          <w:noProof/>
        </w:rPr>
        <w:t>13</w:t>
      </w:r>
      <w:r>
        <w:rPr>
          <w:noProof/>
        </w:rPr>
        <w:fldChar w:fldCharType="end"/>
      </w:r>
    </w:p>
    <w:p w14:paraId="292B0D7A" w14:textId="42F63652" w:rsidR="00246D65" w:rsidRDefault="00246D6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_Toc532144736 \h </w:instrText>
      </w:r>
      <w:r>
        <w:rPr>
          <w:noProof/>
        </w:rPr>
      </w:r>
      <w:r>
        <w:rPr>
          <w:noProof/>
        </w:rPr>
        <w:fldChar w:fldCharType="separate"/>
      </w:r>
      <w:r w:rsidR="000F002E">
        <w:rPr>
          <w:noProof/>
        </w:rPr>
        <w:t>14</w:t>
      </w:r>
      <w:r>
        <w:rPr>
          <w:noProof/>
        </w:rPr>
        <w:fldChar w:fldCharType="end"/>
      </w:r>
    </w:p>
    <w:p w14:paraId="73B0B9AA" w14:textId="50BB59C4" w:rsidR="00246D65" w:rsidRDefault="00246D6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_Toc532144737 \h </w:instrText>
      </w:r>
      <w:r>
        <w:rPr>
          <w:noProof/>
        </w:rPr>
      </w:r>
      <w:r>
        <w:rPr>
          <w:noProof/>
        </w:rPr>
        <w:fldChar w:fldCharType="separate"/>
      </w:r>
      <w:r w:rsidR="000F002E">
        <w:rPr>
          <w:noProof/>
        </w:rPr>
        <w:t>14</w:t>
      </w:r>
      <w:r>
        <w:rPr>
          <w:noProof/>
        </w:rPr>
        <w:fldChar w:fldCharType="end"/>
      </w:r>
    </w:p>
    <w:p w14:paraId="5DCF9F60" w14:textId="577E1B1E" w:rsidR="00246D65" w:rsidRDefault="00246D6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_Toc532144738 \h </w:instrText>
      </w:r>
      <w:r>
        <w:rPr>
          <w:noProof/>
        </w:rPr>
      </w:r>
      <w:r>
        <w:rPr>
          <w:noProof/>
        </w:rPr>
        <w:fldChar w:fldCharType="separate"/>
      </w:r>
      <w:r w:rsidR="000F002E">
        <w:rPr>
          <w:noProof/>
        </w:rPr>
        <w:t>14</w:t>
      </w:r>
      <w:r>
        <w:rPr>
          <w:noProof/>
        </w:rPr>
        <w:fldChar w:fldCharType="end"/>
      </w:r>
    </w:p>
    <w:p w14:paraId="01220005" w14:textId="756404B9" w:rsidR="00246D65" w:rsidRDefault="00246D6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_Toc532144739 \h </w:instrText>
      </w:r>
      <w:r>
        <w:rPr>
          <w:noProof/>
        </w:rPr>
      </w:r>
      <w:r>
        <w:rPr>
          <w:noProof/>
        </w:rPr>
        <w:fldChar w:fldCharType="separate"/>
      </w:r>
      <w:r w:rsidR="000F002E">
        <w:rPr>
          <w:noProof/>
        </w:rPr>
        <w:t>15</w:t>
      </w:r>
      <w:r>
        <w:rPr>
          <w:noProof/>
        </w:rPr>
        <w:fldChar w:fldCharType="end"/>
      </w:r>
    </w:p>
    <w:p w14:paraId="106760A3" w14:textId="03E15AFF" w:rsidR="00246D65" w:rsidRDefault="00246D6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_Toc532144740 \h </w:instrText>
      </w:r>
      <w:r>
        <w:rPr>
          <w:noProof/>
        </w:rPr>
      </w:r>
      <w:r>
        <w:rPr>
          <w:noProof/>
        </w:rPr>
        <w:fldChar w:fldCharType="separate"/>
      </w:r>
      <w:r w:rsidR="000F002E">
        <w:rPr>
          <w:noProof/>
        </w:rPr>
        <w:t>15</w:t>
      </w:r>
      <w:r>
        <w:rPr>
          <w:noProof/>
        </w:rPr>
        <w:fldChar w:fldCharType="end"/>
      </w:r>
    </w:p>
    <w:p w14:paraId="68F3161E" w14:textId="1E546333" w:rsidR="00246D65" w:rsidRDefault="00246D65">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_Toc532144741 \h </w:instrText>
      </w:r>
      <w:r>
        <w:rPr>
          <w:noProof/>
        </w:rPr>
      </w:r>
      <w:r>
        <w:rPr>
          <w:noProof/>
        </w:rPr>
        <w:fldChar w:fldCharType="separate"/>
      </w:r>
      <w:r w:rsidR="000F002E">
        <w:rPr>
          <w:noProof/>
        </w:rPr>
        <w:t>16</w:t>
      </w:r>
      <w:r>
        <w:rPr>
          <w:noProof/>
        </w:rPr>
        <w:fldChar w:fldCharType="end"/>
      </w:r>
    </w:p>
    <w:p w14:paraId="50A47E7C" w14:textId="71FEDDD7" w:rsidR="00246D65" w:rsidRDefault="00246D6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_Toc532144742 \h </w:instrText>
      </w:r>
      <w:r>
        <w:rPr>
          <w:noProof/>
        </w:rPr>
      </w:r>
      <w:r>
        <w:rPr>
          <w:noProof/>
        </w:rPr>
        <w:fldChar w:fldCharType="separate"/>
      </w:r>
      <w:r w:rsidR="000F002E">
        <w:rPr>
          <w:noProof/>
        </w:rPr>
        <w:t>16</w:t>
      </w:r>
      <w:r>
        <w:rPr>
          <w:noProof/>
        </w:rPr>
        <w:fldChar w:fldCharType="end"/>
      </w:r>
    </w:p>
    <w:p w14:paraId="51954DB0" w14:textId="3E488361" w:rsidR="00246D65" w:rsidRDefault="00246D65">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_Toc532144743 \h </w:instrText>
      </w:r>
      <w:r>
        <w:rPr>
          <w:noProof/>
        </w:rPr>
      </w:r>
      <w:r>
        <w:rPr>
          <w:noProof/>
        </w:rPr>
        <w:fldChar w:fldCharType="separate"/>
      </w:r>
      <w:r w:rsidR="000F002E">
        <w:rPr>
          <w:noProof/>
        </w:rPr>
        <w:t>16</w:t>
      </w:r>
      <w:r>
        <w:rPr>
          <w:noProof/>
        </w:rPr>
        <w:fldChar w:fldCharType="end"/>
      </w:r>
    </w:p>
    <w:p w14:paraId="67D22F54" w14:textId="2E32E748" w:rsidR="00246D65" w:rsidRDefault="00246D65">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_Toc532144744 \h </w:instrText>
      </w:r>
      <w:r>
        <w:rPr>
          <w:noProof/>
        </w:rPr>
      </w:r>
      <w:r>
        <w:rPr>
          <w:noProof/>
        </w:rPr>
        <w:fldChar w:fldCharType="separate"/>
      </w:r>
      <w:r w:rsidR="000F002E">
        <w:rPr>
          <w:noProof/>
        </w:rPr>
        <w:t>17</w:t>
      </w:r>
      <w:r>
        <w:rPr>
          <w:noProof/>
        </w:rPr>
        <w:fldChar w:fldCharType="end"/>
      </w:r>
    </w:p>
    <w:p w14:paraId="056E93EB" w14:textId="23C094E3" w:rsidR="00246D65" w:rsidRDefault="00246D65">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_Toc532144745 \h </w:instrText>
      </w:r>
      <w:r>
        <w:rPr>
          <w:noProof/>
        </w:rPr>
      </w:r>
      <w:r>
        <w:rPr>
          <w:noProof/>
        </w:rPr>
        <w:fldChar w:fldCharType="separate"/>
      </w:r>
      <w:r w:rsidR="000F002E">
        <w:rPr>
          <w:noProof/>
        </w:rPr>
        <w:t>18</w:t>
      </w:r>
      <w:r>
        <w:rPr>
          <w:noProof/>
        </w:rPr>
        <w:fldChar w:fldCharType="end"/>
      </w:r>
    </w:p>
    <w:p w14:paraId="7E2D4F25" w14:textId="17A30904" w:rsidR="00246D65" w:rsidRDefault="00246D65">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_Toc532144746 \h </w:instrText>
      </w:r>
      <w:r>
        <w:rPr>
          <w:noProof/>
        </w:rPr>
      </w:r>
      <w:r>
        <w:rPr>
          <w:noProof/>
        </w:rPr>
        <w:fldChar w:fldCharType="separate"/>
      </w:r>
      <w:r w:rsidR="000F002E">
        <w:rPr>
          <w:noProof/>
        </w:rPr>
        <w:t>19</w:t>
      </w:r>
      <w:r>
        <w:rPr>
          <w:noProof/>
        </w:rPr>
        <w:fldChar w:fldCharType="end"/>
      </w:r>
    </w:p>
    <w:p w14:paraId="2B424829" w14:textId="0E165090" w:rsidR="00246D65" w:rsidRDefault="00246D65">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_Toc532144747 \h </w:instrText>
      </w:r>
      <w:r>
        <w:rPr>
          <w:noProof/>
        </w:rPr>
      </w:r>
      <w:r>
        <w:rPr>
          <w:noProof/>
        </w:rPr>
        <w:fldChar w:fldCharType="separate"/>
      </w:r>
      <w:r w:rsidR="000F002E">
        <w:rPr>
          <w:noProof/>
        </w:rPr>
        <w:t>20</w:t>
      </w:r>
      <w:r>
        <w:rPr>
          <w:noProof/>
        </w:rPr>
        <w:fldChar w:fldCharType="end"/>
      </w:r>
    </w:p>
    <w:p w14:paraId="28D72157" w14:textId="49108BC6" w:rsidR="00246D65" w:rsidRDefault="00246D65">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_Toc532144748 \h </w:instrText>
      </w:r>
      <w:r>
        <w:rPr>
          <w:noProof/>
        </w:rPr>
      </w:r>
      <w:r>
        <w:rPr>
          <w:noProof/>
        </w:rPr>
        <w:fldChar w:fldCharType="separate"/>
      </w:r>
      <w:r w:rsidR="000F002E">
        <w:rPr>
          <w:noProof/>
        </w:rPr>
        <w:t>20</w:t>
      </w:r>
      <w:r>
        <w:rPr>
          <w:noProof/>
        </w:rPr>
        <w:fldChar w:fldCharType="end"/>
      </w:r>
    </w:p>
    <w:p w14:paraId="6026D547" w14:textId="14107E91" w:rsidR="00246D65" w:rsidRDefault="00246D6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_Toc532144749 \h </w:instrText>
      </w:r>
      <w:r>
        <w:rPr>
          <w:noProof/>
        </w:rPr>
      </w:r>
      <w:r>
        <w:rPr>
          <w:noProof/>
        </w:rPr>
        <w:fldChar w:fldCharType="separate"/>
      </w:r>
      <w:r w:rsidR="000F002E">
        <w:rPr>
          <w:noProof/>
        </w:rPr>
        <w:t>21</w:t>
      </w:r>
      <w:r>
        <w:rPr>
          <w:noProof/>
        </w:rPr>
        <w:fldChar w:fldCharType="end"/>
      </w:r>
    </w:p>
    <w:p w14:paraId="4CD0FA5B" w14:textId="0587EF53" w:rsidR="00246D65" w:rsidRDefault="00246D6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_Toc532144750 \h </w:instrText>
      </w:r>
      <w:r>
        <w:rPr>
          <w:noProof/>
        </w:rPr>
      </w:r>
      <w:r>
        <w:rPr>
          <w:noProof/>
        </w:rPr>
        <w:fldChar w:fldCharType="separate"/>
      </w:r>
      <w:r w:rsidR="000F002E">
        <w:rPr>
          <w:noProof/>
        </w:rPr>
        <w:t>22</w:t>
      </w:r>
      <w:r>
        <w:rPr>
          <w:noProof/>
        </w:rPr>
        <w:fldChar w:fldCharType="end"/>
      </w:r>
    </w:p>
    <w:p w14:paraId="08214EAD" w14:textId="308FA837" w:rsidR="00246D65" w:rsidRDefault="00246D65">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_Toc532144751 \h </w:instrText>
      </w:r>
      <w:r>
        <w:rPr>
          <w:noProof/>
        </w:rPr>
      </w:r>
      <w:r>
        <w:rPr>
          <w:noProof/>
        </w:rPr>
        <w:fldChar w:fldCharType="separate"/>
      </w:r>
      <w:r w:rsidR="000F002E">
        <w:rPr>
          <w:noProof/>
        </w:rPr>
        <w:t>23</w:t>
      </w:r>
      <w:r>
        <w:rPr>
          <w:noProof/>
        </w:rPr>
        <w:fldChar w:fldCharType="end"/>
      </w:r>
    </w:p>
    <w:p w14:paraId="00D3FF9E" w14:textId="1AE48F08" w:rsidR="00246D65" w:rsidRDefault="00246D6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_Toc532144752 \h </w:instrText>
      </w:r>
      <w:r>
        <w:rPr>
          <w:noProof/>
        </w:rPr>
      </w:r>
      <w:r>
        <w:rPr>
          <w:noProof/>
        </w:rPr>
        <w:fldChar w:fldCharType="separate"/>
      </w:r>
      <w:r w:rsidR="000F002E">
        <w:rPr>
          <w:noProof/>
        </w:rPr>
        <w:t>25</w:t>
      </w:r>
      <w:r>
        <w:rPr>
          <w:noProof/>
        </w:rPr>
        <w:fldChar w:fldCharType="end"/>
      </w:r>
    </w:p>
    <w:p w14:paraId="60020FC9" w14:textId="0F63E776" w:rsidR="00246D65" w:rsidRDefault="00246D6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_Toc532144753 \h </w:instrText>
      </w:r>
      <w:r>
        <w:rPr>
          <w:noProof/>
        </w:rPr>
      </w:r>
      <w:r>
        <w:rPr>
          <w:noProof/>
        </w:rPr>
        <w:fldChar w:fldCharType="separate"/>
      </w:r>
      <w:r w:rsidR="000F002E">
        <w:rPr>
          <w:noProof/>
        </w:rPr>
        <w:t>25</w:t>
      </w:r>
      <w:r>
        <w:rPr>
          <w:noProof/>
        </w:rPr>
        <w:fldChar w:fldCharType="end"/>
      </w:r>
    </w:p>
    <w:p w14:paraId="4A24857C" w14:textId="284073EB" w:rsidR="00246D65" w:rsidRDefault="00246D6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_Toc532144754 \h </w:instrText>
      </w:r>
      <w:r>
        <w:rPr>
          <w:noProof/>
        </w:rPr>
      </w:r>
      <w:r>
        <w:rPr>
          <w:noProof/>
        </w:rPr>
        <w:fldChar w:fldCharType="separate"/>
      </w:r>
      <w:r w:rsidR="000F002E">
        <w:rPr>
          <w:noProof/>
        </w:rPr>
        <w:t>27</w:t>
      </w:r>
      <w:r>
        <w:rPr>
          <w:noProof/>
        </w:rPr>
        <w:fldChar w:fldCharType="end"/>
      </w:r>
    </w:p>
    <w:p w14:paraId="7621C7D3" w14:textId="1722C8DE" w:rsidR="00246D65" w:rsidRDefault="00246D6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_Toc532144755 \h </w:instrText>
      </w:r>
      <w:r>
        <w:rPr>
          <w:noProof/>
        </w:rPr>
      </w:r>
      <w:r>
        <w:rPr>
          <w:noProof/>
        </w:rPr>
        <w:fldChar w:fldCharType="separate"/>
      </w:r>
      <w:r w:rsidR="000F002E">
        <w:rPr>
          <w:noProof/>
        </w:rPr>
        <w:t>28</w:t>
      </w:r>
      <w:r>
        <w:rPr>
          <w:noProof/>
        </w:rPr>
        <w:fldChar w:fldCharType="end"/>
      </w:r>
    </w:p>
    <w:p w14:paraId="08FBEB6F" w14:textId="5CBCC69B" w:rsidR="00246D65" w:rsidRDefault="00246D6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_Toc532144756 \h </w:instrText>
      </w:r>
      <w:r>
        <w:rPr>
          <w:noProof/>
        </w:rPr>
      </w:r>
      <w:r>
        <w:rPr>
          <w:noProof/>
        </w:rPr>
        <w:fldChar w:fldCharType="separate"/>
      </w:r>
      <w:r w:rsidR="000F002E">
        <w:rPr>
          <w:noProof/>
        </w:rPr>
        <w:t>29</w:t>
      </w:r>
      <w:r>
        <w:rPr>
          <w:noProof/>
        </w:rPr>
        <w:fldChar w:fldCharType="end"/>
      </w:r>
    </w:p>
    <w:p w14:paraId="4383A584" w14:textId="3EB2CDA0" w:rsidR="00246D65" w:rsidRDefault="00246D6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_Toc532144757 \h </w:instrText>
      </w:r>
      <w:r>
        <w:rPr>
          <w:noProof/>
        </w:rPr>
      </w:r>
      <w:r>
        <w:rPr>
          <w:noProof/>
        </w:rPr>
        <w:fldChar w:fldCharType="separate"/>
      </w:r>
      <w:r w:rsidR="000F002E">
        <w:rPr>
          <w:noProof/>
        </w:rPr>
        <w:t>34</w:t>
      </w:r>
      <w:r>
        <w:rPr>
          <w:noProof/>
        </w:rPr>
        <w:fldChar w:fldCharType="end"/>
      </w:r>
    </w:p>
    <w:p w14:paraId="2C718887" w14:textId="1F04E15E" w:rsidR="00246D65" w:rsidRDefault="00246D6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_Toc532144758 \h </w:instrText>
      </w:r>
      <w:r>
        <w:rPr>
          <w:noProof/>
        </w:rPr>
      </w:r>
      <w:r>
        <w:rPr>
          <w:noProof/>
        </w:rPr>
        <w:fldChar w:fldCharType="separate"/>
      </w:r>
      <w:r w:rsidR="000F002E">
        <w:rPr>
          <w:noProof/>
        </w:rPr>
        <w:t>37</w:t>
      </w:r>
      <w:r>
        <w:rPr>
          <w:noProof/>
        </w:rPr>
        <w:fldChar w:fldCharType="end"/>
      </w:r>
    </w:p>
    <w:p w14:paraId="1A8F7923" w14:textId="45844D4F" w:rsidR="00246D65" w:rsidRDefault="00246D6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_Toc532144759 \h </w:instrText>
      </w:r>
      <w:r>
        <w:rPr>
          <w:noProof/>
        </w:rPr>
      </w:r>
      <w:r>
        <w:rPr>
          <w:noProof/>
        </w:rPr>
        <w:fldChar w:fldCharType="separate"/>
      </w:r>
      <w:r w:rsidR="000F002E">
        <w:rPr>
          <w:noProof/>
        </w:rPr>
        <w:t>41</w:t>
      </w:r>
      <w:r>
        <w:rPr>
          <w:noProof/>
        </w:rPr>
        <w:fldChar w:fldCharType="end"/>
      </w:r>
    </w:p>
    <w:p w14:paraId="0D27023E" w14:textId="5226A27A" w:rsidR="00246D65" w:rsidRDefault="00246D65">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_Toc532144760 \h </w:instrText>
      </w:r>
      <w:r>
        <w:rPr>
          <w:noProof/>
        </w:rPr>
      </w:r>
      <w:r>
        <w:rPr>
          <w:noProof/>
        </w:rPr>
        <w:fldChar w:fldCharType="separate"/>
      </w:r>
      <w:r w:rsidR="000F002E">
        <w:rPr>
          <w:noProof/>
        </w:rPr>
        <w:t>42</w:t>
      </w:r>
      <w:r>
        <w:rPr>
          <w:noProof/>
        </w:rPr>
        <w:fldChar w:fldCharType="end"/>
      </w:r>
    </w:p>
    <w:p w14:paraId="2C8DC5CA" w14:textId="78ADFEF1" w:rsidR="00246D65" w:rsidRDefault="00246D6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_Toc532144761 \h </w:instrText>
      </w:r>
      <w:r>
        <w:rPr>
          <w:noProof/>
        </w:rPr>
      </w:r>
      <w:r>
        <w:rPr>
          <w:noProof/>
        </w:rPr>
        <w:fldChar w:fldCharType="separate"/>
      </w:r>
      <w:r w:rsidR="000F002E">
        <w:rPr>
          <w:noProof/>
        </w:rPr>
        <w:t>43</w:t>
      </w:r>
      <w:r>
        <w:rPr>
          <w:noProof/>
        </w:rPr>
        <w:fldChar w:fldCharType="end"/>
      </w:r>
    </w:p>
    <w:p w14:paraId="55E991E0" w14:textId="7D54F626" w:rsidR="00246D65" w:rsidRDefault="00246D6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_Toc532144762 \h </w:instrText>
      </w:r>
      <w:r>
        <w:rPr>
          <w:noProof/>
        </w:rPr>
      </w:r>
      <w:r>
        <w:rPr>
          <w:noProof/>
        </w:rPr>
        <w:fldChar w:fldCharType="separate"/>
      </w:r>
      <w:r w:rsidR="000F002E">
        <w:rPr>
          <w:noProof/>
        </w:rPr>
        <w:t>48</w:t>
      </w:r>
      <w:r>
        <w:rPr>
          <w:noProof/>
        </w:rPr>
        <w:fldChar w:fldCharType="end"/>
      </w:r>
    </w:p>
    <w:p w14:paraId="7C8E20C1" w14:textId="63FE3E3B" w:rsidR="00246D65" w:rsidRDefault="00246D65">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_Toc532144763 \h </w:instrText>
      </w:r>
      <w:r>
        <w:rPr>
          <w:noProof/>
        </w:rPr>
      </w:r>
      <w:r>
        <w:rPr>
          <w:noProof/>
        </w:rPr>
        <w:fldChar w:fldCharType="separate"/>
      </w:r>
      <w:r w:rsidR="000F002E">
        <w:rPr>
          <w:noProof/>
        </w:rPr>
        <w:t>50</w:t>
      </w:r>
      <w:r>
        <w:rPr>
          <w:noProof/>
        </w:rPr>
        <w:fldChar w:fldCharType="end"/>
      </w:r>
    </w:p>
    <w:p w14:paraId="738B78E8" w14:textId="25DC44FD" w:rsidR="00246D65" w:rsidRDefault="00246D6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_Toc532144764 \h </w:instrText>
      </w:r>
      <w:r>
        <w:rPr>
          <w:noProof/>
        </w:rPr>
      </w:r>
      <w:r>
        <w:rPr>
          <w:noProof/>
        </w:rPr>
        <w:fldChar w:fldCharType="separate"/>
      </w:r>
      <w:r w:rsidR="000F002E">
        <w:rPr>
          <w:noProof/>
        </w:rPr>
        <w:t>50</w:t>
      </w:r>
      <w:r>
        <w:rPr>
          <w:noProof/>
        </w:rPr>
        <w:fldChar w:fldCharType="end"/>
      </w:r>
    </w:p>
    <w:p w14:paraId="48AA5298" w14:textId="14DAEA2A" w:rsidR="00246D65" w:rsidRDefault="00246D6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_Toc532144765 \h </w:instrText>
      </w:r>
      <w:r>
        <w:rPr>
          <w:noProof/>
        </w:rPr>
      </w:r>
      <w:r>
        <w:rPr>
          <w:noProof/>
        </w:rPr>
        <w:fldChar w:fldCharType="separate"/>
      </w:r>
      <w:r w:rsidR="000F002E">
        <w:rPr>
          <w:noProof/>
        </w:rPr>
        <w:t>51</w:t>
      </w:r>
      <w:r>
        <w:rPr>
          <w:noProof/>
        </w:rPr>
        <w:fldChar w:fldCharType="end"/>
      </w:r>
    </w:p>
    <w:p w14:paraId="492F63DD" w14:textId="590D8AF5" w:rsidR="00246D65" w:rsidRDefault="00246D6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_Toc532144766 \h </w:instrText>
      </w:r>
      <w:r>
        <w:rPr>
          <w:noProof/>
        </w:rPr>
      </w:r>
      <w:r>
        <w:rPr>
          <w:noProof/>
        </w:rPr>
        <w:fldChar w:fldCharType="separate"/>
      </w:r>
      <w:r w:rsidR="000F002E">
        <w:rPr>
          <w:noProof/>
        </w:rPr>
        <w:t>53</w:t>
      </w:r>
      <w:r>
        <w:rPr>
          <w:noProof/>
        </w:rPr>
        <w:fldChar w:fldCharType="end"/>
      </w:r>
    </w:p>
    <w:p w14:paraId="3A16FC89" w14:textId="39342D14" w:rsidR="00246D65" w:rsidRDefault="00246D6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_Toc532144767 \h </w:instrText>
      </w:r>
      <w:r>
        <w:rPr>
          <w:noProof/>
        </w:rPr>
      </w:r>
      <w:r>
        <w:rPr>
          <w:noProof/>
        </w:rPr>
        <w:fldChar w:fldCharType="separate"/>
      </w:r>
      <w:r w:rsidR="000F002E">
        <w:rPr>
          <w:noProof/>
        </w:rPr>
        <w:t>53</w:t>
      </w:r>
      <w:r>
        <w:rPr>
          <w:noProof/>
        </w:rPr>
        <w:fldChar w:fldCharType="end"/>
      </w:r>
    </w:p>
    <w:p w14:paraId="1EE2F926" w14:textId="4D07FE2B" w:rsidR="00246D65" w:rsidRDefault="00246D6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_Toc532144768 \h </w:instrText>
      </w:r>
      <w:r>
        <w:rPr>
          <w:noProof/>
        </w:rPr>
      </w:r>
      <w:r>
        <w:rPr>
          <w:noProof/>
        </w:rPr>
        <w:fldChar w:fldCharType="separate"/>
      </w:r>
      <w:r w:rsidR="000F002E">
        <w:rPr>
          <w:noProof/>
        </w:rPr>
        <w:t>54</w:t>
      </w:r>
      <w:r>
        <w:rPr>
          <w:noProof/>
        </w:rPr>
        <w:fldChar w:fldCharType="end"/>
      </w:r>
    </w:p>
    <w:p w14:paraId="047CF76E" w14:textId="3384DCBA" w:rsidR="00246D65" w:rsidRDefault="00246D6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_Toc532144769 \h </w:instrText>
      </w:r>
      <w:r>
        <w:rPr>
          <w:noProof/>
        </w:rPr>
      </w:r>
      <w:r>
        <w:rPr>
          <w:noProof/>
        </w:rPr>
        <w:fldChar w:fldCharType="separate"/>
      </w:r>
      <w:r w:rsidR="000F002E">
        <w:rPr>
          <w:noProof/>
        </w:rPr>
        <w:t>55</w:t>
      </w:r>
      <w:r>
        <w:rPr>
          <w:noProof/>
        </w:rPr>
        <w:fldChar w:fldCharType="end"/>
      </w:r>
    </w:p>
    <w:p w14:paraId="492CFB85" w14:textId="323CFD44" w:rsidR="00246D65" w:rsidRDefault="00246D65">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_Toc532144770 \h </w:instrText>
      </w:r>
      <w:r>
        <w:rPr>
          <w:noProof/>
        </w:rPr>
      </w:r>
      <w:r>
        <w:rPr>
          <w:noProof/>
        </w:rPr>
        <w:fldChar w:fldCharType="separate"/>
      </w:r>
      <w:r w:rsidR="000F002E">
        <w:rPr>
          <w:noProof/>
        </w:rPr>
        <w:t>55</w:t>
      </w:r>
      <w:r>
        <w:rPr>
          <w:noProof/>
        </w:rPr>
        <w:fldChar w:fldCharType="end"/>
      </w:r>
    </w:p>
    <w:p w14:paraId="5DB9FEDF" w14:textId="17ED4116" w:rsidR="00246D65" w:rsidRDefault="00246D6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_Toc532144771 \h </w:instrText>
      </w:r>
      <w:r>
        <w:rPr>
          <w:noProof/>
        </w:rPr>
      </w:r>
      <w:r>
        <w:rPr>
          <w:noProof/>
        </w:rPr>
        <w:fldChar w:fldCharType="separate"/>
      </w:r>
      <w:r w:rsidR="000F002E">
        <w:rPr>
          <w:noProof/>
        </w:rPr>
        <w:t>56</w:t>
      </w:r>
      <w:r>
        <w:rPr>
          <w:noProof/>
        </w:rPr>
        <w:fldChar w:fldCharType="end"/>
      </w:r>
    </w:p>
    <w:p w14:paraId="43739DE2" w14:textId="441B5617" w:rsidR="00246D65" w:rsidRDefault="00246D6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_Toc532144772 \h </w:instrText>
      </w:r>
      <w:r>
        <w:rPr>
          <w:noProof/>
        </w:rPr>
      </w:r>
      <w:r>
        <w:rPr>
          <w:noProof/>
        </w:rPr>
        <w:fldChar w:fldCharType="separate"/>
      </w:r>
      <w:r w:rsidR="000F002E">
        <w:rPr>
          <w:noProof/>
        </w:rPr>
        <w:t>56</w:t>
      </w:r>
      <w:r>
        <w:rPr>
          <w:noProof/>
        </w:rPr>
        <w:fldChar w:fldCharType="end"/>
      </w:r>
    </w:p>
    <w:p w14:paraId="457CBE05" w14:textId="2BE94119" w:rsidR="00246D65" w:rsidRDefault="00246D65">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_Toc532144773 \h </w:instrText>
      </w:r>
      <w:r>
        <w:rPr>
          <w:noProof/>
        </w:rPr>
      </w:r>
      <w:r>
        <w:rPr>
          <w:noProof/>
        </w:rPr>
        <w:fldChar w:fldCharType="separate"/>
      </w:r>
      <w:r w:rsidR="000F002E">
        <w:rPr>
          <w:noProof/>
        </w:rPr>
        <w:t>59</w:t>
      </w:r>
      <w:r>
        <w:rPr>
          <w:noProof/>
        </w:rPr>
        <w:fldChar w:fldCharType="end"/>
      </w:r>
    </w:p>
    <w:p w14:paraId="5D929444" w14:textId="12FA06A7" w:rsidR="00246D65" w:rsidRDefault="00246D6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_Toc532144774 \h </w:instrText>
      </w:r>
      <w:r>
        <w:rPr>
          <w:noProof/>
        </w:rPr>
      </w:r>
      <w:r>
        <w:rPr>
          <w:noProof/>
        </w:rPr>
        <w:fldChar w:fldCharType="separate"/>
      </w:r>
      <w:r w:rsidR="000F002E">
        <w:rPr>
          <w:noProof/>
        </w:rPr>
        <w:t>61</w:t>
      </w:r>
      <w:r>
        <w:rPr>
          <w:noProof/>
        </w:rPr>
        <w:fldChar w:fldCharType="end"/>
      </w:r>
    </w:p>
    <w:p w14:paraId="5B4ED55C" w14:textId="0ACBC656" w:rsidR="00246D65" w:rsidRDefault="00246D6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_Toc532144775 \h </w:instrText>
      </w:r>
      <w:r>
        <w:rPr>
          <w:noProof/>
        </w:rPr>
      </w:r>
      <w:r>
        <w:rPr>
          <w:noProof/>
        </w:rPr>
        <w:fldChar w:fldCharType="separate"/>
      </w:r>
      <w:r w:rsidR="000F002E">
        <w:rPr>
          <w:noProof/>
        </w:rPr>
        <w:t>61</w:t>
      </w:r>
      <w:r>
        <w:rPr>
          <w:noProof/>
        </w:rPr>
        <w:fldChar w:fldCharType="end"/>
      </w:r>
    </w:p>
    <w:p w14:paraId="7A5C1065" w14:textId="67513C94" w:rsidR="00246D65" w:rsidRDefault="00246D6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_Toc532144776 \h </w:instrText>
      </w:r>
      <w:r>
        <w:rPr>
          <w:noProof/>
        </w:rPr>
      </w:r>
      <w:r>
        <w:rPr>
          <w:noProof/>
        </w:rPr>
        <w:fldChar w:fldCharType="separate"/>
      </w:r>
      <w:r w:rsidR="000F002E">
        <w:rPr>
          <w:noProof/>
        </w:rPr>
        <w:t>61</w:t>
      </w:r>
      <w:r>
        <w:rPr>
          <w:noProof/>
        </w:rPr>
        <w:fldChar w:fldCharType="end"/>
      </w:r>
    </w:p>
    <w:p w14:paraId="38EDFB10" w14:textId="0A7F3EFF" w:rsidR="00246D65" w:rsidRDefault="00246D6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_Toc532144777 \h </w:instrText>
      </w:r>
      <w:r>
        <w:rPr>
          <w:noProof/>
        </w:rPr>
      </w:r>
      <w:r>
        <w:rPr>
          <w:noProof/>
        </w:rPr>
        <w:fldChar w:fldCharType="separate"/>
      </w:r>
      <w:r w:rsidR="000F002E">
        <w:rPr>
          <w:noProof/>
        </w:rPr>
        <w:t>61</w:t>
      </w:r>
      <w:r>
        <w:rPr>
          <w:noProof/>
        </w:rPr>
        <w:fldChar w:fldCharType="end"/>
      </w:r>
    </w:p>
    <w:p w14:paraId="1CC55EC5" w14:textId="7ADA6723" w:rsidR="00246D65" w:rsidRDefault="00246D6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C0D0B">
        <w:rPr>
          <w:i/>
          <w:noProof/>
        </w:rPr>
        <w:t>k</w:t>
      </w:r>
      <w:r>
        <w:rPr>
          <w:noProof/>
        </w:rPr>
        <w:t>(</w:t>
      </w:r>
      <w:r w:rsidRPr="00FC0D0B">
        <w:rPr>
          <w:i/>
          <w:noProof/>
        </w:rPr>
        <w:t>E</w:t>
      </w:r>
      <w:r>
        <w:rPr>
          <w:noProof/>
        </w:rPr>
        <w:t>)s &amp; Tunnelling Corrections</w:t>
      </w:r>
      <w:r>
        <w:rPr>
          <w:noProof/>
        </w:rPr>
        <w:tab/>
      </w:r>
      <w:r>
        <w:rPr>
          <w:noProof/>
        </w:rPr>
        <w:fldChar w:fldCharType="begin"/>
      </w:r>
      <w:r>
        <w:rPr>
          <w:noProof/>
        </w:rPr>
        <w:instrText xml:space="preserve"> PAGEREF _Toc532144778 \h </w:instrText>
      </w:r>
      <w:r>
        <w:rPr>
          <w:noProof/>
        </w:rPr>
      </w:r>
      <w:r>
        <w:rPr>
          <w:noProof/>
        </w:rPr>
        <w:fldChar w:fldCharType="separate"/>
      </w:r>
      <w:r w:rsidR="000F002E">
        <w:rPr>
          <w:noProof/>
        </w:rPr>
        <w:t>61</w:t>
      </w:r>
      <w:r>
        <w:rPr>
          <w:noProof/>
        </w:rPr>
        <w:fldChar w:fldCharType="end"/>
      </w:r>
    </w:p>
    <w:p w14:paraId="5AD169C1" w14:textId="30FDBFF7" w:rsidR="00246D65" w:rsidRDefault="00246D6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_Toc532144779 \h </w:instrText>
      </w:r>
      <w:r>
        <w:rPr>
          <w:noProof/>
        </w:rPr>
      </w:r>
      <w:r>
        <w:rPr>
          <w:noProof/>
        </w:rPr>
        <w:fldChar w:fldCharType="separate"/>
      </w:r>
      <w:r w:rsidR="000F002E">
        <w:rPr>
          <w:noProof/>
        </w:rPr>
        <w:t>62</w:t>
      </w:r>
      <w:r>
        <w:rPr>
          <w:noProof/>
        </w:rPr>
        <w:fldChar w:fldCharType="end"/>
      </w:r>
    </w:p>
    <w:p w14:paraId="2ED3082D" w14:textId="3143531A" w:rsidR="00246D65" w:rsidRDefault="00246D6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_Toc532144780 \h </w:instrText>
      </w:r>
      <w:r>
        <w:rPr>
          <w:noProof/>
        </w:rPr>
      </w:r>
      <w:r>
        <w:rPr>
          <w:noProof/>
        </w:rPr>
        <w:fldChar w:fldCharType="separate"/>
      </w:r>
      <w:r w:rsidR="000F002E">
        <w:rPr>
          <w:noProof/>
        </w:rPr>
        <w:t>63</w:t>
      </w:r>
      <w:r>
        <w:rPr>
          <w:noProof/>
        </w:rPr>
        <w:fldChar w:fldCharType="end"/>
      </w:r>
    </w:p>
    <w:p w14:paraId="70ED71DF" w14:textId="37B39DD8" w:rsidR="00246D65" w:rsidRDefault="00246D6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_Toc532144781 \h </w:instrText>
      </w:r>
      <w:r>
        <w:rPr>
          <w:noProof/>
        </w:rPr>
      </w:r>
      <w:r>
        <w:rPr>
          <w:noProof/>
        </w:rPr>
        <w:fldChar w:fldCharType="separate"/>
      </w:r>
      <w:r w:rsidR="000F002E">
        <w:rPr>
          <w:noProof/>
        </w:rPr>
        <w:t>64</w:t>
      </w:r>
      <w:r>
        <w:rPr>
          <w:noProof/>
        </w:rPr>
        <w:fldChar w:fldCharType="end"/>
      </w:r>
    </w:p>
    <w:p w14:paraId="60367BCF" w14:textId="2A410B52" w:rsidR="00246D65" w:rsidRDefault="00246D6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_Toc532144782 \h </w:instrText>
      </w:r>
      <w:r>
        <w:rPr>
          <w:noProof/>
        </w:rPr>
      </w:r>
      <w:r>
        <w:rPr>
          <w:noProof/>
        </w:rPr>
        <w:fldChar w:fldCharType="separate"/>
      </w:r>
      <w:r w:rsidR="000F002E">
        <w:rPr>
          <w:noProof/>
        </w:rPr>
        <w:t>65</w:t>
      </w:r>
      <w:r>
        <w:rPr>
          <w:noProof/>
        </w:rPr>
        <w:fldChar w:fldCharType="end"/>
      </w:r>
    </w:p>
    <w:p w14:paraId="2538A186" w14:textId="1541DC52" w:rsidR="00246D65" w:rsidRDefault="00246D6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_Toc532144783 \h </w:instrText>
      </w:r>
      <w:r>
        <w:rPr>
          <w:noProof/>
        </w:rPr>
      </w:r>
      <w:r>
        <w:rPr>
          <w:noProof/>
        </w:rPr>
        <w:fldChar w:fldCharType="separate"/>
      </w:r>
      <w:r w:rsidR="000F002E">
        <w:rPr>
          <w:noProof/>
        </w:rPr>
        <w:t>66</w:t>
      </w:r>
      <w:r>
        <w:rPr>
          <w:noProof/>
        </w:rPr>
        <w:fldChar w:fldCharType="end"/>
      </w:r>
    </w:p>
    <w:p w14:paraId="089945AF" w14:textId="1E37E7AA" w:rsidR="00246D65" w:rsidRDefault="00246D6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_Toc532144784 \h </w:instrText>
      </w:r>
      <w:r>
        <w:rPr>
          <w:noProof/>
        </w:rPr>
      </w:r>
      <w:r>
        <w:rPr>
          <w:noProof/>
        </w:rPr>
        <w:fldChar w:fldCharType="separate"/>
      </w:r>
      <w:r w:rsidR="000F002E">
        <w:rPr>
          <w:noProof/>
        </w:rPr>
        <w:t>66</w:t>
      </w:r>
      <w:r>
        <w:rPr>
          <w:noProof/>
        </w:rPr>
        <w:fldChar w:fldCharType="end"/>
      </w:r>
    </w:p>
    <w:p w14:paraId="7B13004B" w14:textId="7D93FA90" w:rsidR="00246D65" w:rsidRDefault="00246D6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_Toc532144785 \h </w:instrText>
      </w:r>
      <w:r>
        <w:rPr>
          <w:noProof/>
        </w:rPr>
      </w:r>
      <w:r>
        <w:rPr>
          <w:noProof/>
        </w:rPr>
        <w:fldChar w:fldCharType="separate"/>
      </w:r>
      <w:r w:rsidR="000F002E">
        <w:rPr>
          <w:noProof/>
        </w:rPr>
        <w:t>69</w:t>
      </w:r>
      <w:r>
        <w:rPr>
          <w:noProof/>
        </w:rPr>
        <w:fldChar w:fldCharType="end"/>
      </w:r>
    </w:p>
    <w:p w14:paraId="22FF4684" w14:textId="746A2A27" w:rsidR="00246D65" w:rsidRDefault="00246D6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_Toc532144786 \h </w:instrText>
      </w:r>
      <w:r>
        <w:rPr>
          <w:noProof/>
        </w:rPr>
      </w:r>
      <w:r>
        <w:rPr>
          <w:noProof/>
        </w:rPr>
        <w:fldChar w:fldCharType="separate"/>
      </w:r>
      <w:r w:rsidR="000F002E">
        <w:rPr>
          <w:noProof/>
        </w:rPr>
        <w:t>69</w:t>
      </w:r>
      <w:r>
        <w:rPr>
          <w:noProof/>
        </w:rPr>
        <w:fldChar w:fldCharType="end"/>
      </w:r>
    </w:p>
    <w:p w14:paraId="364106CD" w14:textId="597AB630" w:rsidR="00246D65" w:rsidRDefault="00246D6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_Toc532144787 \h </w:instrText>
      </w:r>
      <w:r>
        <w:rPr>
          <w:noProof/>
        </w:rPr>
      </w:r>
      <w:r>
        <w:rPr>
          <w:noProof/>
        </w:rPr>
        <w:fldChar w:fldCharType="separate"/>
      </w:r>
      <w:r w:rsidR="000F002E">
        <w:rPr>
          <w:noProof/>
        </w:rPr>
        <w:t>70</w:t>
      </w:r>
      <w:r>
        <w:rPr>
          <w:noProof/>
        </w:rPr>
        <w:fldChar w:fldCharType="end"/>
      </w:r>
    </w:p>
    <w:p w14:paraId="77AEBFEF" w14:textId="11A0D8F9" w:rsidR="00246D65" w:rsidRDefault="00246D6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_Toc532144788 \h </w:instrText>
      </w:r>
      <w:r>
        <w:rPr>
          <w:noProof/>
        </w:rPr>
      </w:r>
      <w:r>
        <w:rPr>
          <w:noProof/>
        </w:rPr>
        <w:fldChar w:fldCharType="separate"/>
      </w:r>
      <w:r w:rsidR="000F002E">
        <w:rPr>
          <w:noProof/>
        </w:rPr>
        <w:t>70</w:t>
      </w:r>
      <w:r>
        <w:rPr>
          <w:noProof/>
        </w:rPr>
        <w:fldChar w:fldCharType="end"/>
      </w:r>
    </w:p>
    <w:p w14:paraId="06062F63" w14:textId="2883A681" w:rsidR="00246D65" w:rsidRDefault="00246D6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_Toc532144789 \h </w:instrText>
      </w:r>
      <w:r>
        <w:rPr>
          <w:noProof/>
        </w:rPr>
      </w:r>
      <w:r>
        <w:rPr>
          <w:noProof/>
        </w:rPr>
        <w:fldChar w:fldCharType="separate"/>
      </w:r>
      <w:r w:rsidR="000F002E">
        <w:rPr>
          <w:noProof/>
        </w:rPr>
        <w:t>71</w:t>
      </w:r>
      <w:r>
        <w:rPr>
          <w:noProof/>
        </w:rPr>
        <w:fldChar w:fldCharType="end"/>
      </w:r>
    </w:p>
    <w:p w14:paraId="36548A4F" w14:textId="16C60082" w:rsidR="00246D65" w:rsidRDefault="00246D6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_Toc532144790 \h </w:instrText>
      </w:r>
      <w:r>
        <w:rPr>
          <w:noProof/>
        </w:rPr>
      </w:r>
      <w:r>
        <w:rPr>
          <w:noProof/>
        </w:rPr>
        <w:fldChar w:fldCharType="separate"/>
      </w:r>
      <w:r w:rsidR="000F002E">
        <w:rPr>
          <w:noProof/>
        </w:rPr>
        <w:t>71</w:t>
      </w:r>
      <w:r>
        <w:rPr>
          <w:noProof/>
        </w:rPr>
        <w:fldChar w:fldCharType="end"/>
      </w:r>
    </w:p>
    <w:p w14:paraId="644ACC05" w14:textId="4B286C50" w:rsidR="00246D65" w:rsidRDefault="00246D6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_Toc532144791 \h </w:instrText>
      </w:r>
      <w:r>
        <w:rPr>
          <w:noProof/>
        </w:rPr>
      </w:r>
      <w:r>
        <w:rPr>
          <w:noProof/>
        </w:rPr>
        <w:fldChar w:fldCharType="separate"/>
      </w:r>
      <w:r w:rsidR="000F002E">
        <w:rPr>
          <w:noProof/>
        </w:rPr>
        <w:t>72</w:t>
      </w:r>
      <w:r>
        <w:rPr>
          <w:noProof/>
        </w:rPr>
        <w:fldChar w:fldCharType="end"/>
      </w:r>
    </w:p>
    <w:p w14:paraId="2481B50F" w14:textId="135D837A" w:rsidR="00246D65" w:rsidRDefault="00246D6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_Toc532144792 \h </w:instrText>
      </w:r>
      <w:r>
        <w:rPr>
          <w:noProof/>
        </w:rPr>
      </w:r>
      <w:r>
        <w:rPr>
          <w:noProof/>
        </w:rPr>
        <w:fldChar w:fldCharType="separate"/>
      </w:r>
      <w:r w:rsidR="000F002E">
        <w:rPr>
          <w:noProof/>
        </w:rPr>
        <w:t>72</w:t>
      </w:r>
      <w:r>
        <w:rPr>
          <w:noProof/>
        </w:rPr>
        <w:fldChar w:fldCharType="end"/>
      </w:r>
    </w:p>
    <w:p w14:paraId="1F0BC0BD" w14:textId="0D60A4CA" w:rsidR="00246D65" w:rsidRDefault="00246D6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_Toc532144793 \h </w:instrText>
      </w:r>
      <w:r>
        <w:rPr>
          <w:noProof/>
        </w:rPr>
      </w:r>
      <w:r>
        <w:rPr>
          <w:noProof/>
        </w:rPr>
        <w:fldChar w:fldCharType="separate"/>
      </w:r>
      <w:r w:rsidR="000F002E">
        <w:rPr>
          <w:noProof/>
        </w:rPr>
        <w:t>73</w:t>
      </w:r>
      <w:r>
        <w:rPr>
          <w:noProof/>
        </w:rPr>
        <w:fldChar w:fldCharType="end"/>
      </w:r>
    </w:p>
    <w:p w14:paraId="20EDE6A8" w14:textId="102FC9DD"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_Toc532144794 \h </w:instrText>
      </w:r>
      <w:r>
        <w:rPr>
          <w:noProof/>
        </w:rPr>
      </w:r>
      <w:r>
        <w:rPr>
          <w:noProof/>
        </w:rPr>
        <w:fldChar w:fldCharType="separate"/>
      </w:r>
      <w:r w:rsidR="000F002E">
        <w:rPr>
          <w:noProof/>
        </w:rPr>
        <w:t>74</w:t>
      </w:r>
      <w:r>
        <w:rPr>
          <w:noProof/>
        </w:rPr>
        <w:fldChar w:fldCharType="end"/>
      </w:r>
    </w:p>
    <w:p w14:paraId="61B68642" w14:textId="3ECF8535" w:rsidR="00246D65" w:rsidRDefault="00246D65">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C0D0B">
        <w:rPr>
          <w:noProof/>
          <w:vertAlign w:val="subscript"/>
        </w:rPr>
        <w:t>2</w:t>
      </w:r>
      <w:r>
        <w:rPr>
          <w:noProof/>
        </w:rPr>
        <w:tab/>
      </w:r>
      <w:r>
        <w:rPr>
          <w:noProof/>
        </w:rPr>
        <w:fldChar w:fldCharType="begin"/>
      </w:r>
      <w:r>
        <w:rPr>
          <w:noProof/>
        </w:rPr>
        <w:instrText xml:space="preserve"> PAGEREF _Toc532144795 \h </w:instrText>
      </w:r>
      <w:r>
        <w:rPr>
          <w:noProof/>
        </w:rPr>
      </w:r>
      <w:r>
        <w:rPr>
          <w:noProof/>
        </w:rPr>
        <w:fldChar w:fldCharType="separate"/>
      </w:r>
      <w:r w:rsidR="000F002E">
        <w:rPr>
          <w:noProof/>
        </w:rPr>
        <w:t>75</w:t>
      </w:r>
      <w:r>
        <w:rPr>
          <w:noProof/>
        </w:rPr>
        <w:fldChar w:fldCharType="end"/>
      </w:r>
    </w:p>
    <w:p w14:paraId="324979E7" w14:textId="46EF4CC4" w:rsidR="00246D65" w:rsidRDefault="00246D6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C0D0B">
        <w:rPr>
          <w:noProof/>
          <w:vertAlign w:val="subscript"/>
        </w:rPr>
        <w:t>2</w:t>
      </w:r>
      <w:r>
        <w:rPr>
          <w:noProof/>
        </w:rPr>
        <w:t>H</w:t>
      </w:r>
      <w:r w:rsidRPr="00FC0D0B">
        <w:rPr>
          <w:noProof/>
          <w:vertAlign w:val="subscript"/>
        </w:rPr>
        <w:t>2</w:t>
      </w:r>
      <w:r>
        <w:rPr>
          <w:noProof/>
        </w:rPr>
        <w:tab/>
      </w:r>
      <w:r>
        <w:rPr>
          <w:noProof/>
        </w:rPr>
        <w:fldChar w:fldCharType="begin"/>
      </w:r>
      <w:r>
        <w:rPr>
          <w:noProof/>
        </w:rPr>
        <w:instrText xml:space="preserve"> PAGEREF _Toc532144796 \h </w:instrText>
      </w:r>
      <w:r>
        <w:rPr>
          <w:noProof/>
        </w:rPr>
      </w:r>
      <w:r>
        <w:rPr>
          <w:noProof/>
        </w:rPr>
        <w:fldChar w:fldCharType="separate"/>
      </w:r>
      <w:r w:rsidR="000F002E">
        <w:rPr>
          <w:noProof/>
        </w:rPr>
        <w:t>76</w:t>
      </w:r>
      <w:r>
        <w:rPr>
          <w:noProof/>
        </w:rPr>
        <w:fldChar w:fldCharType="end"/>
      </w:r>
    </w:p>
    <w:p w14:paraId="47D66A49" w14:textId="4C6454FD" w:rsidR="00246D65" w:rsidRDefault="00246D6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C0D0B">
        <w:rPr>
          <w:noProof/>
          <w:vertAlign w:val="subscript"/>
        </w:rPr>
        <w:t>3</w:t>
      </w:r>
      <w:r>
        <w:rPr>
          <w:noProof/>
        </w:rPr>
        <w:t>CO + O</w:t>
      </w:r>
      <w:r w:rsidRPr="00FC0D0B">
        <w:rPr>
          <w:noProof/>
          <w:vertAlign w:val="subscript"/>
        </w:rPr>
        <w:t>2</w:t>
      </w:r>
      <w:r>
        <w:rPr>
          <w:noProof/>
        </w:rPr>
        <w:tab/>
      </w:r>
      <w:r>
        <w:rPr>
          <w:noProof/>
        </w:rPr>
        <w:fldChar w:fldCharType="begin"/>
      </w:r>
      <w:r>
        <w:rPr>
          <w:noProof/>
        </w:rPr>
        <w:instrText xml:space="preserve"> PAGEREF _Toc532144797 \h </w:instrText>
      </w:r>
      <w:r>
        <w:rPr>
          <w:noProof/>
        </w:rPr>
      </w:r>
      <w:r>
        <w:rPr>
          <w:noProof/>
        </w:rPr>
        <w:fldChar w:fldCharType="separate"/>
      </w:r>
      <w:r w:rsidR="000F002E">
        <w:rPr>
          <w:noProof/>
        </w:rPr>
        <w:t>77</w:t>
      </w:r>
      <w:r>
        <w:rPr>
          <w:noProof/>
        </w:rPr>
        <w:fldChar w:fldCharType="end"/>
      </w:r>
    </w:p>
    <w:p w14:paraId="07B8446B" w14:textId="414A6069" w:rsidR="00246D65" w:rsidRDefault="00246D65">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C0D0B">
        <w:rPr>
          <w:i/>
          <w:noProof/>
        </w:rPr>
        <w:t>i-</w:t>
      </w:r>
      <w:r>
        <w:rPr>
          <w:noProof/>
        </w:rPr>
        <w:t>propyl)</w:t>
      </w:r>
      <w:r>
        <w:rPr>
          <w:noProof/>
        </w:rPr>
        <w:tab/>
      </w:r>
      <w:r>
        <w:rPr>
          <w:noProof/>
        </w:rPr>
        <w:fldChar w:fldCharType="begin"/>
      </w:r>
      <w:r>
        <w:rPr>
          <w:noProof/>
        </w:rPr>
        <w:instrText xml:space="preserve"> PAGEREF _Toc532144798 \h </w:instrText>
      </w:r>
      <w:r>
        <w:rPr>
          <w:noProof/>
        </w:rPr>
      </w:r>
      <w:r>
        <w:rPr>
          <w:noProof/>
        </w:rPr>
        <w:fldChar w:fldCharType="separate"/>
      </w:r>
      <w:r w:rsidR="000F002E">
        <w:rPr>
          <w:noProof/>
        </w:rPr>
        <w:t>77</w:t>
      </w:r>
      <w:r>
        <w:rPr>
          <w:noProof/>
        </w:rPr>
        <w:fldChar w:fldCharType="end"/>
      </w:r>
    </w:p>
    <w:p w14:paraId="432584CD" w14:textId="7D7407AD" w:rsidR="00246D65" w:rsidRDefault="00246D6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_Toc532144799 \h </w:instrText>
      </w:r>
      <w:r>
        <w:rPr>
          <w:noProof/>
        </w:rPr>
      </w:r>
      <w:r>
        <w:rPr>
          <w:noProof/>
        </w:rPr>
        <w:fldChar w:fldCharType="separate"/>
      </w:r>
      <w:r w:rsidR="000F002E">
        <w:rPr>
          <w:noProof/>
        </w:rPr>
        <w:t>78</w:t>
      </w:r>
      <w:r>
        <w:rPr>
          <w:noProof/>
        </w:rPr>
        <w:fldChar w:fldCharType="end"/>
      </w:r>
    </w:p>
    <w:p w14:paraId="116494B3" w14:textId="1EB71E4D" w:rsidR="00246D65" w:rsidRDefault="00246D6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_Toc532144800 \h </w:instrText>
      </w:r>
      <w:r>
        <w:rPr>
          <w:noProof/>
        </w:rPr>
      </w:r>
      <w:r>
        <w:rPr>
          <w:noProof/>
        </w:rPr>
        <w:fldChar w:fldCharType="separate"/>
      </w:r>
      <w:r w:rsidR="000F002E">
        <w:rPr>
          <w:noProof/>
        </w:rPr>
        <w:t>78</w:t>
      </w:r>
      <w:r>
        <w:rPr>
          <w:noProof/>
        </w:rPr>
        <w:fldChar w:fldCharType="end"/>
      </w:r>
    </w:p>
    <w:p w14:paraId="5AA963E7" w14:textId="3F22CAB7" w:rsidR="00246D65" w:rsidRDefault="00246D6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_Toc532144801 \h </w:instrText>
      </w:r>
      <w:r>
        <w:rPr>
          <w:noProof/>
        </w:rPr>
      </w:r>
      <w:r>
        <w:rPr>
          <w:noProof/>
        </w:rPr>
        <w:fldChar w:fldCharType="separate"/>
      </w:r>
      <w:r w:rsidR="000F002E">
        <w:rPr>
          <w:noProof/>
        </w:rPr>
        <w:t>78</w:t>
      </w:r>
      <w:r>
        <w:rPr>
          <w:noProof/>
        </w:rPr>
        <w:fldChar w:fldCharType="end"/>
      </w:r>
    </w:p>
    <w:p w14:paraId="2F6A7CB2" w14:textId="6857FD11" w:rsidR="00246D65" w:rsidRDefault="00246D6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_Toc532144802 \h </w:instrText>
      </w:r>
      <w:r>
        <w:rPr>
          <w:noProof/>
        </w:rPr>
      </w:r>
      <w:r>
        <w:rPr>
          <w:noProof/>
        </w:rPr>
        <w:fldChar w:fldCharType="separate"/>
      </w:r>
      <w:r w:rsidR="000F002E">
        <w:rPr>
          <w:noProof/>
        </w:rPr>
        <w:t>79</w:t>
      </w:r>
      <w:r>
        <w:rPr>
          <w:noProof/>
        </w:rPr>
        <w:fldChar w:fldCharType="end"/>
      </w:r>
    </w:p>
    <w:p w14:paraId="233E8219" w14:textId="60238D0D" w:rsidR="00246D65" w:rsidRDefault="00246D6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_Toc532144803 \h </w:instrText>
      </w:r>
      <w:r>
        <w:rPr>
          <w:noProof/>
        </w:rPr>
      </w:r>
      <w:r>
        <w:rPr>
          <w:noProof/>
        </w:rPr>
        <w:fldChar w:fldCharType="separate"/>
      </w:r>
      <w:r w:rsidR="000F002E">
        <w:rPr>
          <w:noProof/>
        </w:rPr>
        <w:t>83</w:t>
      </w:r>
      <w:r>
        <w:rPr>
          <w:noProof/>
        </w:rPr>
        <w:fldChar w:fldCharType="end"/>
      </w:r>
    </w:p>
    <w:p w14:paraId="3011ACDC" w14:textId="14734172" w:rsidR="00246D65" w:rsidRDefault="00246D6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_Toc532144804 \h </w:instrText>
      </w:r>
      <w:r>
        <w:rPr>
          <w:noProof/>
        </w:rPr>
      </w:r>
      <w:r>
        <w:rPr>
          <w:noProof/>
        </w:rPr>
        <w:fldChar w:fldCharType="separate"/>
      </w:r>
      <w:r w:rsidR="000F002E">
        <w:rPr>
          <w:noProof/>
        </w:rPr>
        <w:t>83</w:t>
      </w:r>
      <w:r>
        <w:rPr>
          <w:noProof/>
        </w:rPr>
        <w:fldChar w:fldCharType="end"/>
      </w:r>
    </w:p>
    <w:p w14:paraId="31213B1B" w14:textId="08228B5D" w:rsidR="00246D65" w:rsidRDefault="00246D6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_Toc532144805 \h </w:instrText>
      </w:r>
      <w:r>
        <w:rPr>
          <w:noProof/>
        </w:rPr>
      </w:r>
      <w:r>
        <w:rPr>
          <w:noProof/>
        </w:rPr>
        <w:fldChar w:fldCharType="separate"/>
      </w:r>
      <w:r w:rsidR="000F002E">
        <w:rPr>
          <w:noProof/>
        </w:rPr>
        <w:t>84</w:t>
      </w:r>
      <w:r>
        <w:rPr>
          <w:noProof/>
        </w:rPr>
        <w:fldChar w:fldCharType="end"/>
      </w:r>
    </w:p>
    <w:p w14:paraId="62E543B6" w14:textId="7E920E95" w:rsidR="00246D65" w:rsidRDefault="00246D6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_Toc532144806 \h </w:instrText>
      </w:r>
      <w:r>
        <w:rPr>
          <w:noProof/>
        </w:rPr>
      </w:r>
      <w:r>
        <w:rPr>
          <w:noProof/>
        </w:rPr>
        <w:fldChar w:fldCharType="separate"/>
      </w:r>
      <w:r w:rsidR="000F002E">
        <w:rPr>
          <w:noProof/>
        </w:rPr>
        <w:t>84</w:t>
      </w:r>
      <w:r>
        <w:rPr>
          <w:noProof/>
        </w:rPr>
        <w:fldChar w:fldCharType="end"/>
      </w:r>
    </w:p>
    <w:p w14:paraId="10639335" w14:textId="58F4B875" w:rsidR="00246D65" w:rsidRDefault="00246D6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_Toc532144807 \h </w:instrText>
      </w:r>
      <w:r>
        <w:rPr>
          <w:noProof/>
        </w:rPr>
      </w:r>
      <w:r>
        <w:rPr>
          <w:noProof/>
        </w:rPr>
        <w:fldChar w:fldCharType="separate"/>
      </w:r>
      <w:r w:rsidR="000F002E">
        <w:rPr>
          <w:noProof/>
        </w:rPr>
        <w:t>84</w:t>
      </w:r>
      <w:r>
        <w:rPr>
          <w:noProof/>
        </w:rPr>
        <w:fldChar w:fldCharType="end"/>
      </w:r>
    </w:p>
    <w:p w14:paraId="571315EB" w14:textId="4524A2B3" w:rsidR="00246D65" w:rsidRDefault="00246D6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_Toc532144808 \h </w:instrText>
      </w:r>
      <w:r>
        <w:rPr>
          <w:noProof/>
        </w:rPr>
      </w:r>
      <w:r>
        <w:rPr>
          <w:noProof/>
        </w:rPr>
        <w:fldChar w:fldCharType="separate"/>
      </w:r>
      <w:r w:rsidR="000F002E">
        <w:rPr>
          <w:noProof/>
        </w:rPr>
        <w:t>84</w:t>
      </w:r>
      <w:r>
        <w:rPr>
          <w:noProof/>
        </w:rPr>
        <w:fldChar w:fldCharType="end"/>
      </w:r>
    </w:p>
    <w:p w14:paraId="123CC505" w14:textId="0F0129E2" w:rsidR="00246D65" w:rsidRDefault="00246D6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_Toc532144809 \h </w:instrText>
      </w:r>
      <w:r>
        <w:rPr>
          <w:noProof/>
        </w:rPr>
      </w:r>
      <w:r>
        <w:rPr>
          <w:noProof/>
        </w:rPr>
        <w:fldChar w:fldCharType="separate"/>
      </w:r>
      <w:r w:rsidR="000F002E">
        <w:rPr>
          <w:noProof/>
        </w:rPr>
        <w:t>85</w:t>
      </w:r>
      <w:r>
        <w:rPr>
          <w:noProof/>
        </w:rPr>
        <w:fldChar w:fldCharType="end"/>
      </w:r>
    </w:p>
    <w:p w14:paraId="405F12D4" w14:textId="223FD538" w:rsidR="00246D65" w:rsidRDefault="00246D6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_Toc532144810 \h </w:instrText>
      </w:r>
      <w:r>
        <w:rPr>
          <w:noProof/>
        </w:rPr>
      </w:r>
      <w:r>
        <w:rPr>
          <w:noProof/>
        </w:rPr>
        <w:fldChar w:fldCharType="separate"/>
      </w:r>
      <w:r w:rsidR="000F002E">
        <w:rPr>
          <w:noProof/>
        </w:rPr>
        <w:t>85</w:t>
      </w:r>
      <w:r>
        <w:rPr>
          <w:noProof/>
        </w:rPr>
        <w:fldChar w:fldCharType="end"/>
      </w:r>
    </w:p>
    <w:p w14:paraId="1A6229D5" w14:textId="05F49B8E" w:rsidR="00246D65" w:rsidRDefault="00246D6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_Toc532144811 \h </w:instrText>
      </w:r>
      <w:r>
        <w:rPr>
          <w:noProof/>
        </w:rPr>
      </w:r>
      <w:r>
        <w:rPr>
          <w:noProof/>
        </w:rPr>
        <w:fldChar w:fldCharType="separate"/>
      </w:r>
      <w:r w:rsidR="000F002E">
        <w:rPr>
          <w:noProof/>
        </w:rPr>
        <w:t>85</w:t>
      </w:r>
      <w:r>
        <w:rPr>
          <w:noProof/>
        </w:rPr>
        <w:fldChar w:fldCharType="end"/>
      </w:r>
    </w:p>
    <w:p w14:paraId="42EB898D" w14:textId="6AA1B3EC" w:rsidR="00246D65" w:rsidRDefault="00246D6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_Toc532144812 \h </w:instrText>
      </w:r>
      <w:r>
        <w:rPr>
          <w:noProof/>
        </w:rPr>
      </w:r>
      <w:r>
        <w:rPr>
          <w:noProof/>
        </w:rPr>
        <w:fldChar w:fldCharType="separate"/>
      </w:r>
      <w:r w:rsidR="000F002E">
        <w:rPr>
          <w:noProof/>
        </w:rPr>
        <w:t>85</w:t>
      </w:r>
      <w:r>
        <w:rPr>
          <w:noProof/>
        </w:rPr>
        <w:fldChar w:fldCharType="end"/>
      </w:r>
    </w:p>
    <w:p w14:paraId="6108B066" w14:textId="4D0CA6A2" w:rsidR="00246D65" w:rsidRDefault="00246D6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_Toc532144813 \h </w:instrText>
      </w:r>
      <w:r>
        <w:rPr>
          <w:noProof/>
        </w:rPr>
      </w:r>
      <w:r>
        <w:rPr>
          <w:noProof/>
        </w:rPr>
        <w:fldChar w:fldCharType="separate"/>
      </w:r>
      <w:r w:rsidR="000F002E">
        <w:rPr>
          <w:noProof/>
        </w:rPr>
        <w:t>95</w:t>
      </w:r>
      <w:r>
        <w:rPr>
          <w:noProof/>
        </w:rPr>
        <w:fldChar w:fldCharType="end"/>
      </w:r>
    </w:p>
    <w:p w14:paraId="25643284" w14:textId="281182CC" w:rsidR="00246D65" w:rsidRDefault="00246D6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_Toc532144814 \h </w:instrText>
      </w:r>
      <w:r>
        <w:rPr>
          <w:noProof/>
        </w:rPr>
      </w:r>
      <w:r>
        <w:rPr>
          <w:noProof/>
        </w:rPr>
        <w:fldChar w:fldCharType="separate"/>
      </w:r>
      <w:r w:rsidR="000F002E">
        <w:rPr>
          <w:noProof/>
        </w:rPr>
        <w:t>96</w:t>
      </w:r>
      <w:r>
        <w:rPr>
          <w:noProof/>
        </w:rPr>
        <w:fldChar w:fldCharType="end"/>
      </w:r>
    </w:p>
    <w:p w14:paraId="0FF2B64A" w14:textId="48761C48" w:rsidR="00246D65" w:rsidRDefault="00246D6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_Toc532144815 \h </w:instrText>
      </w:r>
      <w:r>
        <w:rPr>
          <w:noProof/>
        </w:rPr>
      </w:r>
      <w:r>
        <w:rPr>
          <w:noProof/>
        </w:rPr>
        <w:fldChar w:fldCharType="separate"/>
      </w:r>
      <w:r w:rsidR="000F002E">
        <w:rPr>
          <w:noProof/>
        </w:rPr>
        <w:t>103</w:t>
      </w:r>
      <w:r>
        <w:rPr>
          <w:noProof/>
        </w:rPr>
        <w:fldChar w:fldCharType="end"/>
      </w:r>
    </w:p>
    <w:p w14:paraId="6D480188" w14:textId="7223A722" w:rsidR="00246D65" w:rsidRDefault="00246D6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_Toc532144816 \h </w:instrText>
      </w:r>
      <w:r>
        <w:rPr>
          <w:noProof/>
        </w:rPr>
      </w:r>
      <w:r>
        <w:rPr>
          <w:noProof/>
        </w:rPr>
        <w:fldChar w:fldCharType="separate"/>
      </w:r>
      <w:r w:rsidR="000F002E">
        <w:rPr>
          <w:noProof/>
        </w:rPr>
        <w:t>107</w:t>
      </w:r>
      <w:r>
        <w:rPr>
          <w:noProof/>
        </w:rPr>
        <w:fldChar w:fldCharType="end"/>
      </w:r>
    </w:p>
    <w:p w14:paraId="7E6FB7A3" w14:textId="25272308" w:rsidR="00246D65" w:rsidRDefault="00246D6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_Toc532144817 \h </w:instrText>
      </w:r>
      <w:r>
        <w:rPr>
          <w:noProof/>
        </w:rPr>
      </w:r>
      <w:r>
        <w:rPr>
          <w:noProof/>
        </w:rPr>
        <w:fldChar w:fldCharType="separate"/>
      </w:r>
      <w:r w:rsidR="000F002E">
        <w:rPr>
          <w:noProof/>
        </w:rPr>
        <w:t>108</w:t>
      </w:r>
      <w:r>
        <w:rPr>
          <w:noProof/>
        </w:rPr>
        <w:fldChar w:fldCharType="end"/>
      </w:r>
    </w:p>
    <w:p w14:paraId="1EE4E486" w14:textId="2E7897C8" w:rsidR="00246D65" w:rsidRDefault="00246D65">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_Toc532144818 \h </w:instrText>
      </w:r>
      <w:r>
        <w:rPr>
          <w:noProof/>
        </w:rPr>
      </w:r>
      <w:r>
        <w:rPr>
          <w:noProof/>
        </w:rPr>
        <w:fldChar w:fldCharType="separate"/>
      </w:r>
      <w:r w:rsidR="000F002E">
        <w:rPr>
          <w:noProof/>
        </w:rPr>
        <w:t>109</w:t>
      </w:r>
      <w:r>
        <w:rPr>
          <w:noProof/>
        </w:rPr>
        <w:fldChar w:fldCharType="end"/>
      </w:r>
    </w:p>
    <w:p w14:paraId="4E1FA958" w14:textId="7FDEAB82" w:rsidR="00246D65" w:rsidRDefault="00246D6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_Toc532144819 \h </w:instrText>
      </w:r>
      <w:r>
        <w:rPr>
          <w:noProof/>
        </w:rPr>
      </w:r>
      <w:r>
        <w:rPr>
          <w:noProof/>
        </w:rPr>
        <w:fldChar w:fldCharType="separate"/>
      </w:r>
      <w:r w:rsidR="000F002E">
        <w:rPr>
          <w:noProof/>
        </w:rPr>
        <w:t>111</w:t>
      </w:r>
      <w:r>
        <w:rPr>
          <w:noProof/>
        </w:rPr>
        <w:fldChar w:fldCharType="end"/>
      </w:r>
    </w:p>
    <w:p w14:paraId="2FB06571" w14:textId="24680081" w:rsidR="00246D65" w:rsidRDefault="00246D6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_Toc532144820 \h </w:instrText>
      </w:r>
      <w:r>
        <w:rPr>
          <w:noProof/>
        </w:rPr>
      </w:r>
      <w:r>
        <w:rPr>
          <w:noProof/>
        </w:rPr>
        <w:fldChar w:fldCharType="separate"/>
      </w:r>
      <w:r w:rsidR="000F002E">
        <w:rPr>
          <w:noProof/>
        </w:rPr>
        <w:t>114</w:t>
      </w:r>
      <w:r>
        <w:rPr>
          <w:noProof/>
        </w:rPr>
        <w:fldChar w:fldCharType="end"/>
      </w:r>
    </w:p>
    <w:p w14:paraId="1D307D0A" w14:textId="179FC03C" w:rsidR="00246D65" w:rsidRDefault="00246D65">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_Toc532144821 \h </w:instrText>
      </w:r>
      <w:r>
        <w:rPr>
          <w:noProof/>
        </w:rPr>
      </w:r>
      <w:r>
        <w:rPr>
          <w:noProof/>
        </w:rPr>
        <w:fldChar w:fldCharType="separate"/>
      </w:r>
      <w:r w:rsidR="000F002E">
        <w:rPr>
          <w:noProof/>
        </w:rPr>
        <w:t>114</w:t>
      </w:r>
      <w:r>
        <w:rPr>
          <w:noProof/>
        </w:rPr>
        <w:fldChar w:fldCharType="end"/>
      </w:r>
    </w:p>
    <w:p w14:paraId="6839AC11" w14:textId="66B7443F" w:rsidR="00246D65" w:rsidRDefault="00246D65">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_Toc532144822 \h </w:instrText>
      </w:r>
      <w:r>
        <w:rPr>
          <w:noProof/>
        </w:rPr>
      </w:r>
      <w:r>
        <w:rPr>
          <w:noProof/>
        </w:rPr>
        <w:fldChar w:fldCharType="separate"/>
      </w:r>
      <w:r w:rsidR="000F002E">
        <w:rPr>
          <w:noProof/>
        </w:rPr>
        <w:t>120</w:t>
      </w:r>
      <w:r>
        <w:rPr>
          <w:noProof/>
        </w:rPr>
        <w:fldChar w:fldCharType="end"/>
      </w:r>
    </w:p>
    <w:p w14:paraId="078AF44D" w14:textId="74AE6531" w:rsidR="00246D65" w:rsidRDefault="00246D65">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_Toc532144823 \h </w:instrText>
      </w:r>
      <w:r>
        <w:rPr>
          <w:noProof/>
        </w:rPr>
      </w:r>
      <w:r>
        <w:rPr>
          <w:noProof/>
        </w:rPr>
        <w:fldChar w:fldCharType="separate"/>
      </w:r>
      <w:r w:rsidR="000F002E">
        <w:rPr>
          <w:noProof/>
        </w:rPr>
        <w:t>122</w:t>
      </w:r>
      <w:r>
        <w:rPr>
          <w:noProof/>
        </w:rPr>
        <w:fldChar w:fldCharType="end"/>
      </w:r>
    </w:p>
    <w:p w14:paraId="78CAE591" w14:textId="2BA3C3B5" w:rsidR="00246D65" w:rsidRDefault="00246D65">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_Toc532144824 \h </w:instrText>
      </w:r>
      <w:r>
        <w:rPr>
          <w:noProof/>
        </w:rPr>
      </w:r>
      <w:r>
        <w:rPr>
          <w:noProof/>
        </w:rPr>
        <w:fldChar w:fldCharType="separate"/>
      </w:r>
      <w:r w:rsidR="000F002E">
        <w:rPr>
          <w:noProof/>
        </w:rPr>
        <w:t>123</w:t>
      </w:r>
      <w:r>
        <w:rPr>
          <w:noProof/>
        </w:rPr>
        <w:fldChar w:fldCharType="end"/>
      </w:r>
    </w:p>
    <w:p w14:paraId="1AD5E357" w14:textId="0A0883FF" w:rsidR="00246D65" w:rsidRDefault="00246D65">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_Toc532144825 \h </w:instrText>
      </w:r>
      <w:r>
        <w:rPr>
          <w:noProof/>
        </w:rPr>
      </w:r>
      <w:r>
        <w:rPr>
          <w:noProof/>
        </w:rPr>
        <w:fldChar w:fldCharType="separate"/>
      </w:r>
      <w:r w:rsidR="000F002E">
        <w:rPr>
          <w:noProof/>
        </w:rPr>
        <w:t>123</w:t>
      </w:r>
      <w:r>
        <w:rPr>
          <w:noProof/>
        </w:rPr>
        <w:fldChar w:fldCharType="end"/>
      </w:r>
    </w:p>
    <w:p w14:paraId="1A7F373B" w14:textId="7227E1E7" w:rsidR="00246D65" w:rsidRDefault="00246D65">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_Toc532144826 \h </w:instrText>
      </w:r>
      <w:r>
        <w:rPr>
          <w:noProof/>
        </w:rPr>
      </w:r>
      <w:r>
        <w:rPr>
          <w:noProof/>
        </w:rPr>
        <w:fldChar w:fldCharType="separate"/>
      </w:r>
      <w:r w:rsidR="000F002E">
        <w:rPr>
          <w:noProof/>
        </w:rPr>
        <w:t>125</w:t>
      </w:r>
      <w:r>
        <w:rPr>
          <w:noProof/>
        </w:rPr>
        <w:fldChar w:fldCharType="end"/>
      </w:r>
    </w:p>
    <w:p w14:paraId="1D7695DF" w14:textId="7BDA41A0" w:rsidR="00246D65" w:rsidRDefault="00246D65">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_Toc532144827 \h </w:instrText>
      </w:r>
      <w:r>
        <w:rPr>
          <w:noProof/>
        </w:rPr>
      </w:r>
      <w:r>
        <w:rPr>
          <w:noProof/>
        </w:rPr>
        <w:fldChar w:fldCharType="separate"/>
      </w:r>
      <w:r w:rsidR="000F002E">
        <w:rPr>
          <w:noProof/>
        </w:rPr>
        <w:t>126</w:t>
      </w:r>
      <w:r>
        <w:rPr>
          <w:noProof/>
        </w:rPr>
        <w:fldChar w:fldCharType="end"/>
      </w:r>
    </w:p>
    <w:p w14:paraId="696051C5" w14:textId="555733BE"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_Toc532144828 \h </w:instrText>
      </w:r>
      <w:r>
        <w:rPr>
          <w:noProof/>
        </w:rPr>
      </w:r>
      <w:r>
        <w:rPr>
          <w:noProof/>
        </w:rPr>
        <w:fldChar w:fldCharType="separate"/>
      </w:r>
      <w:r w:rsidR="000F002E">
        <w:rPr>
          <w:noProof/>
        </w:rPr>
        <w:t>126</w:t>
      </w:r>
      <w:r>
        <w:rPr>
          <w:noProof/>
        </w:rPr>
        <w:fldChar w:fldCharType="end"/>
      </w:r>
    </w:p>
    <w:p w14:paraId="2F2DD087" w14:textId="0C18B256" w:rsidR="00246D65" w:rsidRDefault="00246D65">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_Toc532144829 \h </w:instrText>
      </w:r>
      <w:r>
        <w:rPr>
          <w:noProof/>
        </w:rPr>
      </w:r>
      <w:r>
        <w:rPr>
          <w:noProof/>
        </w:rPr>
        <w:fldChar w:fldCharType="separate"/>
      </w:r>
      <w:r w:rsidR="000F002E">
        <w:rPr>
          <w:noProof/>
        </w:rPr>
        <w:t>128</w:t>
      </w:r>
      <w:r>
        <w:rPr>
          <w:noProof/>
        </w:rPr>
        <w:fldChar w:fldCharType="end"/>
      </w:r>
    </w:p>
    <w:p w14:paraId="0BA59C58" w14:textId="4B82421D" w:rsidR="00246D65" w:rsidRDefault="00246D65">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_Toc532144830 \h </w:instrText>
      </w:r>
      <w:r>
        <w:rPr>
          <w:noProof/>
        </w:rPr>
      </w:r>
      <w:r>
        <w:rPr>
          <w:noProof/>
        </w:rPr>
        <w:fldChar w:fldCharType="separate"/>
      </w:r>
      <w:r w:rsidR="000F002E">
        <w:rPr>
          <w:noProof/>
        </w:rPr>
        <w:t>128</w:t>
      </w:r>
      <w:r>
        <w:rPr>
          <w:noProof/>
        </w:rPr>
        <w:fldChar w:fldCharType="end"/>
      </w:r>
    </w:p>
    <w:p w14:paraId="6B6B9284" w14:textId="32279522" w:rsidR="00246D65" w:rsidRDefault="00246D65">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_Toc532144831 \h </w:instrText>
      </w:r>
      <w:r>
        <w:rPr>
          <w:noProof/>
        </w:rPr>
      </w:r>
      <w:r>
        <w:rPr>
          <w:noProof/>
        </w:rPr>
        <w:fldChar w:fldCharType="separate"/>
      </w:r>
      <w:r w:rsidR="000F002E">
        <w:rPr>
          <w:noProof/>
        </w:rPr>
        <w:t>129</w:t>
      </w:r>
      <w:r>
        <w:rPr>
          <w:noProof/>
        </w:rPr>
        <w:fldChar w:fldCharType="end"/>
      </w:r>
    </w:p>
    <w:p w14:paraId="18E0B4C9" w14:textId="5B168476" w:rsidR="00246D65" w:rsidRDefault="00246D6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_Toc532144832 \h </w:instrText>
      </w:r>
      <w:r>
        <w:rPr>
          <w:noProof/>
        </w:rPr>
      </w:r>
      <w:r>
        <w:rPr>
          <w:noProof/>
        </w:rPr>
        <w:fldChar w:fldCharType="separate"/>
      </w:r>
      <w:r w:rsidR="000F002E">
        <w:rPr>
          <w:noProof/>
        </w:rPr>
        <w:t>133</w:t>
      </w:r>
      <w:r>
        <w:rPr>
          <w:noProof/>
        </w:rPr>
        <w:fldChar w:fldCharType="end"/>
      </w:r>
    </w:p>
    <w:p w14:paraId="7F844CF8" w14:textId="1E8DF20C" w:rsidR="00246D65" w:rsidRDefault="00246D6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_Toc532144833 \h </w:instrText>
      </w:r>
      <w:r>
        <w:rPr>
          <w:noProof/>
        </w:rPr>
      </w:r>
      <w:r>
        <w:rPr>
          <w:noProof/>
        </w:rPr>
        <w:fldChar w:fldCharType="separate"/>
      </w:r>
      <w:r w:rsidR="000F002E">
        <w:rPr>
          <w:noProof/>
        </w:rPr>
        <w:t>133</w:t>
      </w:r>
      <w:r>
        <w:rPr>
          <w:noProof/>
        </w:rPr>
        <w:fldChar w:fldCharType="end"/>
      </w:r>
    </w:p>
    <w:p w14:paraId="1189D104" w14:textId="707BA4FA" w:rsidR="00246D65" w:rsidRDefault="00246D6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_Toc532144834 \h </w:instrText>
      </w:r>
      <w:r>
        <w:rPr>
          <w:noProof/>
        </w:rPr>
      </w:r>
      <w:r>
        <w:rPr>
          <w:noProof/>
        </w:rPr>
        <w:fldChar w:fldCharType="separate"/>
      </w:r>
      <w:r w:rsidR="000F002E">
        <w:rPr>
          <w:noProof/>
        </w:rPr>
        <w:t>133</w:t>
      </w:r>
      <w:r>
        <w:rPr>
          <w:noProof/>
        </w:rPr>
        <w:fldChar w:fldCharType="end"/>
      </w:r>
    </w:p>
    <w:p w14:paraId="6F2430EF" w14:textId="6CA55469" w:rsidR="00246D65" w:rsidRDefault="00246D65">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_Toc532144835 \h </w:instrText>
      </w:r>
      <w:r>
        <w:rPr>
          <w:noProof/>
        </w:rPr>
      </w:r>
      <w:r>
        <w:rPr>
          <w:noProof/>
        </w:rPr>
        <w:fldChar w:fldCharType="separate"/>
      </w:r>
      <w:r w:rsidR="000F002E">
        <w:rPr>
          <w:noProof/>
        </w:rPr>
        <w:t>133</w:t>
      </w:r>
      <w:r>
        <w:rPr>
          <w:noProof/>
        </w:rPr>
        <w:fldChar w:fldCharType="end"/>
      </w:r>
    </w:p>
    <w:p w14:paraId="5A7640A7" w14:textId="3F541E87" w:rsidR="00246D65" w:rsidRDefault="00246D6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_Toc532144836 \h </w:instrText>
      </w:r>
      <w:r>
        <w:rPr>
          <w:noProof/>
        </w:rPr>
      </w:r>
      <w:r>
        <w:rPr>
          <w:noProof/>
        </w:rPr>
        <w:fldChar w:fldCharType="separate"/>
      </w:r>
      <w:r w:rsidR="000F002E">
        <w:rPr>
          <w:noProof/>
        </w:rPr>
        <w:t>134</w:t>
      </w:r>
      <w:r>
        <w:rPr>
          <w:noProof/>
        </w:rPr>
        <w:fldChar w:fldCharType="end"/>
      </w:r>
    </w:p>
    <w:p w14:paraId="059B1C04" w14:textId="13FDA60B" w:rsidR="00246D65" w:rsidRDefault="00246D65">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_Toc532144837 \h </w:instrText>
      </w:r>
      <w:r>
        <w:rPr>
          <w:noProof/>
        </w:rPr>
      </w:r>
      <w:r>
        <w:rPr>
          <w:noProof/>
        </w:rPr>
        <w:fldChar w:fldCharType="separate"/>
      </w:r>
      <w:r w:rsidR="000F002E">
        <w:rPr>
          <w:noProof/>
        </w:rPr>
        <w:t>134</w:t>
      </w:r>
      <w:r>
        <w:rPr>
          <w:noProof/>
        </w:rPr>
        <w:fldChar w:fldCharType="end"/>
      </w:r>
    </w:p>
    <w:p w14:paraId="2A8E74A9" w14:textId="63515B52" w:rsidR="00246D65" w:rsidRDefault="00246D65">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_Toc532144838 \h </w:instrText>
      </w:r>
      <w:r>
        <w:rPr>
          <w:noProof/>
        </w:rPr>
      </w:r>
      <w:r>
        <w:rPr>
          <w:noProof/>
        </w:rPr>
        <w:fldChar w:fldCharType="separate"/>
      </w:r>
      <w:r w:rsidR="000F002E">
        <w:rPr>
          <w:noProof/>
        </w:rPr>
        <w:t>135</w:t>
      </w:r>
      <w:r>
        <w:rPr>
          <w:noProof/>
        </w:rPr>
        <w:fldChar w:fldCharType="end"/>
      </w:r>
    </w:p>
    <w:p w14:paraId="361E3B81" w14:textId="22569052" w:rsidR="00246D65" w:rsidRDefault="00246D65">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_Toc532144839 \h </w:instrText>
      </w:r>
      <w:r>
        <w:rPr>
          <w:noProof/>
        </w:rPr>
      </w:r>
      <w:r>
        <w:rPr>
          <w:noProof/>
        </w:rPr>
        <w:fldChar w:fldCharType="separate"/>
      </w:r>
      <w:r w:rsidR="000F002E">
        <w:rPr>
          <w:noProof/>
        </w:rPr>
        <w:t>135</w:t>
      </w:r>
      <w:r>
        <w:rPr>
          <w:noProof/>
        </w:rPr>
        <w:fldChar w:fldCharType="end"/>
      </w:r>
    </w:p>
    <w:p w14:paraId="40DDA1F9" w14:textId="7A4A357B" w:rsidR="00246D65" w:rsidRDefault="00246D65">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_Toc532144840 \h </w:instrText>
      </w:r>
      <w:r>
        <w:rPr>
          <w:noProof/>
        </w:rPr>
      </w:r>
      <w:r>
        <w:rPr>
          <w:noProof/>
        </w:rPr>
        <w:fldChar w:fldCharType="separate"/>
      </w:r>
      <w:r w:rsidR="000F002E">
        <w:rPr>
          <w:noProof/>
        </w:rPr>
        <w:t>136</w:t>
      </w:r>
      <w:r>
        <w:rPr>
          <w:noProof/>
        </w:rPr>
        <w:fldChar w:fldCharType="end"/>
      </w:r>
    </w:p>
    <w:p w14:paraId="119BACB2" w14:textId="75898948" w:rsidR="00246D65" w:rsidRDefault="00246D65">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_Toc532144841 \h </w:instrText>
      </w:r>
      <w:r>
        <w:rPr>
          <w:noProof/>
        </w:rPr>
      </w:r>
      <w:r>
        <w:rPr>
          <w:noProof/>
        </w:rPr>
        <w:fldChar w:fldCharType="separate"/>
      </w:r>
      <w:r w:rsidR="000F002E">
        <w:rPr>
          <w:noProof/>
        </w:rPr>
        <w:t>137</w:t>
      </w:r>
      <w:r>
        <w:rPr>
          <w:noProof/>
        </w:rPr>
        <w:fldChar w:fldCharType="end"/>
      </w:r>
    </w:p>
    <w:p w14:paraId="1C3CD6F9" w14:textId="03C5BACB" w:rsidR="00246D65" w:rsidRDefault="00246D6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_Toc532144842 \h </w:instrText>
      </w:r>
      <w:r>
        <w:rPr>
          <w:noProof/>
        </w:rPr>
      </w:r>
      <w:r>
        <w:rPr>
          <w:noProof/>
        </w:rPr>
        <w:fldChar w:fldCharType="separate"/>
      </w:r>
      <w:r w:rsidR="000F002E">
        <w:rPr>
          <w:noProof/>
        </w:rPr>
        <w:t>139</w:t>
      </w:r>
      <w:r>
        <w:rPr>
          <w:noProof/>
        </w:rPr>
        <w:fldChar w:fldCharType="end"/>
      </w:r>
    </w:p>
    <w:p w14:paraId="307D607D" w14:textId="4EB4378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6B21B13A" w:rsidR="00812945" w:rsidRDefault="00812945" w:rsidP="00812945">
      <w:pPr>
        <w:pStyle w:val="Heading1"/>
      </w:pPr>
      <w:bookmarkStart w:id="3" w:name="_Toc532144731"/>
      <w:r w:rsidRPr="00C05534">
        <w:lastRenderedPageBreak/>
        <w:t xml:space="preserve">What’s New in MESMER </w:t>
      </w:r>
      <w:r w:rsidR="00AD1A87">
        <w:t>5.</w:t>
      </w:r>
      <w:r w:rsidR="0079292F">
        <w:t>2</w:t>
      </w:r>
      <w:bookmarkEnd w:id="3"/>
    </w:p>
    <w:p w14:paraId="564530F9" w14:textId="0C4315DB" w:rsidR="00AC2B99" w:rsidRDefault="00AC2B99" w:rsidP="00AC2B99">
      <w:pPr>
        <w:ind w:left="357"/>
      </w:pPr>
      <w:r>
        <w:t>MESMER Input</w:t>
      </w:r>
      <w:r w:rsidR="007754BB">
        <w:t>, bug fixes</w:t>
      </w:r>
      <w:r>
        <w:t xml:space="preserve"> and Other Changes:</w:t>
      </w:r>
    </w:p>
    <w:p w14:paraId="3751B960" w14:textId="2AAC9974" w:rsidR="00DD3F95" w:rsidRDefault="00C16C10" w:rsidP="003420F8">
      <w:pPr>
        <w:numPr>
          <w:ilvl w:val="0"/>
          <w:numId w:val="2"/>
        </w:numPr>
        <w:ind w:left="357" w:firstLine="0"/>
      </w:pPr>
      <w:r>
        <w:t>A</w:t>
      </w:r>
      <w:r w:rsidR="00042C66">
        <w:t>n</w:t>
      </w:r>
      <w:r>
        <w:t xml:space="preserve"> </w:t>
      </w:r>
      <w:r w:rsidR="00042C66">
        <w:t>issue</w:t>
      </w:r>
      <w:r>
        <w:t xml:space="preserve"> </w:t>
      </w:r>
      <w:r w:rsidR="00AD3B76">
        <w:t xml:space="preserve">relating to electronic </w:t>
      </w:r>
      <w:r>
        <w:t xml:space="preserve">spin multiplicity </w:t>
      </w:r>
      <w:r w:rsidR="00AD3B76">
        <w:t xml:space="preserve">of atomic species such that it was not being correctly accounted for when densities </w:t>
      </w:r>
      <w:r w:rsidR="001850AB">
        <w:t>o</w:t>
      </w:r>
      <w:r w:rsidR="00AD3B76">
        <w:t xml:space="preserve">f states </w:t>
      </w:r>
      <w:r w:rsidR="002C766B">
        <w:t>we</w:t>
      </w:r>
      <w:r w:rsidR="00AD3B76">
        <w:t xml:space="preserve">re convolved, </w:t>
      </w:r>
      <w:r>
        <w:t>has been addres</w:t>
      </w:r>
      <w:r w:rsidR="00042C66">
        <w:t>s</w:t>
      </w:r>
      <w:r>
        <w:t>ed</w:t>
      </w:r>
      <w:r w:rsidR="00DD3F95">
        <w:t>.</w:t>
      </w:r>
      <w:r w:rsidR="00042C66">
        <w:t xml:space="preserve"> </w:t>
      </w:r>
      <w:r w:rsidR="001850AB">
        <w:t>We strongly recommend that users studying reactions involving atomic species re-run related calculations. We thank our colleague Prof. John Plane for bring this problem to our attention.</w:t>
      </w:r>
    </w:p>
    <w:p w14:paraId="7DA3E757" w14:textId="047E79B3" w:rsidR="00DD3F95" w:rsidRDefault="00753872" w:rsidP="003420F8">
      <w:pPr>
        <w:numPr>
          <w:ilvl w:val="0"/>
          <w:numId w:val="2"/>
        </w:numPr>
        <w:ind w:left="357" w:firstLine="0"/>
      </w:pPr>
      <w:r>
        <w:t>An issue relating the convolution of the density of states</w:t>
      </w:r>
      <w:r w:rsidR="00A942E3">
        <w:t>,</w:t>
      </w:r>
      <w:r>
        <w:t xml:space="preserve"> </w:t>
      </w:r>
      <w:r w:rsidR="00A942E3">
        <w:t>when the density of states has a very strong dependency on energy, has been addressed. We thank Charles McGill of North Carolina State University</w:t>
      </w:r>
      <w:r w:rsidR="00246D65">
        <w:t>, US</w:t>
      </w:r>
      <w:r w:rsidR="00A942E3">
        <w:t xml:space="preserve"> for bringing this problem to our attention.</w:t>
      </w:r>
    </w:p>
    <w:p w14:paraId="6A26755E" w14:textId="159A5883" w:rsidR="00A942E3" w:rsidRDefault="00A942E3" w:rsidP="00A942E3">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0F002E">
        <w:t>7.3.5</w:t>
      </w:r>
      <w:r>
        <w:fldChar w:fldCharType="end"/>
      </w:r>
      <w:r>
        <w:t>). We thank Charles McGill of North Carolina State University</w:t>
      </w:r>
      <w:r w:rsidR="00246D65">
        <w:t>, US</w:t>
      </w:r>
      <w:r>
        <w:t xml:space="preserve"> for suggesting this change. </w:t>
      </w:r>
    </w:p>
    <w:p w14:paraId="60718584" w14:textId="56C691FD" w:rsidR="00A942E3" w:rsidRDefault="00A942E3" w:rsidP="00A942E3">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0F002E">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612BD8BB" w14:textId="419E3E37" w:rsidR="00A942E3" w:rsidRPr="00812945" w:rsidRDefault="00A942E3" w:rsidP="003420F8">
      <w:pPr>
        <w:numPr>
          <w:ilvl w:val="0"/>
          <w:numId w:val="2"/>
        </w:numPr>
        <w:ind w:left="357" w:firstLine="0"/>
      </w:pPr>
      <w:r>
        <w:t xml:space="preserve">The output format for the analytical representation methods has been extended to include </w:t>
      </w:r>
      <w:r w:rsidR="00915ACE">
        <w:t>the NASA polynomial expressions for the stable species involved in the scheme. We thank Chong-Wen Zhou of Beihang University, Beijing, China for suggesting this change.</w:t>
      </w:r>
    </w:p>
    <w:p w14:paraId="0F1989BE" w14:textId="77777777" w:rsidR="00F77C82" w:rsidRPr="00C05534" w:rsidRDefault="00F77C82" w:rsidP="00C05534">
      <w:pPr>
        <w:pStyle w:val="Heading1"/>
      </w:pPr>
      <w:bookmarkStart w:id="4" w:name="_Toc532144732"/>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w:t>
      </w:r>
      <w:r>
        <w:lastRenderedPageBreak/>
        <w:t>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532144733"/>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532144734"/>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F0177C"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532144735"/>
      <w:r>
        <w:t>Parallel MESMER</w:t>
      </w:r>
      <w:bookmarkEnd w:id="7"/>
      <w:bookmarkEnd w:id="8"/>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532144736"/>
      <w:r>
        <w:lastRenderedPageBreak/>
        <w:t>Windows</w:t>
      </w:r>
      <w:bookmarkEnd w:id="9"/>
    </w:p>
    <w:p w14:paraId="3AA7B3A2" w14:textId="77777777" w:rsidR="00F77C82" w:rsidRDefault="00F77C82" w:rsidP="00C05534">
      <w:pPr>
        <w:pStyle w:val="Heading3"/>
      </w:pPr>
      <w:bookmarkStart w:id="10" w:name="_Toc532144737"/>
      <w:r>
        <w:t>Installing the Binary on Windows</w:t>
      </w:r>
      <w:bookmarkEnd w:id="10"/>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1" w:name="_Toc532144738"/>
      <w:r>
        <w:t>Compiling on Windows</w:t>
      </w:r>
      <w:bookmarkEnd w:id="11"/>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71A64EB8"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F002E">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F0177C">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F0177C">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532144739"/>
      <w:r>
        <w:t>Compiling P</w:t>
      </w:r>
      <w:r w:rsidR="00D51B79">
        <w:t>arallel MESMER on Windows</w:t>
      </w:r>
      <w:bookmarkEnd w:id="12"/>
      <w:bookmarkEnd w:id="13"/>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w:t>
      </w:r>
      <w:r>
        <w:lastRenderedPageBreak/>
        <w:t xml:space="preserve">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532144740"/>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30BC4614"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F002E">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532144741"/>
      <w:r>
        <w:lastRenderedPageBreak/>
        <w:t>Running P</w:t>
      </w:r>
      <w:r w:rsidR="00D51B79">
        <w:t>arallel MESMER on Windows</w:t>
      </w:r>
      <w:bookmarkEnd w:id="15"/>
    </w:p>
    <w:p w14:paraId="5918A3ED" w14:textId="481C41E2"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0F002E">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532144742"/>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532144743"/>
      <w:r>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Toc532144744"/>
      <w:r>
        <w:t>Compiling QD for higher precision arithmetic</w:t>
      </w:r>
      <w:bookmarkEnd w:id="19"/>
    </w:p>
    <w:p w14:paraId="242E5098" w14:textId="77777777" w:rsidR="00F77C82" w:rsidRDefault="00F77C82">
      <w:r>
        <w:t xml:space="preserve">MESMER uses numerical matrix techniques to formulate and solve the ME.  Because of this, MESMER is not immune to numerical precision problems.  In the Energy Grained Master </w:t>
      </w:r>
      <w:r>
        <w:lastRenderedPageBreak/>
        <w:t xml:space="preserve">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666DB177"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F002E">
        <w:t>7.3.1</w:t>
      </w:r>
      <w:r>
        <w:fldChar w:fldCharType="end"/>
      </w:r>
      <w:r>
        <w:t xml:space="preserve">. </w:t>
      </w:r>
    </w:p>
    <w:p w14:paraId="7A0E535B" w14:textId="77777777" w:rsidR="00F77C82" w:rsidRDefault="004A0097" w:rsidP="00E41937">
      <w:pPr>
        <w:pStyle w:val="Heading3"/>
      </w:pPr>
      <w:bookmarkStart w:id="20" w:name="_Ref481614377"/>
      <w:bookmarkStart w:id="21" w:name="_Toc532144745"/>
      <w:r>
        <w:lastRenderedPageBreak/>
        <w:t xml:space="preserve">Compiling </w:t>
      </w:r>
      <w:r w:rsidR="00F77C82">
        <w:t>the Main Executable</w:t>
      </w:r>
      <w:bookmarkEnd w:id="20"/>
      <w:bookmarkEnd w:id="21"/>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w:t>
      </w:r>
      <w:r>
        <w:lastRenderedPageBreak/>
        <w:t xml:space="preserve">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2" w:name="_Ref481616753"/>
      <w:bookmarkStart w:id="23" w:name="_Toc532144746"/>
      <w:r>
        <w:t>Compiling Parallel MESMER on Linux</w:t>
      </w:r>
      <w:bookmarkEnd w:id="22"/>
      <w:bookmarkEnd w:id="23"/>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7F76D11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0F002E">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lastRenderedPageBreak/>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4" w:name="_Toc532144747"/>
      <w:r>
        <w:t>Running on Linux/UNIX/Mac</w:t>
      </w:r>
      <w:bookmarkEnd w:id="24"/>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5" w:name="_Toc532144748"/>
      <w:r>
        <w:t>Running Parallel MESMER on Linux/UNIX/Mac</w:t>
      </w:r>
      <w:bookmarkEnd w:id="25"/>
    </w:p>
    <w:p w14:paraId="2A4856FB" w14:textId="25A01AFB"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0F002E">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6" w:name="_Toc532144749"/>
      <w:r>
        <w:lastRenderedPageBreak/>
        <w:t>Testing MESMER on Windows and Linux/UNIX/Mac</w:t>
      </w:r>
      <w:bookmarkEnd w:id="26"/>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84D7DE8"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F002E">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7" w:name="_Ref316226847"/>
      <w:bookmarkStart w:id="28" w:name="_Toc532144750"/>
      <w:r>
        <w:t>MESMER command line</w:t>
      </w:r>
      <w:bookmarkEnd w:id="27"/>
      <w:bookmarkEnd w:id="28"/>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lastRenderedPageBreak/>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lastRenderedPageBreak/>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29" w:name="_Toc532144751"/>
      <w:r>
        <w:t>MESMER environment variables</w:t>
      </w:r>
      <w:bookmarkEnd w:id="29"/>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0" w:name="_Ref316227407"/>
      <w:bookmarkStart w:id="31" w:name="_Toc532144752"/>
      <w:r w:rsidRPr="00C05534">
        <w:lastRenderedPageBreak/>
        <w:t>MESMER data files</w:t>
      </w:r>
      <w:bookmarkEnd w:id="30"/>
      <w:bookmarkEnd w:id="31"/>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2" w:name="_Ref316227181"/>
      <w:bookmarkStart w:id="33" w:name="_Toc532144753"/>
      <w:r w:rsidRPr="00246233">
        <w:t>Editing and Viewing Data Files</w:t>
      </w:r>
      <w:bookmarkEnd w:id="32"/>
      <w:bookmarkEnd w:id="33"/>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F0177C">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473CC1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F002E" w:rsidRPr="00592261">
        <w:t>Figure 2</w:t>
      </w:r>
      <w:r w:rsidR="000F002E">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4" w:name="_Ref216672916"/>
      <w:r w:rsidRPr="00592261">
        <w:rPr>
          <w:b w:val="0"/>
        </w:rPr>
        <w:lastRenderedPageBreak/>
        <w:t>Figure 2</w:t>
      </w:r>
      <w:r w:rsidR="00517AE8">
        <w:rPr>
          <w:b w:val="0"/>
        </w:rPr>
        <w:t>:</w:t>
      </w:r>
      <w:bookmarkEnd w:id="34"/>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5" w:name="_Ref376018185"/>
      <w:bookmarkStart w:id="36" w:name="_Toc532144754"/>
      <w:r>
        <w:t>Validation of MESMER input</w:t>
      </w:r>
      <w:bookmarkEnd w:id="35"/>
      <w:bookmarkEnd w:id="36"/>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7" w:name="_Toc532144755"/>
      <w:r w:rsidRPr="00246233">
        <w:lastRenderedPageBreak/>
        <w:t>The basics of the *.xml input file</w:t>
      </w:r>
      <w:bookmarkEnd w:id="37"/>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8" w:name="_Ref345780303"/>
      <w:bookmarkStart w:id="39" w:name="_Toc532144756"/>
      <w:r>
        <w:t>moleculeList</w:t>
      </w:r>
      <w:bookmarkEnd w:id="38"/>
      <w:bookmarkEnd w:id="39"/>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w:t>
      </w:r>
      <w:r>
        <w:lastRenderedPageBreak/>
        <w:t>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0"/>
      <w:r w:rsidR="00F11EE7">
        <w:t xml:space="preserve"> </w:t>
      </w:r>
    </w:p>
    <w:p w14:paraId="62226313" w14:textId="093C8609"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w:t>
      </w:r>
      <w:r w:rsidR="00B218B8">
        <w:lastRenderedPageBreak/>
        <w:t xml:space="preserve">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F002E">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6D00B442"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F002E">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A864E4F"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9C7135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488B39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FF91DC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F0177C"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33164109"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F002E">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w:t>
      </w:r>
      <w:r>
        <w:lastRenderedPageBreak/>
        <w:t xml:space="preserve">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10A11D9F" w:rsidR="00EE2807" w:rsidRDefault="00221856" w:rsidP="00EE2807">
      <w:pPr>
        <w:numPr>
          <w:ilvl w:val="0"/>
          <w:numId w:val="12"/>
        </w:numPr>
      </w:pPr>
      <w:bookmarkStart w:id="41"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sidR="00EE2807">
        <w:t xml:space="preserve"> Another situation where coupling between motions can have a </w:t>
      </w:r>
      <w:r w:rsidR="00EE2807">
        <w:lastRenderedPageBreak/>
        <w:t xml:space="preserve">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0F002E">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581DA87"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0F002E">
        <w:t>11.2.3</w:t>
      </w:r>
      <w:r>
        <w:fldChar w:fldCharType="end"/>
      </w:r>
      <w:r>
        <w:t>.</w:t>
      </w:r>
      <w:bookmarkEnd w:id="4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2" w:name="_Ref353720118"/>
      <w:bookmarkStart w:id="43" w:name="_Toc532144757"/>
      <w:r>
        <w:t>Potential Energy Surface (Zero Point Energy Convention)</w:t>
      </w:r>
      <w:bookmarkEnd w:id="42"/>
      <w:bookmarkEnd w:id="43"/>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t xml:space="preserve">In the </w:t>
      </w:r>
      <w:r>
        <w:rPr>
          <w:i/>
        </w:rPr>
        <w:t>arbitrary</w:t>
      </w:r>
      <w:r>
        <w:t xml:space="preserve"> convention the zero is chosen by the user, often the ZPE of the lowest energy species. The user is responsible for ensuring that all the input data is referred to this </w:t>
      </w:r>
      <w:r>
        <w:lastRenderedPageBreak/>
        <w:t xml:space="preserve">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lastRenderedPageBreak/>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154145A"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0F002E">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lastRenderedPageBreak/>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49015"/>
                <wp:effectExtent l="635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49015"/>
                          <a:chOff x="1119223" y="1569492"/>
                          <a:chExt cx="5228590" cy="3548771"/>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83C22" w:rsidRDefault="00783C22"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83C22" w:rsidRDefault="00783C22"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83C22" w:rsidRDefault="00783C22"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83C22" w:rsidRDefault="00783C22"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83C22" w:rsidRDefault="00783C22"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83C22" w:rsidRDefault="00783C22"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83C22" w:rsidRDefault="00783C22"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83C22" w:rsidRDefault="00783C22" w:rsidP="00AA480E"/>
                          </w:txbxContent>
                        </wps:txbx>
                        <wps:bodyPr rtlCol="0" anchor="ctr"/>
                      </wps:wsp>
                      <wps:wsp>
                        <wps:cNvPr id="4" name="TextBox 16"/>
                        <wps:cNvSpPr txBox="1"/>
                        <wps:spPr>
                          <a:xfrm>
                            <a:off x="2914657" y="1569492"/>
                            <a:ext cx="1070610" cy="551142"/>
                          </a:xfrm>
                          <a:prstGeom prst="rect">
                            <a:avLst/>
                          </a:prstGeom>
                          <a:noFill/>
                        </wps:spPr>
                        <wps:txbx>
                          <w:txbxContent>
                            <w:p w14:paraId="7E3EB1A1"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21288"/>
                          </a:xfrm>
                          <a:prstGeom prst="rect">
                            <a:avLst/>
                          </a:prstGeom>
                          <a:noFill/>
                        </wps:spPr>
                        <wps:txbx>
                          <w:txbxContent>
                            <w:p w14:paraId="21724F6C"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21288"/>
                          </a:xfrm>
                          <a:prstGeom prst="rect">
                            <a:avLst/>
                          </a:prstGeom>
                          <a:noFill/>
                        </wps:spPr>
                        <wps:txbx>
                          <w:txbxContent>
                            <w:p w14:paraId="56003BE4"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215" cy="328272"/>
                          </a:xfrm>
                          <a:prstGeom prst="rect">
                            <a:avLst/>
                          </a:prstGeom>
                          <a:noFill/>
                        </wps:spPr>
                        <wps:txbx>
                          <w:txbxContent>
                            <w:p w14:paraId="2FD1D34A"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83C22" w:rsidRDefault="00783C22" w:rsidP="00AA480E"/>
                          </w:txbxContent>
                        </wps:txbx>
                        <wps:bodyPr rtlCol="0" anchor="ctr"/>
                      </wps:wsp>
                      <wps:wsp>
                        <wps:cNvPr id="36" name="TextBox 24"/>
                        <wps:cNvSpPr txBox="1"/>
                        <wps:spPr>
                          <a:xfrm>
                            <a:off x="1123953" y="4305959"/>
                            <a:ext cx="703580" cy="290175"/>
                          </a:xfrm>
                          <a:prstGeom prst="rect">
                            <a:avLst/>
                          </a:prstGeom>
                          <a:noFill/>
                        </wps:spPr>
                        <wps:txbx>
                          <w:txbxContent>
                            <w:p w14:paraId="6758692E"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83C22" w:rsidRDefault="00783C22" w:rsidP="00AA480E"/>
                          </w:txbxContent>
                        </wps:txbx>
                        <wps:bodyPr rtlCol="0" anchor="ctr"/>
                      </wps:wsp>
                      <wps:wsp>
                        <wps:cNvPr id="38" name="TextBox 26"/>
                        <wps:cNvSpPr txBox="1"/>
                        <wps:spPr>
                          <a:xfrm>
                            <a:off x="1631937" y="3817523"/>
                            <a:ext cx="688340" cy="290175"/>
                          </a:xfrm>
                          <a:prstGeom prst="rect">
                            <a:avLst/>
                          </a:prstGeom>
                          <a:noFill/>
                        </wps:spPr>
                        <wps:txbx>
                          <w:txbxContent>
                            <w:p w14:paraId="4A88F90A"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83C22" w:rsidRDefault="00783C22" w:rsidP="00AA480E"/>
                          </w:txbxContent>
                        </wps:txbx>
                        <wps:bodyPr rtlCol="0" anchor="ctr"/>
                      </wps:wsp>
                      <wps:wsp>
                        <wps:cNvPr id="40" name="TextBox 28"/>
                        <wps:cNvSpPr txBox="1"/>
                        <wps:spPr>
                          <a:xfrm>
                            <a:off x="2395820" y="3068214"/>
                            <a:ext cx="791210" cy="290175"/>
                          </a:xfrm>
                          <a:prstGeom prst="rect">
                            <a:avLst/>
                          </a:prstGeom>
                          <a:noFill/>
                        </wps:spPr>
                        <wps:txbx>
                          <w:txbxContent>
                            <w:p w14:paraId="38D53D84"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83C22" w:rsidRDefault="00783C22"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83C22" w:rsidRDefault="00783C22" w:rsidP="00AA480E"/>
                          </w:txbxContent>
                        </wps:txbx>
                        <wps:bodyPr rtlCol="0" anchor="ctr"/>
                      </wps:wsp>
                      <wps:wsp>
                        <wps:cNvPr id="43" name="TextBox 32"/>
                        <wps:cNvSpPr txBox="1"/>
                        <wps:spPr>
                          <a:xfrm>
                            <a:off x="4499200" y="4362471"/>
                            <a:ext cx="752475" cy="290175"/>
                          </a:xfrm>
                          <a:prstGeom prst="rect">
                            <a:avLst/>
                          </a:prstGeom>
                          <a:noFill/>
                        </wps:spPr>
                        <wps:txbx>
                          <w:txbxContent>
                            <w:p w14:paraId="644FA1E9"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7235" cy="290175"/>
                          </a:xfrm>
                          <a:prstGeom prst="rect">
                            <a:avLst/>
                          </a:prstGeom>
                          <a:noFill/>
                        </wps:spPr>
                        <wps:txbx>
                          <w:txbxContent>
                            <w:p w14:paraId="41525CE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83C22" w:rsidRDefault="00783C22" w:rsidP="00AA480E"/>
                          </w:txbxContent>
                        </wps:txbx>
                        <wps:bodyPr rtlCol="0" anchor="ctr"/>
                      </wps:wsp>
                      <wps:wsp>
                        <wps:cNvPr id="47" name="TextBox 35"/>
                        <wps:cNvSpPr txBox="1"/>
                        <wps:spPr>
                          <a:xfrm>
                            <a:off x="5507708" y="3714773"/>
                            <a:ext cx="840105" cy="290175"/>
                          </a:xfrm>
                          <a:prstGeom prst="rect">
                            <a:avLst/>
                          </a:prstGeom>
                          <a:noFill/>
                        </wps:spPr>
                        <wps:txbx>
                          <w:txbxContent>
                            <w:p w14:paraId="20950CB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9.45pt;mso-position-horizontal-relative:char;mso-position-vertical-relative:line" coordorigin="11192,15694" coordsize="52285,354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9pVL9g0AAJdvAAAOAAAAZHJzL2Uyb0RvYy54bWzsXdty28gRfU9V/gHFx1TFwgzuLMtbu961&#13;&#10;X3aTrdip8j7CJCixQhIMAFlyvj6np2cGF14ASpSWkvhikwLmgume092ne8C3P9wtF863rCjn+epy&#13;&#10;JN64IydbTfLpfHV1Ofr35w9/j0dOWaWrabrIV9nl6HtWjn5499e/vL1djzOZX+eLaVY46GRVjm/X&#13;&#10;l6PrqlqPLy7KyXW2TMs3+Tpb4eIsL5Zpha/F1cW0SG/R+3JxIV03vLjNi+m6yCdZWeKvP/PF0TvV&#13;&#10;/2yWTap/zmZlVjmLyxHmVql/C/XvV/r34t3bdHxVpOvr+URPI73HLJbpfIVBbVc/p1Xq3BTzja6W&#13;&#10;80mRl/msejPJlxf5bDafZOoZ8DTC7TzNxyK/WatnuRrfXq3tMmFpO+t0724n//j2e+HMp5cjT4yc&#13;&#10;VbqEjNSwjqcW53Z9NcY9H4v1p/XvBT8hPv6aT/5TYu0uutfp+1V9892sWFIjPKhzp1b9u1317K5y&#13;&#10;JvhjIGUcJBDOBNe8wE9cEbBcJtcQHrUTQiRSeiMHd4ggTPxEmjt+2dFLHEWC7rlIxzwJNVU7tds1&#13;&#10;9K2sl7R82JJ+uk7XmZJUScull1RgxrykH4osIyV28CdMikbHbbSk+lupV7ezYCKM4jjBHqIHT6I4&#13;&#10;ctVDpWOzeJ4bR0nk8+LJRAR+oBbPPnY6ntyU1ccsV3JIv/1aVhgSijrFJ/6g5zjJV6tyXmVfIIrZ&#13;&#10;coFt8LcLx3VuoQk8hm7Xuf2P9u3XuN1zA6HneTXt3P4FamZ7j/wkcJP+IZptZOLGbiKc3oFkYyAR&#13;&#10;SS8OB4zUbBR5fiDi/oEgZftEUiYeHqr/kVqNhPBC4fWPBDnbkbRU+kdqNsJqh2HQP1BbpmcV6FPq&#13;&#10;ljS9OHH9sF8wrUYicr1ogLI1pXlWgX5Nbm7op0OBswr0S6YJ6i/QEJxV4KwCZ0PQ66WdUYB87j9e&#13;&#10;tC+AuAS+tAm2HzEi6BnoeL5Az0AtaT7MEPSMdDx3sGegB0YE6N2EphR7Pl5Q2DPQUVVg3xMdVwX2&#13;&#10;jXRUFdg30FkFmBOxvECPrj1zFQCFZEmi9NrwRpO7lSaO8MlJieZ1FfO5zkui6posEkgr8xUsEegj&#13;&#10;dIlWxDr1NIZX0GxsmLxhjbHHm40VVTh4ZAit2VjRdYMbYys2G/vNZ+ZO9NoVIKaJkl4oSroaOaCk&#13;&#10;i5EDSvortUnH67SiJTcfnVtQo4bqu74cGc2j68v8W/Y5V3dWHZIVY9ZXJzdf55Ofsv8175WecJNE&#13;&#10;zVp4iYw9zbyuVU++K4MwUFfNgDw5dZVjNn1VcXLmcVsDbRtWuGEsYhYy+DxfyFg/tupZ+G4Y+ZHq&#13;&#10;OnJlFKqFxKLwVeby+Kqi6AaPK90EJAtwDFKKfD82NDJ3LN0g8kTIT4TpYZLNWYFBJF5HX1Z0zfCB&#13;&#10;Q18SaU0DS1A9Idj2xlLK2PV9wfMSMsGStC5byaM1M3hbBoasSWnUJrPaQ0rXoH8XK6VIeDTes2W+&#13;&#10;mE8/zBcL0h6Vc8neLwrnWwrVrO7Mrmvchf4W2L/g0ssxU9bqU/V9kVEXi9W/shmyCUTZK1Do9JlO&#13;&#10;JtmqMv2qu6nZDDOwDfXMKAFUT6bdUN9PTTOV4zmksW2hRs5XlW28nK/yYtu066WY8f1mBfi5aQmq&#13;&#10;u693ECh9/JpPvyMBUFSL9zlnndLV5DrHDp9UhRIc3YXkA9/++FkIoFI3C6E2FE1jUBZCSum7MWch&#13;&#10;/DCOsXlZe20WIvY82s6UwTFAbzIZTf27X/qBO1fbZcNz3Mg+DIoyPNUlMbR7+27Gpi7YDPNoJ2kW&#13;&#10;aatb23wv+8JrQduiNhqMjIxM5vHrq4tV05joxSSMM7fyDcOhCZnAKOAteIamI0KTyvCqTXuSCAUf&#13;&#10;o4tQyhEZjlCuj+Qouyq+8D0PnxVgGISKAj8OYLsfBaF058dEKO4SCLW/79eFUHot7o9QuoMzQmWz&#13;&#10;U3OeFEKpUO0kEQrQ0UWokBBmMEJ5cRSGGqEQaYUhwpAWQvluhNoBRig/iERCl2E5j+hHBVGo4tkt&#13;&#10;DNx9/SjqUvlR+/p+XSjlwYfBOt8fpXQHZ5Q6UZSyJVwnF+mBMumiVHQYSkWhJN+JdM8LXBkzDNX1&#13;&#10;ZmEEFgQB5aP4UbrzY/pR3CUQan/frwuh9FrcH6F0B2eEOlGEsvTOySEUSKQuQimSdbAfBSLaDwNN&#13;&#10;lUaghrmitkYo4QYyoMpbgqhEuqCpj+1JmSEGAlU9iS2O15cm9CBGjSIqHu0ZodkmEYkIJdip/cO0&#13;&#10;Ep+8RP3jNBslWNbWKPBNT5II600uMQ1vM1Ot/NCDWTQjOQdZGi2RQ3B2a7YkCESk2dcgBs/BgQNT&#13;&#10;c0jgeERskLKLiNgzpZV8kfVJXyQ10TuhPUr7G7cMQ5TcczqrqVd8EUxKHHCiDHtReK0J2QWgGUFn&#13;&#10;tgx5KB9IgRABxDnjULYzDipotkzZyYH9BtbLA2NmCSLPY81HJjJMkINQ2m1YPco6QPsexxvVnQ8E&#13;&#10;eR3NbyQoWvjOXVK8zBPf0XcT3l9B3oHX4hCU7OQdtBYAcO6bdxCJC5/ijDOgBRlpt+CM3bunhjMo&#13;&#10;Hug6lVxPMNip9NwkCGGqyIpKGfkuTF8LaMJA+uB0HgdodOc7wACurj3zY8Ggz5HkLins5Ynv6Pt1&#13;&#10;AY1ei/sDje7gIWHvGWj2llAoh8ZSVqcGNLaQ4jMckJ/yOwfFQthZDZhxqjv8napf9N93nOvkKJYr&#13;&#10;nFoHWo1nI1wUCVFFEEWx8P+Fb3x3kw9YF3ys06EPqB5DRZninE2NBTnZ+hbS+FVOdT6YVceTpsIV&#13;&#10;teo2DNerfotD0Zej8r83aZGhPs1Ws1Bn5frHmwod0lFS1R+30V+errQFZ5Q18luJWOXRlS1DJYKN&#13;&#10;GUUuRzx+lISJiaSsRKQUiG1YIp5EyZpaMSzzY0lE8RakXM9JIgiumeCxErGKdaBEPF8kccTBOpJj&#13;&#10;YWKKE2uJJCGC3yeUCDak3tfPSSTwW1gkn6oinV9dV86PRZHfOu9x4BuokRcIR8xzQUbvV32n0j3h&#13;&#10;iRjnOcgQggDAV4WDNQencUuK0JXKk9q9S0o9JzsZLhzcgWJUfJiOr7N0+stq6lTf13hdQVXMUYa8&#13;&#10;AEihSHaZTUfOIsO7KOgThJWOq3S+GHo35nmubyRSuxsFsL4buH9ChN+wudIWCRyKJ9L1Ql1VDK2V&#13;&#10;5PArBTF4Au5V4tUTyuR6MpbAHnrgxwN4fknCBsKv8KaUk7W4WJ8Ogc+w3HCCsGj0bYfr03yXh4ST&#13;&#10;k8QdMfjIQbIQgB8oljYMojGzDyoopc4RFqkxlPA3CJtWJYSeAXjvxlz6gi96Z8a+AbpRV6NrKNtJ&#13;&#10;cuqY18OKS1modHJBy5SQuS4k1XS1kjzF4C3B17dtY6o90hCyRAIl9D6zOPaoAOhydS1CHshsdx6L&#13;&#10;rZfhi5od41kHFtJzMHe2SBtnB9rl+o9Xca8CF2ENgnbK6lgF55P+zMp7uEUdZ5i9oQZWDg5PhPQS&#13;&#10;k3PB+3WSQEUHtcuF8ygBnWyheJHOj2zApgkGjxUv1m8yavnCJ228NutjOHfVEEiP8cLRB0FEIK0y&#13;&#10;KENpQMX4ECrjxUIQQaST0w0X4kHGiwyLSaltMUIdy6WGV5bLTmRLo1Z+QuV494+xabxs7y/WeLFQ&#13;&#10;lfHih91mvNigwIFsSL22XO2MBXcIHTL259BzEmfLQ2tHYth7wuyxLc/J1tlQ0rRNw2ykXgdbHpxV&#13;&#10;xKlJBXlItEUB3sOnPGcDeTgQRi93eELL0814M1V50pYHZ2y7YZOl93Qcu9/y4ARegGOjbHnoSGyX&#13;&#10;n9QSECgh0qdfjml2FFBtMR8tm6PHhs1pzGJLo5bNIaO2s/eutWn0+zKtDYyMecbdRsbcAY3BKuwy&#13;&#10;MmyQzhamz0ic6Glijm1sgunUYhtC/I6FuS/RT5FNLFldPRy6l6KTfY8SIU0u7GliG5tFejaxjQ+o&#13;&#10;7FgY/EnblEEWxo/BiFLhLPxSMCmorFICrUNM5nAowMTpJF31dywbQ3330GZQEFsIwROAoalnMsTO&#13;&#10;HMLK1T2/TEuDZIkl5fSzbrM4fE9X5rXNaTJnhnazlBwSqb6JkJl2E4aRw6aPmLkxrdr2qtkvBHAw&#13;&#10;I9d4acWOIEGq+GFxs/wtn/IrL6LAxYsx2KrauELZ2FZv5/TTnndzPHbIZY3MyRlEm/m2L/vmmo3B&#13;&#10;5FIg49AevqKXwMDdhzK2ABjwrAA4xMvvjaoeJTGikxZ6xP1ZEWA1Rif0tdPoQ1/ACJ0Tpf/4mTZH&#13;&#10;6Pr6decvGYAhUPj8+lm3ATDDYmsx9qMvIJZLpgO8lImVxECsBWYZ+J1LSjJk+o1WnQFYvZKfdq+u&#13;&#10;un/t7zfiiMTSFicHwNhK7YjEs5mhA0sFfD/BqRfeeb4XSp9/S6JGYrBgRMA8HeeF8Ej78s8nItko&#13;&#10;3WiVGX3C9hrKQfoJjjlRhMOhSYg6jrZlBOUlTSXYk0SI0sZWz0ceNhtZOyiWXhgUIQZ4sUGsjYuH&#13;&#10;HSBNtt1QwUFg3rETIkJkz/9YESI5KKp/5RJtug/N8JBHh4NST2OAg0IB6L4Rmg6KwG+Q4KRm3wjw&#13;&#10;CW3MSpFUzwjN28m/qqd/qi7Qn3vYkvUN/pNeqN3+U2sle/ynJNZlwIEIfe2ucvTqJXglpMr9xj5K&#13;&#10;VBiDOrUrrBl0CTJrOlHdb9yOH4Hi6wg/9dPsMRDI8dNgHn4CSONdZ6yzr4ZVVh7a2VfbcmKrLpU8&#13;&#10;OV/NVmKYMvGNKsKhvkEQUOE+b0svEn4UdaJmVCrbuv2n8Q3UBEgtj+EbQL/Vr78pPNG/VEc/L9f8&#13;&#10;rnZB/Xt67/4PAAD//wMAUEsDBBQABgAIAAAAIQA5FlKe4QAAAAoBAAAPAAAAZHJzL2Rvd25yZXYu&#13;&#10;eG1sTI9PS8NAEMXvgt9hGcGb3aQ1EtNsSql/TkWwFcTbNDtNQrOzIbtN0m/v6kUvD4bHe/N++Woy&#13;&#10;rRiod41lBfEsAkFcWt1wpeBj/3KXgnAeWWNrmRRcyMGquL7KMdN25Hcadr4SoYRdhgpq77tMSlfW&#13;&#10;ZNDNbEccvKPtDfpw9pXUPY6h3LRyHkUP0mDD4UONHW1qKk+7s1HwOuK4XsTPw/Z03Fy+9snb5zYm&#13;&#10;pW5vpqdlkPUShKfJ/yXghyHshyIMO9gzaydaBYHG/2rw0vniHsRBQZKkjyCLXP5HKL4BAAD//wMA&#13;&#10;UEsBAi0AFAAGAAgAAAAhALaDOJL+AAAA4QEAABMAAAAAAAAAAAAAAAAAAAAAAFtDb250ZW50X1R5&#13;&#10;cGVzXS54bWxQSwECLQAUAAYACAAAACEAOP0h/9YAAACUAQAACwAAAAAAAAAAAAAAAAAvAQAAX3Jl&#13;&#10;bHMvLnJlbHNQSwECLQAUAAYACAAAACEAe/aVS/YNAACXbwAADgAAAAAAAAAAAAAAAAAuAgAAZHJz&#13;&#10;L2Uyb0RvYy54bWxQSwECLQAUAAYACAAAACEAORZSnuEAAAAKAQAADwAAAAAAAAAAAAAAAABQEAAA&#13;&#10;ZHJzL2Rvd25yZXYueG1sUEsFBgAAAAAEAAQA8wAAAF4RAAAAAA==&#13;&#10;">
                <v:shape id="Freeform 13" o:spid="_x0000_s1027" style="position:absolute;left:16788;top:19787;width:30880;height:29154;visibility:visible;mso-wrap-style:square;v-text-anchor:middle" coordsize="3087974,291545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cqHxAAAAOAAAAAPAAAAZHJzL2Rvd25yZXYueG1sRI/RigIx&#13;&#10;DEXfF/yHEsG3taOCLKNV1F1BERZWxefQZmcGp+nQVh3/3gqCLyHhck8403lra3ElHyrHCgb9DASx&#13;&#10;dqbiQsHxsP78AhEissHaMSm4U4D5rPMxxdy4G//RdR8LkSAcclRQxtjkUgZdksXQdw1xyv6dtxjT&#13;&#10;6QtpPN4S3NZymGVjabHi9KHEhlYl6fP+YhUEvXWal8fNstlFefr1J3n4GSrV67bfkzQWExCR2vhu&#13;&#10;vBAbkxxG8BRKC8jZAwAA//8DAFBLAQItABQABgAIAAAAIQDb4fbL7gAAAIUBAAATAAAAAAAAAAAA&#13;&#10;AAAAAAAAAABbQ29udGVudF9UeXBlc10ueG1sUEsBAi0AFAAGAAgAAAAhAFr0LFu/AAAAFQEAAAsA&#13;&#10;AAAAAAAAAAAAAAAAHwEAAF9yZWxzLy5yZWxzUEsBAi0AFAAGAAgAAAAhANulyofEAAAA4AAAAA8A&#13;&#10;AAAAAAAAAAAAAAAABwIAAGRycy9kb3ducmV2LnhtbFBLBQYAAAAAAwADALcAAAD4AgAAAAA=&#13;&#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83C22" w:rsidRDefault="00783C22"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om3xwAAAOAAAAAPAAAAZHJzL2Rvd25yZXYueG1sRI9Ni8Iw&#13;&#10;EIbvwv6HMII3TRXRpRpFVmS9COr2srehme2HzaQ0WVv99UYQvAwzvLzP8CzXnanElRpXWFYwHkUg&#13;&#10;iFOrC84UJD+74ScI55E1VpZJwY0crFcfvSXG2rZ8ouvZZyJA2MWoIPe+jqV0aU4G3cjWxCH7s41B&#13;&#10;H84mk7rBNsBNJSdRNJMGCw4fcqzpK6f0cv43CrBMku23vx/K8rcz4+M828hjq9Sg320XYWwWIDx1&#13;&#10;/t14IfY6OEzhKRQWkKsHAAAA//8DAFBLAQItABQABgAIAAAAIQDb4fbL7gAAAIUBAAATAAAAAAAA&#13;&#10;AAAAAAAAAAAAAABbQ29udGVudF9UeXBlc10ueG1sUEsBAi0AFAAGAAgAAAAhAFr0LFu/AAAAFQEA&#13;&#10;AAsAAAAAAAAAAAAAAAAAHwEAAF9yZWxzLy5yZWxzUEsBAi0AFAAGAAgAAAAhAEvKibfHAAAA4AAA&#13;&#10;AA8AAAAAAAAAAAAAAAAABwIAAGRycy9kb3ducmV2LnhtbFBLBQYAAAAAAwADALcAAAD7AgAAAAA=&#13;&#10;" adj="-11796480,,5400" path="m,l383381,e" filled="f" strokecolor="black [3213]" strokeweight="2.25pt">
                  <v:stroke joinstyle="miter"/>
                  <v:formulas/>
                  <v:path arrowok="t" o:connecttype="custom" o:connectlocs="0,0;383381,0" o:connectangles="0,0" textboxrect="0,0,383381,0"/>
                  <v:textbox>
                    <w:txbxContent>
                      <w:p w14:paraId="2147976F" w14:textId="77777777" w:rsidR="00783C22" w:rsidRDefault="00783C22"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hC1xQAAAOAAAAAPAAAAZHJzL2Rvd25yZXYueG1sRI9Ni8Iw&#13;&#10;EIbvgv8hjOBNUxcqUo0iiuLBix8HvQ3N2BabSUmytvrrNwsLexlmeHmf4VmsOlOLFzlfWVYwGScg&#13;&#10;iHOrKy4UXC+70QyED8gaa8uk4E0eVst+b4GZti2f6HUOhYgQ9hkqKENoMil9XpJBP7YNccwe1hkM&#13;&#10;8XSF1A7bCDe1/EqSqTRYcfxQYkObkvLn+dsoOO05DcYn02P7JisPn/vNpXelhoNuO49jPQcRqAv/&#13;&#10;jT/EQUeHFH6F4gJy+QMAAP//AwBQSwECLQAUAAYACAAAACEA2+H2y+4AAACFAQAAEwAAAAAAAAAA&#13;&#10;AAAAAAAAAAAAW0NvbnRlbnRfVHlwZXNdLnhtbFBLAQItABQABgAIAAAAIQBa9CxbvwAAABUBAAAL&#13;&#10;AAAAAAAAAAAAAAAAAB8BAABfcmVscy8ucmVsc1BLAQItABQABgAIAAAAIQAeShC1xQAAAOAAAAAP&#13;&#10;AAAAAAAAAAAAAAAAAAcCAABkcnMvZG93bnJldi54bWxQSwUGAAAAAAMAAwC3AAAA+QIAAAAA&#13;&#10;" adj="-11796480,,5400" path="m,l754856,e" filled="f" strokecolor="black [3213]" strokeweight="2.25pt">
                  <v:stroke joinstyle="miter"/>
                  <v:formulas/>
                  <v:path arrowok="t" o:connecttype="custom" o:connectlocs="0,0;754856,0" o:connectangles="0,0" textboxrect="0,0,754856,0"/>
                  <v:textbox>
                    <w:txbxContent>
                      <w:p w14:paraId="76EADA12" w14:textId="77777777" w:rsidR="00783C22" w:rsidRDefault="00783C22"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32PPxwAAAOAAAAAPAAAAZHJzL2Rvd25yZXYueG1sRI/BasJA&#13;&#10;EIbvBd9hGaG3utFSK0lWEcW2Xgoa8TxkxySYnY27W41v3xUKvQwz/Pzf8OWL3rTiSs43lhWMRwkI&#13;&#10;4tLqhisFh2LzMgPhA7LG1jIpuJOHxXzwlGOq7Y13dN2HSkQI+xQV1CF0qZS+rMmgH9mOOGYn6wyG&#13;&#10;eLpKaoe3CDetnCTJVBpsOH6osaNVTeV5/2MU7C7f27cC+dVs7ut3W7iP1n4elXoe9ussjmUGIlAf&#13;&#10;/ht/iC8dHabwEIoLyPkvAAAA//8DAFBLAQItABQABgAIAAAAIQDb4fbL7gAAAIUBAAATAAAAAAAA&#13;&#10;AAAAAAAAAAAAAABbQ29udGVudF9UeXBlc10ueG1sUEsBAi0AFAAGAAgAAAAhAFr0LFu/AAAAFQEA&#13;&#10;AAsAAAAAAAAAAAAAAAAAHwEAAF9yZWxzLy5yZWxzUEsBAi0AFAAGAAgAAAAhAGbfY8/HAAAA4AAA&#13;&#10;AA8AAAAAAAAAAAAAAAAABwIAAGRycy9kb3ducmV2LnhtbFBLBQYAAAAAAwADALcAAAD7AgAAAAA=&#13;&#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83C22" w:rsidRDefault="00783C22"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N7sxwAAAOAAAAAPAAAAZHJzL2Rvd25yZXYueG1sRI9Ni8Iw&#13;&#10;EIbvgv8hjOBNUz34UY2yKLsI6sGPBfc2NGNbtpmUJtr6740geBlmeHmf4ZkvG1OIO1Uut6xg0I9A&#13;&#10;ECdW55wqOJ++exMQziNrLCyTggc5WC7arTnG2tZ8oPvRpyJA2MWoIPO+jKV0SUYGXd+WxCG72sqg&#13;&#10;D2eVSl1hHeCmkMMoGkmDOYcPGZa0yij5P96Mgv3lsh5fZT3dPf7s6rc43H7slpTqdpr1LIyvGQhP&#13;&#10;jf803oiNDg5jeAmFBeTiCQAA//8DAFBLAQItABQABgAIAAAAIQDb4fbL7gAAAIUBAAATAAAAAAAA&#13;&#10;AAAAAAAAAAAAAABbQ29udGVudF9UeXBlc10ueG1sUEsBAi0AFAAGAAgAAAAhAFr0LFu/AAAAFQEA&#13;&#10;AAsAAAAAAAAAAAAAAAAAHwEAAF9yZWxzLy5yZWxzUEsBAi0AFAAGAAgAAAAhAMsI3uzHAAAA4AAA&#13;&#10;AA8AAAAAAAAAAAAAAAAABwIAAGRycy9kb3ducmV2LnhtbFBLBQYAAAAAAwADALcAAAD7AgAAAAA=&#13;&#10;" adj="-11796480,,5400" path="m,l673894,e" filled="f" strokecolor="black [3213]" strokeweight="2.25pt">
                  <v:stroke joinstyle="miter"/>
                  <v:formulas/>
                  <v:path arrowok="t" o:connecttype="custom" o:connectlocs="0,0;673894,0" o:connectangles="0,0" textboxrect="0,0,673894,0"/>
                  <v:textbox>
                    <w:txbxContent>
                      <w:p w14:paraId="4FE1E97A" w14:textId="77777777" w:rsidR="00783C22" w:rsidRDefault="00783C22"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yFwxwAAAOAAAAAPAAAAZHJzL2Rvd25yZXYueG1sRI9Ba8JA&#13;&#10;EIXvgv9hGaE33SilSHQVUYQ9CbWWehyyYxLNzobsqml/fedQ6OUxj8d8M2+57n2jHtTFOrCB6SQD&#13;&#10;RVwEV3Np4PSxH89BxYTssAlMBr4pwno1HCwxd+HJ7/Q4plIJhGOOBqqU2lzrWFTkMU5CSyzZJXQe&#13;&#10;k9iu1K7Dp8B9o2dZ9qY91iwXKmxpW1FxO969gWh352t8ndmfr1N/PbhgP29za8zLqN8tRDYLUIn6&#13;&#10;9L/xh7BOOsjHUkgG0KtfAAAA//8DAFBLAQItABQABgAIAAAAIQDb4fbL7gAAAIUBAAATAAAAAAAA&#13;&#10;AAAAAAAAAAAAAABbQ29udGVudF9UeXBlc10ueG1sUEsBAi0AFAAGAAgAAAAhAFr0LFu/AAAAFQEA&#13;&#10;AAsAAAAAAAAAAAAAAAAAHwEAAF9yZWxzLy5yZWxzUEsBAi0AFAAGAAgAAAAhAM6XIXDHAAAA4AAA&#13;&#10;AA8AAAAAAAAAAAAAAAAABwIAAGRycy9kb3ducmV2LnhtbFBLBQYAAAAAAwADALcAAAD7AgAAAAA=&#13;&#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83C22" w:rsidRDefault="00783C22"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WhZxAAAAN8AAAAPAAAAZHJzL2Rvd25yZXYueG1sRI/RisJA&#13;&#10;DEXfBf9hiLAvotNVXHero6wrgk/Cqh8QOrEtdpLSGbX+vSMIviSEyz3hzJetq9SVGl8KG/gcJqCI&#13;&#10;M7El5waOh83gG5QPyBYrYTJwJw/LRbczx9TKjf/pug+5ihD2KRooQqhTrX1WkEM/lJo4ZidpHIZ4&#13;&#10;Nrm2Dd4i3FV6lCRf2mHJ8UOBNf0VlJ33F2dgepeqf5xwOx1NfnIJq7HssrExH712PYvjdwYqUBve&#13;&#10;jRdia6MDPH2eWy8eAAAA//8DAFBLAQItABQABgAIAAAAIQDb4fbL7gAAAIUBAAATAAAAAAAAAAAA&#13;&#10;AAAAAAAAAABbQ29udGVudF9UeXBlc10ueG1sUEsBAi0AFAAGAAgAAAAhAFr0LFu/AAAAFQEAAAsA&#13;&#10;AAAAAAAAAAAAAAAAHwEAAF9yZWxzLy5yZWxzUEsBAi0AFAAGAAgAAAAhAF/xaFnEAAAA3wAAAA8A&#13;&#10;AAAAAAAAAAAAAAAABwIAAGRycy9kb3ducmV2LnhtbFBLBQYAAAAAAwADALcAAAD4AgAAAAA=&#13;&#10;" adj="-11796480,,5400" path="m,l338137,e" filled="f" strokecolor="#4579b8 [3044]" strokeweight="1.5pt">
                  <v:stroke joinstyle="miter"/>
                  <v:formulas/>
                  <v:path arrowok="t" o:connecttype="custom" o:connectlocs="0,0;338137,0" o:connectangles="0,0" textboxrect="0,0,338137,0"/>
                  <v:textbox>
                    <w:txbxContent>
                      <w:p w14:paraId="7FA6B6D3" w14:textId="77777777" w:rsidR="00783C22" w:rsidRDefault="00783C22"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ktdyAAAAOAAAAAPAAAAZHJzL2Rvd25yZXYueG1sRI/BasMw&#13;&#10;DIbvg72D0WC31VkOY03rltIx2KGHLWkpvYlYTUJjOcRe67z9dBj0IvgR/yd9y3VyvbrSGDrPBl5n&#13;&#10;GSji2tuOGwP76vPlHVSIyBZ7z2RgogDr1ePDEgvrb/xD1zI2SiAcCjTQxjgUWoe6JYdh5gdi2Z39&#13;&#10;6DBKHBttR7wJ3PU6z7I37bBjudDiQNuW6kv56wwcD6nxp+l7iNOuSlPlunw3L415fkofCxmbBahI&#13;&#10;Kd4b/4gvayCXj0VIZECv/gAAAP//AwBQSwECLQAUAAYACAAAACEA2+H2y+4AAACFAQAAEwAAAAAA&#13;&#10;AAAAAAAAAAAAAAAAW0NvbnRlbnRfVHlwZXNdLnhtbFBLAQItABQABgAIAAAAIQBa9CxbvwAAABUB&#13;&#10;AAALAAAAAAAAAAAAAAAAAB8BAABfcmVscy8ucmVsc1BLAQItABQABgAIAAAAIQCeyktdyAAAAOAA&#13;&#10;AAAPAAAAAAAAAAAAAAAAAAcCAABkcnMvZG93bnJldi54bWxQSwUGAAAAAAMAAwC3AAAA/AIAAAAA&#13;&#10;" adj="-11796480,,5400" path="m,l652463,e" filled="f" strokecolor="#4579b8 [3044]" strokeweight="1.5pt">
                  <v:stroke joinstyle="miter"/>
                  <v:formulas/>
                  <v:path arrowok="t" o:connecttype="custom" o:connectlocs="0,0;652463,0" o:connectangles="0,0" textboxrect="0,0,652463,0"/>
                  <v:textbox>
                    <w:txbxContent>
                      <w:p w14:paraId="346CF49C" w14:textId="77777777" w:rsidR="00783C22" w:rsidRDefault="00783C22"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m4JxQAAAN8AAAAPAAAAZHJzL2Rvd25yZXYueG1sRI9Ba8JA&#13;&#10;FITvQv/D8gredGPR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Bbom4JxQAAAN8AAAAP&#13;&#10;AAAAAAAAAAAAAAAAAAcCAABkcnMvZG93bnJldi54bWxQSwUGAAAAAAMAAwC3AAAA+QIAAAAA&#13;&#10;" filled="f" stroked="f">
                  <v:textbox style="mso-fit-shape-to-text:t">
                    <w:txbxContent>
                      <w:p w14:paraId="7E3EB1A1"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PgDxQAAAOAAAAAPAAAAZHJzL2Rvd25yZXYueG1sRI9BS8NA&#13;&#10;EIXvgv9hGcGb3bSilLTbUlqFHrzYpvchO2aD2dmQHZv03zsHwcvAY3jf41tvp9iZKw25TexgPivA&#13;&#10;ENfJt9w4qM7vT0swWZA9donJwY0ybDf3d2ssfRr5k64naYxCOJfoIIj0pbW5DhQxz1JPrL+vNEQU&#13;&#10;jUNj/YCjwmNnF0XxaiO2rAsBe9oHqr9PP9GBiN/Nb9VbzMfL9HEYQ1G/YOXc48N0WOnZrcAITfLf&#13;&#10;+EMcvYNnVVAhlQG7+QUAAP//AwBQSwECLQAUAAYACAAAACEA2+H2y+4AAACFAQAAEwAAAAAAAAAA&#13;&#10;AAAAAAAAAAAAW0NvbnRlbnRfVHlwZXNdLnhtbFBLAQItABQABgAIAAAAIQBa9CxbvwAAABUBAAAL&#13;&#10;AAAAAAAAAAAAAAAAAB8BAABfcmVscy8ucmVsc1BLAQItABQABgAIAAAAIQA1ePgDxQAAAOAAAAAP&#13;&#10;AAAAAAAAAAAAAAAAAAcCAABkcnMvZG93bnJldi54bWxQSwUGAAAAAAMAAwC3AAAA+QIAAAAA&#13;&#10;" filled="f" stroked="f">
                  <v:textbox style="mso-fit-shape-to-text:t">
                    <w:txbxContent>
                      <w:p w14:paraId="21724F6C"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2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56003BE4"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50NyAAAAOAAAAAPAAAAZHJzL2Rvd25yZXYueG1sRI/BasMw&#13;&#10;EETvhf6D2EJujewYQuNECaXFJL0EmhTa42JtLVNrZSQltv++ChR6GRiGecNsdqPtxJV8aB0ryOcZ&#13;&#10;COLa6ZYbBR/n6vEJRIjIGjvHpGCiALvt/d0GS+0GfqfrKTYiQTiUqMDE2JdShtqQxTB3PXHKvp23&#13;&#10;GJP1jdQehwS3nVxk2VJabDktGOzpxVD9c7pYBX4/5MXRLPfZ57QKX29V1U6UKzV7GF/XSZ7XICKN&#13;&#10;8b/xhzhoBUUBt0PpDMjtLwAAAP//AwBQSwECLQAUAAYACAAAACEA2+H2y+4AAACFAQAAEwAAAAAA&#13;&#10;AAAAAAAAAAAAAAAAW0NvbnRlbnRfVHlwZXNdLnhtbFBLAQItABQABgAIAAAAIQBa9CxbvwAAABUB&#13;&#10;AAALAAAAAAAAAAAAAAAAAB8BAABfcmVscy8ucmVsc1BLAQItABQABgAIAAAAIQDxS50NyAAAAOAA&#13;&#10;AAAPAAAAAAAAAAAAAAAAAAcCAABkcnMvZG93bnJldi54bWxQSwUGAAAAAAMAAwC3AAAA/AIAAAAA&#13;&#10;" strokecolor="#4579b8 [3044]">
                  <v:stroke startarrow="block" endarrow="block"/>
                </v:shape>
                <v:shape id="TextBox 22" o:spid="_x0000_s1039" type="#_x0000_t202" style="position:absolute;left:32036;top:46526;width:5772;height:328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Ft6xwAAAOAAAAAPAAAAZHJzL2Rvd25yZXYueG1sRI/RasJA&#13;&#10;FETfC/7DcoW+6cbUFo2uQbRC32rVD7hkr9mY7N2Q3Wrs13cLQl8GhmHOMMu8t424Uucrxwom4wQE&#13;&#10;ceF0xaWC03E3moHwAVlj45gU3MlDvho8LTHT7sZfdD2EUkQI+wwVmBDaTEpfGLLox64ljtnZdRZD&#13;&#10;tF0pdYe3CLeNTJPkTVqsOC4YbGljqKgP31bBLLGfdT1P995OfyavZrN17+1Fqedhv11EWS9ABOrD&#13;&#10;f+OB+NAKXqbwdyieAbn6BQAA//8DAFBLAQItABQABgAIAAAAIQDb4fbL7gAAAIUBAAATAAAAAAAA&#13;&#10;AAAAAAAAAAAAAABbQ29udGVudF9UeXBlc10ueG1sUEsBAi0AFAAGAAgAAAAhAFr0LFu/AAAAFQEA&#13;&#10;AAsAAAAAAAAAAAAAAAAAHwEAAF9yZWxzLy5yZWxzUEsBAi0AFAAGAAgAAAAhAORQW3rHAAAA4AAA&#13;&#10;AA8AAAAAAAAAAAAAAAAABwIAAGRycy9kb3ducmV2LnhtbFBLBQYAAAAAAwADALcAAAD7AgAAAAA=&#13;&#10;" filled="f" stroked="f">
                  <v:textbox style="mso-fit-shape-to-text:t">
                    <w:txbxContent>
                      <w:p w14:paraId="2FD1D34A"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k/jyAAAAOAAAAAPAAAAZHJzL2Rvd25yZXYueG1sRI9Ba8JA&#13;&#10;FITvgv9heQVvuolVW6KriFHwoqDtocdH9jVJzb5Ns6vGf+8KgpeBYZhvmNmiNZW4UONKywriQQSC&#13;&#10;OLO65FzB99em/wnCeWSNlWVScCMHi3m3M8NE2ysf6HL0uQgQdgkqKLyvEyldVpBBN7A1cch+bWPQ&#13;&#10;B9vkUjd4DXBTyWEUTaTBksNCgTWtCspOx7NRMIpXw599uln/fYxdetr9t3HlD0r13tp0GmQ5BeGp&#13;&#10;9a/GE7HVCt7H8DgUzoCc3wEAAP//AwBQSwECLQAUAAYACAAAACEA2+H2y+4AAACFAQAAEwAAAAAA&#13;&#10;AAAAAAAAAAAAAAAAW0NvbnRlbnRfVHlwZXNdLnhtbFBLAQItABQABgAIAAAAIQBa9CxbvwAAABUB&#13;&#10;AAALAAAAAAAAAAAAAAAAAB8BAABfcmVscy8ucmVsc1BLAQItABQABgAIAAAAIQAC5k/jyAAAAOAA&#13;&#10;AAAPAAAAAAAAAAAAAAAAAAcCAABkcnMvZG93bnJldi54bWxQSwUGAAAAAAMAAwC3AAAA/AIAAAAA&#13;&#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83C22" w:rsidRDefault="00783C22" w:rsidP="00AA480E"/>
                    </w:txbxContent>
                  </v:textbox>
                </v:shape>
                <v:shape id="TextBox 24" o:spid="_x0000_s1041" type="#_x0000_t202" style="position:absolute;left:11239;top:43059;width:7036;height:29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mCWyAAAAOAAAAAPAAAAZHJzL2Rvd25yZXYueG1sRI/RasJA&#13;&#10;FETfhf7Dcgt9q5vYGjRmlaIt9E1r/YBL9pqNyd4N2a2mfr1bKPgyMAxzhilWg23FmXpfO1aQjhMQ&#13;&#10;xKXTNVcKDt8fzzMQPiBrbB2Tgl/ysFo+jArMtbvwF533oRIRwj5HBSaELpfSl4Ys+rHriGN2dL3F&#13;&#10;EG1fSd3jJcJtKydJkkmLNccFgx2tDZXN/scqmCV22zTzyc7b12s6NeuNe+9OSj09DptFlLcFiEBD&#13;&#10;uDf+EZ9awUsGf4fiGZDLGwAAAP//AwBQSwECLQAUAAYACAAAACEA2+H2y+4AAACFAQAAEwAAAAAA&#13;&#10;AAAAAAAAAAAAAAAAW0NvbnRlbnRfVHlwZXNdLnhtbFBLAQItABQABgAIAAAAIQBa9CxbvwAAABUB&#13;&#10;AAALAAAAAAAAAAAAAAAAAB8BAABfcmVscy8ucmVsc1BLAQItABQABgAIAAAAIQB7zmCWyAAAAOAA&#13;&#10;AAAPAAAAAAAAAAAAAAAAAAcCAABkcnMvZG93bnJldi54bWxQSwUGAAAAAAMAAwC3AAAA/AIAAAAA&#13;&#10;" filled="f" stroked="f">
                  <v:textbox style="mso-fit-shape-to-text:t">
                    <w:txbxContent>
                      <w:p w14:paraId="6758692E"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80CyAAAAOAAAAAPAAAAZHJzL2Rvd25yZXYueG1sRI/dagIx&#13;&#10;FITvC32HcAq9q1ktVFmNUhRBaK1/i9eHzXF36+YkJKmub98UCt4MDMN8w0xmnWnFhXxoLCvo9zIQ&#13;&#10;xKXVDVcKisPyZQQiRGSNrWVScKMAs+njwwRzba+8o8s+ViJBOOSooI7R5VKGsiaDoWcdccpO1huM&#13;&#10;yfpKao/XBDetHGTZmzTYcFqo0dG8pvK8/zEKNovVZzHsH6uvYtuutfv2bpt9KPX81C3GSd7HICJ1&#13;&#10;8d74R6y0gtch/B1KZ0BOfwEAAP//AwBQSwECLQAUAAYACAAAACEA2+H2y+4AAACFAQAAEwAAAAAA&#13;&#10;AAAAAAAAAAAAAAAAW0NvbnRlbnRfVHlwZXNdLnhtbFBLAQItABQABgAIAAAAIQBa9CxbvwAAABUB&#13;&#10;AAALAAAAAAAAAAAAAAAAAB8BAABfcmVscy8ucmVsc1BLAQItABQABgAIAAAAIQCVf80CyAAAAOAA&#13;&#10;AAAPAAAAAAAAAAAAAAAAAAcCAABkcnMvZG93bnJldi54bWxQSwUGAAAAAAMAAwC3AAAA/AIAAAAA&#13;&#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83C22" w:rsidRDefault="00783C22" w:rsidP="00AA480E"/>
                    </w:txbxContent>
                  </v:textbox>
                </v:shape>
                <v:shape id="TextBox 26" o:spid="_x0000_s1043" type="#_x0000_t202" style="position:absolute;left:16319;top:38175;width:6883;height:29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VF/yAAAAOAAAAAPAAAAZHJzL2Rvd25yZXYueG1sRI/dbsIw&#13;&#10;DEbvJ+0dIk/ibqQwNkEhoIkfibsxtgewGtN0bZyqyaDw9Phi0m4sfbK+Y5/FqveNOlMXq8AGRsMM&#13;&#10;FHERbMWlge+v3fMUVEzIFpvAZOBKEVbLx4cF5jZc+JPOx1QqgXDM0YBLqc21joUjj3EYWmLZnULn&#13;&#10;MUnsSm07vAjcN3qcZW/aY8VywWFLa0dFffz1BqaZ/6jr2fgQ/eQ2enXrTdi2P8YMnvrNXMb7HFSi&#13;&#10;Pv03/hB7a+BFPhYhkQG9vAMAAP//AwBQSwECLQAUAAYACAAAACEA2+H2y+4AAACFAQAAEwAAAAAA&#13;&#10;AAAAAAAAAAAAAAAAW0NvbnRlbnRfVHlwZXNdLnhtbFBLAQItABQABgAIAAAAIQBa9CxbvwAAABUB&#13;&#10;AAALAAAAAAAAAAAAAAAAAB8BAABfcmVscy8ucmVsc1BLAQItABQABgAIAAAAIQBlHVF/yAAAAOAA&#13;&#10;AAAPAAAAAAAAAAAAAAAAAAcCAABkcnMvZG93bnJldi54bWxQSwUGAAAAAAMAAwC3AAAA/AIAAAAA&#13;&#10;" filled="f" stroked="f">
                  <v:textbox style="mso-fit-shape-to-text:t">
                    <w:txbxContent>
                      <w:p w14:paraId="4A88F90A"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0GlxgAAAOAAAAAPAAAAZHJzL2Rvd25yZXYueG1sRI9PawIx&#13;&#10;FMTvBb9DeEJvNaulRVejiGIpSA/+uz82z93FzUtIorv77Ruh0MvAMMxvmMWqM414kA+1ZQXjUQaC&#13;&#10;uLC65lLB+bR7m4IIEVljY5kU9BRgtRy8LDDXtuUDPY6xFAnCIUcFVYwulzIUFRkMI+uIU3a13mBM&#13;&#10;1pdSe2wT3DRykmWf0mDNaaFCR5uKitvxbhRcesOyb+3+MnH+A79cPExnP0q9DrvtPMl6DiJSF/8b&#13;&#10;f4hvreB9Bs9D6QzI5S8AAAD//wMAUEsBAi0AFAAGAAgAAAAhANvh9svuAAAAhQEAABMAAAAAAAAA&#13;&#10;AAAAAAAAAAAAAFtDb250ZW50X1R5cGVzXS54bWxQSwECLQAUAAYACAAAACEAWvQsW78AAAAVAQAA&#13;&#10;CwAAAAAAAAAAAAAAAAAfAQAAX3JlbHMvLnJlbHNQSwECLQAUAAYACAAAACEA9oNBpcYAAADgAAAA&#13;&#10;DwAAAAAAAAAAAAAAAAAHAgAAZHJzL2Rvd25yZXYueG1sUEsFBgAAAAADAAMAtwAAAPoCAAAAAA==&#13;&#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83C22" w:rsidRDefault="00783C22" w:rsidP="00AA480E"/>
                    </w:txbxContent>
                  </v:textbox>
                </v:shape>
                <v:shape id="TextBox 28" o:spid="_x0000_s1045" type="#_x0000_t202" style="position:absolute;left:23958;top:30682;width:7912;height:29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S4ExwAAAOAAAAAPAAAAZHJzL2Rvd25yZXYueG1sRI/RasJA&#13;&#10;EEXfC/7DMkLf6kbRotFVRFvwzWr7AUN2zMZkZ0N2q2m/3nko9GXgMtxzOatN7xt1oy5WgQ2MRxko&#13;&#10;4iLYiksDX5/vL3NQMSFbbAKTgR+KsFkPnlaY23DnE93OqVQC4ZijAZdSm2sdC0ce4yi0xPK7hM5j&#13;&#10;ktiV2nZ4F7hv9CTLXrXHimXBYUs7R0V9/vYG5pk/1vVi8hH99Hc8c7t9eGuvxjwP+/1SznYJKlGf&#13;&#10;/ht/iIM1MBUFERIZ0OsHAAAA//8DAFBLAQItABQABgAIAAAAIQDb4fbL7gAAAIUBAAATAAAAAAAA&#13;&#10;AAAAAAAAAAAAAABbQ29udGVudF9UeXBlc10ueG1sUEsBAi0AFAAGAAgAAAAhAFr0LFu/AAAAFQEA&#13;&#10;AAsAAAAAAAAAAAAAAAAAHwEAAF9yZWxzLy5yZWxzUEsBAi0AFAAGAAgAAAAhAMNtLgTHAAAA4AAA&#13;&#10;AA8AAAAAAAAAAAAAAAAABwIAAGRycy9kb3ducmV2LnhtbFBLBQYAAAAAAwADALcAAAD7AgAAAAA=&#13;&#10;" filled="f" stroked="f">
                  <v:textbox style="mso-fit-shape-to-text:t">
                    <w:txbxContent>
                      <w:p w14:paraId="38D53D84"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3QbyQAAAOAAAAAPAAAAZHJzL2Rvd25yZXYueG1sRI9Pa8JA&#13;&#10;FMTvBb/D8gRvdaO1KtFVxNLSQxH8A+LtmX0mwezbsLsm6bfvFgq9DAzD/IZZrjtTiYacLy0rGA0T&#13;&#10;EMSZ1SXnCk7H9+c5CB+QNVaWScE3eVivek9LTLVteU/NIeQiQtinqKAIoU6l9FlBBv3Q1sQxu1ln&#13;&#10;METrcqkdthFuKjlOkqk0WHJcKLCmbUHZ/fAwCo5bOdlcZq/nr2tyyj/cTrYv2Cg16HdviyibBYhA&#13;&#10;Xfhv/CE+tYLJCH4PxTMgVz8AAAD//wMAUEsBAi0AFAAGAAgAAAAhANvh9svuAAAAhQEAABMAAAAA&#13;&#10;AAAAAAAAAAAAAAAAAFtDb250ZW50X1R5cGVzXS54bWxQSwECLQAUAAYACAAAACEAWvQsW78AAAAV&#13;&#10;AQAACwAAAAAAAAAAAAAAAAAfAQAAX3JlbHMvLnJlbHNQSwECLQAUAAYACAAAACEAgyt0G8kAAADg&#13;&#10;AAAADwAAAAAAAAAAAAAAAAAHAgAAZHJzL2Rvd25yZXYueG1sUEsFBgAAAAADAAMAtwAAAP0CAAAA&#13;&#10;AA==&#13;&#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83C22" w:rsidRDefault="00783C22"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JHwygAAAOAAAAAPAAAAZHJzL2Rvd25yZXYueG1sRI9Pa8JA&#13;&#10;FMTvgt9heYIXMZtKsSVmFVEsLR6k/kGPj+wzCWbfptmtpn76bkHoZWAY5jdMOmtNJa7UuNKygqco&#13;&#10;BkGcWV1yrmC/Ww1fQTiPrLGyTAp+yMFs2u2kmGh740+6bn0uAoRdggoK7+tESpcVZNBFtiYO2dk2&#13;&#10;Bn2wTS51g7cAN5UcxfFYGiw5LBRY06Kg7LL9Ngp2y/XX22J9P9FmcOTDy/jjeKlqpfq9djkJMp+A&#13;&#10;8NT6/8YD8a4VPI/g71A4A3L6CwAA//8DAFBLAQItABQABgAIAAAAIQDb4fbL7gAAAIUBAAATAAAA&#13;&#10;AAAAAAAAAAAAAAAAAABbQ29udGVudF9UeXBlc10ueG1sUEsBAi0AFAAGAAgAAAAhAFr0LFu/AAAA&#13;&#10;FQEAAAsAAAAAAAAAAAAAAAAAHwEAAF9yZWxzLy5yZWxzUEsBAi0AFAAGAAgAAAAhALX0kfDKAAAA&#13;&#10;4AAAAA8AAAAAAAAAAAAAAAAABwIAAGRycy9kb3ducmV2LnhtbFBLBQYAAAAAAwADALcAAAD+AgAA&#13;&#10;AAA=&#13;&#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83C22" w:rsidRDefault="00783C22" w:rsidP="00AA480E"/>
                    </w:txbxContent>
                  </v:textbox>
                </v:shape>
                <v:shape id="TextBox 32" o:spid="_x0000_s1048" type="#_x0000_t202" style="position:absolute;left:44992;top:43624;width:7524;height:29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7BzxwAAAOAAAAAPAAAAZHJzL2Rvd25yZXYueG1sRI/RasJA&#13;&#10;FETfC/7DcoW+6cbUFo2uQbRC32rVD7hkr9mY7N2Q3Wrs13cLQl8GhmHOMMu8t424Uucrxwom4wQE&#13;&#10;ceF0xaWC03E3moHwAVlj45gU3MlDvho8LTHT7sZfdD2EUkQI+wwVmBDaTEpfGLLox64ljtnZdRZD&#13;&#10;tF0pdYe3CLeNTJPkTVqsOC4YbGljqKgP31bBLLGfdT1P995OfyavZrN17+1Fqedhv11EWS9ABOrD&#13;&#10;f+OB+NAKpi/wdyieAbn6BQAA//8DAFBLAQItABQABgAIAAAAIQDb4fbL7gAAAIUBAAATAAAAAAAA&#13;&#10;AAAAAAAAAAAAAABbQ29udGVudF9UeXBlc10ueG1sUEsBAi0AFAAGAAgAAAAhAFr0LFu/AAAAFQEA&#13;&#10;AAsAAAAAAAAAAAAAAAAAHwEAAF9yZWxzLy5yZWxzUEsBAi0AFAAGAAgAAAAhADO/sHPHAAAA4AAA&#13;&#10;AA8AAAAAAAAAAAAAAAAABwIAAGRycy9kb3ducmV2LnhtbFBLBQYAAAAAAwADALcAAAD7AgAAAAA=&#13;&#10;" filled="f" stroked="f">
                  <v:textbox style="mso-fit-shape-to-text:t">
                    <w:txbxContent>
                      <w:p w14:paraId="644FA1E9"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72;height:29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VigHxwAAAOAAAAAPAAAAZHJzL2Rvd25yZXYueG1sRI/RasJA&#13;&#10;FETfhf7DcoW+6UaJRaOrFG3BN2vaD7hkr9mY7N2Q3Wrar3cFwZeBYZgzzGrT20ZcqPOVYwWTcQKC&#13;&#10;uHC64lLBz/fnaA7CB2SNjWNS8EceNuuXwQoz7a58pEseShEh7DNUYEJoMyl9YciiH7uWOGYn11kM&#13;&#10;0Xal1B1eI9w2cpokb9JixXHBYEtbQ0Wd/1oF88Qe6nox/fI2/Z/MzHbnPtqzUq/DfreM8r4EEagP&#13;&#10;z8YDsdcK0hTuh+IZkOsbAAAA//8DAFBLAQItABQABgAIAAAAIQDb4fbL7gAAAIUBAAATAAAAAAAA&#13;&#10;AAAAAAAAAAAAAABbQ29udGVudF9UeXBlc10ueG1sUEsBAi0AFAAGAAgAAAAhAFr0LFu/AAAAFQEA&#13;&#10;AAsAAAAAAAAAAAAAAAAAHwEAAF9yZWxzLy5yZWxzUEsBAi0AFAAGAAgAAAAhALxWKAfHAAAA4AAA&#13;&#10;AA8AAAAAAAAAAAAAAAAABwIAAGRycy9kb3ducmV2LnhtbFBLBQYAAAAAAwADALcAAAD7AgAAAAA=&#13;&#10;" filled="f" stroked="f">
                  <v:textbox style="mso-fit-shape-to-text:t">
                    <w:txbxContent>
                      <w:p w14:paraId="41525CE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wyqxgAAAOAAAAAPAAAAZHJzL2Rvd25yZXYueG1sRI9Ba8JA&#13;&#10;FITvQv/D8gq96cZSRKJr0JaWHq0thd4e2Wc2Mfs2ZJ8a/70rFLwMDMN8wyyLwbfqRH2sAxuYTjJQ&#13;&#10;xGWwNVcGfr7fx3NQUZAttoHJwIUiFKuH0RJzG878RaedVCpBOOZowIl0udaxdOQxTkJHnLJ96D1K&#13;&#10;sn2lbY/nBPetfs6ymfZYc1pw2NGro/KwO3oDza/r4l9zFJIPeyl9tt2s/daYp8fhbZFkvQAlNMi9&#13;&#10;8Y/4tAZeZnA7lM6AXl0BAAD//wMAUEsBAi0AFAAGAAgAAAAhANvh9svuAAAAhQEAABMAAAAAAAAA&#13;&#10;AAAAAAAAAAAAAFtDb250ZW50X1R5cGVzXS54bWxQSwECLQAUAAYACAAAACEAWvQsW78AAAAVAQAA&#13;&#10;CwAAAAAAAAAAAAAAAAAfAQAAX3JlbHMvLnJlbHNQSwECLQAUAAYACAAAACEAnuMMqsYAAADgAAAA&#13;&#10;DwAAAAAAAAAAAAAAAAAHAgAAZHJzL2Rvd25yZXYueG1sUEsFBgAAAAADAAMAtwAAAPoCAAAAAA==&#13;&#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83C22" w:rsidRDefault="00783C22" w:rsidP="00AA480E"/>
                    </w:txbxContent>
                  </v:textbox>
                </v:shape>
                <v:shape id="TextBox 35" o:spid="_x0000_s1051" type="#_x0000_t202" style="position:absolute;left:55077;top:37147;width:8401;height:29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LZwyAAAAOAAAAAPAAAAZHJzL2Rvd25yZXYueG1sRI/RasJA&#13;&#10;FETfhf7Dcgu+6Sai1kY3UrRC37RpP+CSvc2myd4N2VXTfn23IPgyMAxzhtlsB9uKC/W+dqwgnSYg&#13;&#10;iEuna64UfH4cJisQPiBrbB2Tgh/ysM0fRhvMtLvyO12KUIkIYZ+hAhNCl0npS0MW/dR1xDH7cr3F&#13;&#10;EG1fSd3jNcJtK2dJspQWa44LBjvaGSqb4mwVrBJ7bJrn2cnb+W+6MLu9e+2+lRo/Dvt1lJc1iEBD&#13;&#10;uDduiDetYP4E/4fiGZD5HwAAAP//AwBQSwECLQAUAAYACAAAACEA2+H2y+4AAACFAQAAEwAAAAAA&#13;&#10;AAAAAAAAAAAAAAAAW0NvbnRlbnRfVHlwZXNdLnhtbFBLAQItABQABgAIAAAAIQBa9CxbvwAAABUB&#13;&#10;AAALAAAAAAAAAAAAAAAAAB8BAABfcmVscy8ucmVsc1BLAQItABQABgAIAAAAIQBMhLZwyAAAAOAA&#13;&#10;AAAPAAAAAAAAAAAAAAAAAAcCAABkcnMvZG93bnJldi54bWxQSwUGAAAAAAMAAwC3AAAA/AIAAAAA&#13;&#10;" filled="f" stroked="f">
                  <v:textbox style="mso-fit-shape-to-text:t">
                    <w:txbxContent>
                      <w:p w14:paraId="20950CB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4" w:name="_Ref347659580"/>
      <w:bookmarkStart w:id="45" w:name="_Toc532144758"/>
      <w:r>
        <w:t>reactionList</w:t>
      </w:r>
      <w:bookmarkEnd w:id="44"/>
      <w:bookmarkEnd w:id="45"/>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w:t>
      </w:r>
      <w:r>
        <w:lastRenderedPageBreak/>
        <w:t>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255F873"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0F002E">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lastRenderedPageBreak/>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4E2A4D37"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0F002E">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6" w:name="_Ref313049784"/>
      <w:bookmarkStart w:id="47" w:name="_Toc532144759"/>
      <w:r>
        <w:t>me:conditions</w:t>
      </w:r>
      <w:bookmarkEnd w:id="46"/>
      <w:bookmarkEnd w:id="47"/>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lastRenderedPageBreak/>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0142CA7" w:rsidR="00F77C82" w:rsidRDefault="00D67F72" w:rsidP="007051CE">
      <w:pPr>
        <w:numPr>
          <w:ilvl w:val="0"/>
          <w:numId w:val="6"/>
        </w:numPr>
      </w:pPr>
      <w:r>
        <w:lastRenderedPageBreak/>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F002E">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8" w:name="_Toc532144760"/>
      <w:r>
        <w:t>me:modelParameters</w:t>
      </w:r>
      <w:bookmarkEnd w:id="48"/>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7B53687D"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F002E">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49" w:name="_Ref207708603"/>
      <w:bookmarkStart w:id="50" w:name="_Toc532144761"/>
      <w:r>
        <w:t>me:control</w:t>
      </w:r>
      <w:bookmarkEnd w:id="49"/>
      <w:bookmarkEnd w:id="50"/>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w:t>
      </w:r>
      <w:r w:rsidR="00A200E0">
        <w:lastRenderedPageBreak/>
        <w:t xml:space="preserve">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lastRenderedPageBreak/>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28EECF99"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w:t>
      </w:r>
      <w:r>
        <w:lastRenderedPageBreak/>
        <w:t xml:space="preserve">Bartis-Widom algorithm (see section </w:t>
      </w:r>
      <w:r>
        <w:fldChar w:fldCharType="begin"/>
      </w:r>
      <w:r>
        <w:instrText xml:space="preserve"> REF _Ref417419792 \r \h </w:instrText>
      </w:r>
      <w:r>
        <w:fldChar w:fldCharType="separate"/>
      </w:r>
      <w:r w:rsidR="000F002E">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1" w:name="_Hlk498779805"/>
      <w:r>
        <w:rPr>
          <w:rFonts w:ascii="Courier New" w:hAnsi="Courier New" w:cs="Courier New"/>
          <w:color w:val="FF0000"/>
        </w:rPr>
        <w:t>useTheSameCellNumberForAllConditions</w:t>
      </w:r>
      <w:bookmarkEnd w:id="51"/>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2" w:name="_Hlk498779945"/>
      <w:r>
        <w:rPr>
          <w:rFonts w:ascii="Courier New" w:hAnsi="Courier New" w:cs="Courier New"/>
          <w:color w:val="FF0000"/>
        </w:rPr>
        <w:t>ForceMacroDetailedBalance</w:t>
      </w:r>
      <w:bookmarkEnd w:id="52"/>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w:t>
      </w:r>
      <w:r w:rsidRPr="009F68E7">
        <w:lastRenderedPageBreak/>
        <w:t>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3" w:name="_Toc532144762"/>
      <w:r>
        <w:t>Summary Table: Molecular input variables in MESMER</w:t>
      </w:r>
      <w:bookmarkEnd w:id="53"/>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F0177C">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4" w:name="_Toc532144763"/>
      <w:r w:rsidRPr="00246233">
        <w:lastRenderedPageBreak/>
        <w:t>Additional facilities and examples</w:t>
      </w:r>
      <w:bookmarkEnd w:id="54"/>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5" w:name="_Toc532144764"/>
      <w:r>
        <w:t>Basic XML Structure</w:t>
      </w:r>
      <w:bookmarkEnd w:id="55"/>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6" w:name="_Toc532144765"/>
      <w:r>
        <w:t>Notes on Input File Structure</w:t>
      </w:r>
      <w:bookmarkEnd w:id="56"/>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7A6CDAE" w:rsidR="00C00AB8" w:rsidRDefault="00C00AB8" w:rsidP="007051CE">
      <w:pPr>
        <w:pStyle w:val="Index"/>
        <w:numPr>
          <w:ilvl w:val="0"/>
          <w:numId w:val="13"/>
        </w:numPr>
      </w:pPr>
      <w:r>
        <w:t xml:space="preserve">Plugin classes (see section </w:t>
      </w:r>
      <w:r>
        <w:fldChar w:fldCharType="begin"/>
      </w:r>
      <w:r>
        <w:instrText xml:space="preserve"> REF _Ref376099370 \r \h </w:instrText>
      </w:r>
      <w:r>
        <w:fldChar w:fldCharType="separate"/>
      </w:r>
      <w:r w:rsidR="000F002E">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lastRenderedPageBreak/>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7" w:name="_Ref313039029"/>
      <w:bookmarkStart w:id="58" w:name="_Toc532144766"/>
      <w:r>
        <w:t xml:space="preserve">Comparing MESMER rate </w:t>
      </w:r>
      <w:r w:rsidR="00727400">
        <w:t>data</w:t>
      </w:r>
      <w:r>
        <w:t xml:space="preserve"> to experimental values</w:t>
      </w:r>
      <w:bookmarkEnd w:id="57"/>
      <w:bookmarkEnd w:id="58"/>
    </w:p>
    <w:p w14:paraId="4BC4265B" w14:textId="753E859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 xml:space="preserve">MESMER allows comparison with three types of experimental data: rate coefficients, yields and eigenvalues. These data can be </w:t>
      </w:r>
      <w:r>
        <w:lastRenderedPageBreak/>
        <w:t>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F002E">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F0177C"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59" w:name="_Ref483073042"/>
      <w:bookmarkStart w:id="60" w:name="_Toc532144767"/>
      <w:r>
        <w:t>Experimental Rate Coefficients</w:t>
      </w:r>
      <w:bookmarkEnd w:id="59"/>
      <w:bookmarkEnd w:id="60"/>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lastRenderedPageBreak/>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1" w:name="_Toc532144768"/>
      <w:r>
        <w:t>Experimental Yields</w:t>
      </w:r>
      <w:bookmarkEnd w:id="61"/>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2" w:name="_Toc532144769"/>
      <w:r>
        <w:t>Experimental Eigenvalues</w:t>
      </w:r>
      <w:bookmarkEnd w:id="62"/>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lastRenderedPageBreak/>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3" w:name="_Ref505534858"/>
      <w:bookmarkStart w:id="64" w:name="_Toc532144770"/>
      <w:r w:rsidRPr="000E267C">
        <w:t>Trace analysis</w:t>
      </w:r>
      <w:bookmarkEnd w:id="63"/>
      <w:bookmarkEnd w:id="64"/>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5" w:name="_Ref378624763"/>
      <w:bookmarkStart w:id="66" w:name="_Toc532144771"/>
      <w:r>
        <w:lastRenderedPageBreak/>
        <w:t>Specifying Numerical Precision</w:t>
      </w:r>
      <w:bookmarkEnd w:id="65"/>
      <w:bookmarkEnd w:id="66"/>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7" w:name="_Ref344824982"/>
      <w:bookmarkStart w:id="68" w:name="_Toc532144772"/>
      <w:r>
        <w:t>Specifying Parameter Bounds and Constraints</w:t>
      </w:r>
      <w:bookmarkEnd w:id="67"/>
      <w:bookmarkEnd w:id="68"/>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F0177C"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F0177C"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F0177C"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F0177C"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F017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F0177C"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F0177C">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F0177C">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F0177C">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F0177C"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69" w:name="_Toc532144773"/>
      <w:r>
        <w:t>Inverse Laplace Transforms (</w:t>
      </w:r>
      <w:r w:rsidR="00F77C82">
        <w:t>ILT</w:t>
      </w:r>
      <w:r>
        <w:t>)</w:t>
      </w:r>
      <w:bookmarkEnd w:id="69"/>
    </w:p>
    <w:p w14:paraId="46FFB86A" w14:textId="467551A2"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w:t>
      </w:r>
      <w:r w:rsidR="008A6DA3" w:rsidRPr="00B2799C">
        <w:lastRenderedPageBreak/>
        <w:t xml:space="preserve">section </w:t>
      </w:r>
      <w:r w:rsidR="009C7DF7" w:rsidRPr="00B2799C">
        <w:fldChar w:fldCharType="begin"/>
      </w:r>
      <w:r w:rsidR="009C7DF7" w:rsidRPr="00B2799C">
        <w:instrText xml:space="preserve"> REF _Ref347673354 \r \h  \* MERGEFORMAT </w:instrText>
      </w:r>
      <w:r w:rsidR="009C7DF7" w:rsidRPr="00B2799C">
        <w:fldChar w:fldCharType="separate"/>
      </w:r>
      <w:r w:rsidR="000F002E">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5944C5D9"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F002E">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w:t>
      </w:r>
      <w:r w:rsidRPr="00B2799C">
        <w:lastRenderedPageBreak/>
        <w:t xml:space="preserve">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12553980"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F002E">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0" w:name="_Ref207690758"/>
      <w:bookmarkStart w:id="71" w:name="_Toc532144774"/>
      <w:r w:rsidRPr="00C05534">
        <w:lastRenderedPageBreak/>
        <w:t>MESMER files explained</w:t>
      </w:r>
      <w:bookmarkEnd w:id="70"/>
      <w:bookmarkEnd w:id="71"/>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2" w:name="_Toc532144775"/>
      <w:r w:rsidRPr="00246233">
        <w:t>MESMER output files</w:t>
      </w:r>
      <w:bookmarkEnd w:id="72"/>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3" w:name="_Toc532144776"/>
      <w:r>
        <w:t>mesmer.test</w:t>
      </w:r>
      <w:bookmarkEnd w:id="73"/>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4" w:name="_Ref313053442"/>
      <w:bookmarkStart w:id="75" w:name="_Toc532144777"/>
      <w:r>
        <w:t>Partition Functions and State Densities</w:t>
      </w:r>
      <w:bookmarkEnd w:id="74"/>
      <w:bookmarkEnd w:id="75"/>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6" w:name="_Toc532144778"/>
      <w:r w:rsidR="00F77C82" w:rsidRPr="00145FA6">
        <w:rPr>
          <w:i/>
        </w:rPr>
        <w:t>k</w:t>
      </w:r>
      <w:r w:rsidR="00F77C82">
        <w:t>(</w:t>
      </w:r>
      <w:r w:rsidR="00F77C82">
        <w:rPr>
          <w:i/>
        </w:rPr>
        <w:t>E</w:t>
      </w:r>
      <w:r w:rsidR="00F77C82">
        <w:t>)s &amp; Tunnelling Corrections</w:t>
      </w:r>
      <w:bookmarkEnd w:id="76"/>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lastRenderedPageBreak/>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7" w:name="_Toc532144779"/>
      <w:r>
        <w:t>Equilibrium Fractions</w:t>
      </w:r>
      <w:bookmarkEnd w:id="77"/>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F0177C"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lastRenderedPageBreak/>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F0177C"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8" w:name="_Toc532144780"/>
      <w:r>
        <w:t>Eigenvalues</w:t>
      </w:r>
      <w:bookmarkEnd w:id="78"/>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F0177C"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w:t>
      </w:r>
      <w:r>
        <w:lastRenderedPageBreak/>
        <w:t xml:space="preserve">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79" w:name="_Toc532144781"/>
      <w:r>
        <w:t>Species Profiles</w:t>
      </w:r>
      <w:bookmarkEnd w:id="79"/>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F0177C"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lastRenderedPageBreak/>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0" w:name="_Ref417419792"/>
      <w:bookmarkStart w:id="81" w:name="_Toc532144782"/>
      <w:r>
        <w:t>Phenomenological rate coefficients</w:t>
      </w:r>
      <w:bookmarkEnd w:id="80"/>
      <w:bookmarkEnd w:id="81"/>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lastRenderedPageBreak/>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2" w:name="_Toc532144783"/>
      <w:r>
        <w:t>mesmer.log</w:t>
      </w:r>
      <w:bookmarkEnd w:id="82"/>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3" w:name="_Toc532144784"/>
      <w:r>
        <w:t>XML output</w:t>
      </w:r>
      <w:bookmarkEnd w:id="83"/>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6AA97D3" w:rsidR="00F77C82" w:rsidRPr="001F2071" w:rsidRDefault="00F77C82" w:rsidP="007051CE">
      <w:pPr>
        <w:numPr>
          <w:ilvl w:val="0"/>
          <w:numId w:val="4"/>
        </w:numPr>
      </w:pPr>
      <w:r>
        <w:lastRenderedPageBreak/>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F002E">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66F6834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0F002E">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lastRenderedPageBreak/>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4" w:name="_Toc532144785"/>
      <w:r>
        <w:t>defaults.xml</w:t>
      </w:r>
      <w:bookmarkEnd w:id="84"/>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w:t>
      </w:r>
      <w:r>
        <w:lastRenderedPageBreak/>
        <w:t xml:space="preserve">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5" w:name="_Toc532144786"/>
      <w:r>
        <w:t>librarymols.xml</w:t>
      </w:r>
      <w:bookmarkEnd w:id="85"/>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6" w:name="_Toc532144787"/>
      <w:r>
        <w:t>Secondary input files</w:t>
      </w:r>
      <w:bookmarkEnd w:id="86"/>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7" w:name="_Toc532144788"/>
      <w:r>
        <w:t>source.dot and source.ps</w:t>
      </w:r>
      <w:bookmarkEnd w:id="87"/>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8" w:name="_Toc532144789"/>
      <w:r>
        <w:t>mesmer1.xsl, mesmerDiag.xsl, popDiag.xsl and switchcontent.xsl</w:t>
      </w:r>
      <w:bookmarkEnd w:id="88"/>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89" w:name="_Ref347248442"/>
      <w:bookmarkStart w:id="90" w:name="_Toc532144790"/>
      <w:r>
        <w:t>punch.xsl, punchout.bat</w:t>
      </w:r>
      <w:bookmarkEnd w:id="89"/>
      <w:bookmarkEnd w:id="90"/>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lastRenderedPageBreak/>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1" w:name="_Ref206915297"/>
      <w:bookmarkStart w:id="92" w:name="_Toc532144791"/>
      <w:r w:rsidRPr="00C05534">
        <w:lastRenderedPageBreak/>
        <w:t>Test Suite</w:t>
      </w:r>
      <w:bookmarkEnd w:id="91"/>
      <w:bookmarkEnd w:id="92"/>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3" w:name="_Ref316226934"/>
      <w:bookmarkStart w:id="94" w:name="_Toc532144792"/>
      <w:r w:rsidRPr="00246233">
        <w:t>MesmerQA</w:t>
      </w:r>
      <w:bookmarkEnd w:id="93"/>
      <w:bookmarkEnd w:id="94"/>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5" w:name="_Toc532144793"/>
      <w:r w:rsidRPr="0082158A">
        <w:lastRenderedPageBreak/>
        <w:t>1</w:t>
      </w:r>
      <w:r w:rsidR="00F77C82">
        <w:t>-Pentyl Isomerization</w:t>
      </w:r>
      <w:bookmarkEnd w:id="95"/>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6" w:name="_Toc532144794"/>
      <w:r w:rsidRPr="00F66AB7">
        <w:lastRenderedPageBreak/>
        <w:t>Cyclopropene Isomerization + Reservoir State</w:t>
      </w:r>
      <w:bookmarkEnd w:id="96"/>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35DB4CFD"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F002E">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7" w:name="_Toc532144795"/>
      <w:r w:rsidRPr="00F66AB7">
        <w:lastRenderedPageBreak/>
        <w:t>H + SO</w:t>
      </w:r>
      <w:r w:rsidRPr="007D5484">
        <w:rPr>
          <w:vertAlign w:val="subscript"/>
        </w:rPr>
        <w:t>2</w:t>
      </w:r>
      <w:bookmarkEnd w:id="97"/>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8" w:name="_Toc532144796"/>
      <w:r w:rsidRPr="00F66AB7">
        <w:lastRenderedPageBreak/>
        <w:t>OH + C</w:t>
      </w:r>
      <w:r w:rsidRPr="00B35D94">
        <w:rPr>
          <w:vertAlign w:val="subscript"/>
        </w:rPr>
        <w:t>2</w:t>
      </w:r>
      <w:r w:rsidRPr="00F66AB7">
        <w:t>H</w:t>
      </w:r>
      <w:r w:rsidRPr="00B35D94">
        <w:rPr>
          <w:vertAlign w:val="subscript"/>
        </w:rPr>
        <w:t>2</w:t>
      </w:r>
      <w:bookmarkEnd w:id="98"/>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99" w:name="_Ref353724186"/>
      <w:bookmarkStart w:id="100" w:name="_Toc53214479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99"/>
      <w:bookmarkEnd w:id="100"/>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1" w:name="_Toc532144798"/>
      <w:r w:rsidRPr="0015696B">
        <w:t>2</w:t>
      </w:r>
      <w:r w:rsidR="00F77C82">
        <w:t>-propyl</w:t>
      </w:r>
      <w:r>
        <w:t xml:space="preserve"> (</w:t>
      </w:r>
      <w:r>
        <w:rPr>
          <w:i/>
        </w:rPr>
        <w:t>i-</w:t>
      </w:r>
      <w:r>
        <w:t>propyl)</w:t>
      </w:r>
      <w:bookmarkEnd w:id="101"/>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2" w:name="_Toc532144799"/>
      <w:r>
        <w:t>Benzene-OH Oxidation</w:t>
      </w:r>
      <w:bookmarkEnd w:id="102"/>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3" w:name="_Toc532144800"/>
      <w:r>
        <w:t>Thermodynamic Table</w:t>
      </w:r>
      <w:bookmarkEnd w:id="103"/>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01pt;height:15pt;mso-width-percent:0;mso-height-percent:0;mso-width-percent:0;mso-height-percent:0" o:ole="">
            <v:imagedata r:id="rId47" o:title=""/>
          </v:shape>
          <o:OLEObject Type="Embed" ProgID="Equation.3" ShapeID="_x0000_i1029" DrawAspect="Content" ObjectID="_1609141779"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4" w:name="_Toc532144801"/>
      <w:r>
        <w:t>UnitTests</w:t>
      </w:r>
      <w:bookmarkEnd w:id="104"/>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5" w:name="_Toc532144802"/>
      <w:r w:rsidRPr="00246233">
        <w:lastRenderedPageBreak/>
        <w:t>Examples</w:t>
      </w:r>
      <w:bookmarkEnd w:id="105"/>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w:t>
            </w:r>
            <w:r w:rsidRPr="00DA3F63">
              <w:rPr>
                <w:sz w:val="20"/>
              </w:rPr>
              <w:lastRenderedPageBreak/>
              <w:t>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lastRenderedPageBreak/>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6" w:name="_Toc532144803"/>
      <w:r w:rsidRPr="00C05534">
        <w:lastRenderedPageBreak/>
        <w:t>Adding Functionality to MESMER</w:t>
      </w:r>
      <w:bookmarkEnd w:id="106"/>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7" w:name="_Toc532144804"/>
      <w:bookmarkStart w:id="108" w:name="_Ref277428806"/>
      <w:bookmarkStart w:id="109" w:name="_Ref277416966"/>
      <w:r w:rsidRPr="00246233">
        <w:t>Data Access</w:t>
      </w:r>
      <w:bookmarkEnd w:id="107"/>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w:t>
      </w:r>
      <w:r>
        <w:lastRenderedPageBreak/>
        <w:t xml:space="preserve">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0" w:name="_Toc532144805"/>
      <w:r>
        <w:t>XmlMoveTo</w:t>
      </w:r>
      <w:bookmarkEnd w:id="110"/>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1" w:name="_Toc532144806"/>
      <w:r>
        <w:t>XmlRead</w:t>
      </w:r>
      <w:bookmarkEnd w:id="111"/>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2" w:name="_Toc532144807"/>
      <w:r>
        <w:t>XmlReadValue</w:t>
      </w:r>
      <w:bookmarkEnd w:id="112"/>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3" w:name="_Toc532144808"/>
      <w:r>
        <w:t>XmlReadDouble</w:t>
      </w:r>
      <w:bookmarkEnd w:id="113"/>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4" w:name="_Toc532144809"/>
      <w:r>
        <w:lastRenderedPageBreak/>
        <w:t>XmlReadInteger</w:t>
      </w:r>
      <w:bookmarkEnd w:id="114"/>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5" w:name="_Toc532144810"/>
      <w:r>
        <w:t>XmlReadBoolean</w:t>
      </w:r>
      <w:bookmarkEnd w:id="115"/>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6" w:name="_Ref376099370"/>
      <w:bookmarkStart w:id="117" w:name="_Toc532144811"/>
      <w:r w:rsidRPr="00246233">
        <w:t>Plug-in Classes</w:t>
      </w:r>
      <w:bookmarkEnd w:id="116"/>
      <w:bookmarkEnd w:id="117"/>
    </w:p>
    <w:p w14:paraId="6B442014" w14:textId="77777777" w:rsidR="00F77C82" w:rsidRDefault="00F77C82">
      <w:pPr>
        <w:pStyle w:val="Heading3"/>
        <w:tabs>
          <w:tab w:val="left" w:pos="567"/>
        </w:tabs>
        <w:ind w:left="426" w:hanging="426"/>
      </w:pPr>
      <w:bookmarkStart w:id="118" w:name="_Ref376106032"/>
      <w:bookmarkStart w:id="119" w:name="_Toc532144812"/>
      <w:r>
        <w:t>Calculation Methods</w:t>
      </w:r>
      <w:bookmarkEnd w:id="108"/>
      <w:bookmarkEnd w:id="118"/>
      <w:bookmarkEnd w:id="119"/>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w:t>
      </w:r>
      <w:r>
        <w:lastRenderedPageBreak/>
        <w:t xml:space="preserve">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xml:space="preserve">, for a specified ranges of temperature </w:t>
      </w:r>
      <w:r w:rsidR="006A50D9">
        <w:lastRenderedPageBreak/>
        <w:t>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7C63237"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0F002E">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w:t>
            </w:r>
            <w:r>
              <w:lastRenderedPageBreak/>
              <w:t>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lastRenderedPageBreak/>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lastRenderedPageBreak/>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31C750B"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0F002E">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024682F9" w:rsidR="00BB62FE" w:rsidRDefault="00BB62FE" w:rsidP="00BB62FE">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0F002E">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lastRenderedPageBreak/>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F48FE4F" w:rsidR="00667060" w:rsidRDefault="008F27C2" w:rsidP="00230774">
      <w:r>
        <w:rPr>
          <w:rFonts w:ascii="Courier New" w:hAnsi="Courier New" w:cs="Courier New"/>
          <w:color w:val="FF0000"/>
        </w:rPr>
        <w:lastRenderedPageBreak/>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0F002E">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F0177C"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lastRenderedPageBreak/>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F0177C"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lastRenderedPageBreak/>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0" w:name="_Toc532144813"/>
      <w:r>
        <w:t>Collisional Energy Transfer Models</w:t>
      </w:r>
      <w:bookmarkEnd w:id="120"/>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F0177C"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1" w:name="_Ref345764698"/>
      <w:bookmarkStart w:id="122" w:name="_Ref345765223"/>
      <w:bookmarkStart w:id="123" w:name="_Ref345772888"/>
      <w:bookmarkStart w:id="124" w:name="_Toc532144814"/>
      <w:r>
        <w:t>Density of States</w:t>
      </w:r>
      <w:bookmarkEnd w:id="109"/>
      <w:bookmarkEnd w:id="121"/>
      <w:bookmarkEnd w:id="122"/>
      <w:bookmarkEnd w:id="123"/>
      <w:bookmarkEnd w:id="124"/>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w:t>
      </w:r>
      <w:r w:rsidR="009B542A">
        <w:rPr>
          <w:szCs w:val="24"/>
        </w:rPr>
        <w:lastRenderedPageBreak/>
        <w:t xml:space="preserve">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lastRenderedPageBreak/>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0EF9640"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w:t>
      </w:r>
      <w:r w:rsidR="0065374F">
        <w:rPr>
          <w:szCs w:val="24"/>
        </w:rPr>
        <w:lastRenderedPageBreak/>
        <w:t xml:space="preserve">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0F002E">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F0177C"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lastRenderedPageBreak/>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lastRenderedPageBreak/>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5" w:name="_Hlk481434587"/>
      <w:r w:rsidRPr="00701ACB">
        <w:rPr>
          <w:rFonts w:ascii="Courier New" w:hAnsi="Courier New" w:cs="Courier New"/>
          <w:color w:val="FF0000"/>
          <w:sz w:val="18"/>
          <w:szCs w:val="18"/>
          <w:lang w:eastAsia="en-GB"/>
        </w:rPr>
        <w:t>minx</w:t>
      </w:r>
      <w:bookmarkEnd w:id="125"/>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w:t>
      </w:r>
      <w:r w:rsidR="00A256F9">
        <w:rPr>
          <w:szCs w:val="24"/>
        </w:rPr>
        <w:lastRenderedPageBreak/>
        <w:t xml:space="preserve">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6" w:name="_Ref344830943"/>
      <w:bookmarkStart w:id="127" w:name="_Toc532144815"/>
      <w:r>
        <w:t>Microcanonical Rates</w:t>
      </w:r>
      <w:bookmarkEnd w:id="126"/>
      <w:bookmarkEnd w:id="127"/>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w:t>
      </w:r>
      <w:r w:rsidR="00084B4C">
        <w:lastRenderedPageBreak/>
        <w:t xml:space="preserve">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w:t>
      </w:r>
      <w:r w:rsidR="00FD03A1" w:rsidRPr="00FD03A1">
        <w:lastRenderedPageBreak/>
        <w:t>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AC785D7"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0F002E">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8" w:name="_Toc532144816"/>
      <w:r>
        <w:t>Tunne</w:t>
      </w:r>
      <w:r w:rsidR="007463C5">
        <w:t>l</w:t>
      </w:r>
      <w:r w:rsidR="00F77C82">
        <w:t>ing Corrections</w:t>
      </w:r>
      <w:bookmarkEnd w:id="128"/>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w:t>
      </w:r>
      <w:r>
        <w:rPr>
          <w:szCs w:val="24"/>
        </w:rPr>
        <w:lastRenderedPageBreak/>
        <w:t>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29" w:name="_Ref345774704"/>
      <w:bookmarkStart w:id="130" w:name="_Toc532144817"/>
      <w:r>
        <w:t>Distribution Calculator</w:t>
      </w:r>
      <w:bookmarkEnd w:id="129"/>
      <w:bookmarkEnd w:id="130"/>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F0177C"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F0177C"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1" w:name="_Ref481231055"/>
      <w:bookmarkStart w:id="132" w:name="_Toc532144818"/>
      <w:r>
        <w:t xml:space="preserve">Fragmentation </w:t>
      </w:r>
      <w:r w:rsidR="00AA6A35">
        <w:t>Distribution</w:t>
      </w:r>
      <w:bookmarkEnd w:id="131"/>
      <w:bookmarkEnd w:id="132"/>
      <w:r w:rsidR="00AA6A35">
        <w:t xml:space="preserve"> </w:t>
      </w:r>
    </w:p>
    <w:p w14:paraId="772093C9" w14:textId="1EF675BA"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0F002E">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lastRenderedPageBreak/>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lastRenderedPageBreak/>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3" w:name="_Toc532144819"/>
      <w:r w:rsidRPr="00C05534">
        <w:lastRenderedPageBreak/>
        <w:t>MESMER FAQs</w:t>
      </w:r>
      <w:bookmarkEnd w:id="133"/>
    </w:p>
    <w:p w14:paraId="3F4CA177" w14:textId="77777777" w:rsidR="00F77C82" w:rsidRDefault="00F77C82">
      <w:pPr>
        <w:rPr>
          <w:b/>
        </w:rPr>
      </w:pPr>
      <w:r>
        <w:rPr>
          <w:b/>
        </w:rPr>
        <w:t>Q. What is qtot? What is sumc? What is sumg?</w:t>
      </w:r>
    </w:p>
    <w:p w14:paraId="79DB325C" w14:textId="0DC2FF0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F002E">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bookmarkStart w:id="134" w:name="_GoBack"/>
      <w:bookmarkEnd w:id="134"/>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2FE4145F"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F002E">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EAEA72A"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F002E">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32144820"/>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32144821"/>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8" type="#_x0000_t75" alt="" style="width:7pt;height:15pt;mso-width-percent:0;mso-height-percent:0;mso-width-percent:0;mso-height-percent:0" o:ole="" filled="t">
            <v:fill color2="black"/>
            <v:imagedata r:id="rId50" o:title=""/>
          </v:shape>
          <o:OLEObject Type="Embed" ProgID="Equation.3" ShapeID="_x0000_i1028" DrawAspect="Content" ObjectID="_1609141780"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F0177C"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1pt;height:21pt;mso-width-percent:0;mso-height-percent:0;mso-width-percent:0;mso-height-percent:0" o:ole="" filled="t">
            <v:fill color2="black"/>
            <v:imagedata r:id="rId52" o:title=""/>
          </v:shape>
          <o:OLEObject Type="Embed" ProgID="Equation.3" ShapeID="_x0000_i1027" DrawAspect="Content" ObjectID="_1609141781"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w:t>
      </w:r>
      <w:r w:rsidR="00F77C82">
        <w:lastRenderedPageBreak/>
        <w:t xml:space="preserve">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6" type="#_x0000_t75" alt="" style="width:36pt;height:15pt;mso-width-percent:0;mso-height-percent:0;mso-width-percent:0;mso-height-percent:0" o:ole="" filled="t">
            <v:fill color2="black"/>
            <v:imagedata r:id="rId55" o:title=""/>
          </v:shape>
          <o:OLEObject Type="Embed" ProgID="Equation.3" ShapeID="_x0000_i1026" DrawAspect="Content" ObjectID="_1609141782"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w:t>
      </w:r>
      <w:r>
        <w:lastRenderedPageBreak/>
        <w:t xml:space="preserve">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F0177C"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lastRenderedPageBreak/>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w:t>
      </w:r>
      <w:r>
        <w:lastRenderedPageBreak/>
        <w:t xml:space="preserve">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32144822"/>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F0177C"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F0177C"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F0177C"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w:t>
      </w:r>
      <w:r>
        <w:lastRenderedPageBreak/>
        <w:t xml:space="preserve">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F0177C"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F0177C"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F0177C"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32144823"/>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lastRenderedPageBreak/>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F0177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F0177C"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2B2B5288"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0F002E">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32144824"/>
      <w:r w:rsidRPr="00246233">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32144825"/>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w:t>
      </w:r>
      <w:r>
        <w:lastRenderedPageBreak/>
        <w:t xml:space="preserve">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F0177C"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F0177C"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F0177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F0177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F0177C"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lastRenderedPageBreak/>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F0177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32144826"/>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F0177C"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32144827"/>
      <w:r w:rsidRPr="00246233">
        <w:lastRenderedPageBreak/>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32144828"/>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F0177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F0177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F0177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F0177C"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32144829"/>
      <w:r>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F0177C"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F0177C"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32144830"/>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F0177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5" type="#_x0000_t75" alt="" style="width:15pt;height:21pt;mso-width-percent:0;mso-height-percent:0;mso-width-percent:0;mso-height-percent:0" o:ole="" filled="t">
            <v:fill color2="black"/>
            <v:imagedata r:id="rId57" o:title=""/>
          </v:shape>
          <o:OLEObject Type="Embed" ProgID="Equation.3" ShapeID="_x0000_i1025" DrawAspect="Content" ObjectID="_1609141783"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F0177C"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F0177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F0177C"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F0177C"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F0177C"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32144831"/>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F0177C"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lastRenderedPageBreak/>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F0177C"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F0177C"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32144832"/>
      <w:r>
        <w:lastRenderedPageBreak/>
        <w:t>Revision History</w:t>
      </w:r>
      <w:bookmarkEnd w:id="152"/>
    </w:p>
    <w:p w14:paraId="4139624D" w14:textId="77777777" w:rsidR="00411665" w:rsidRDefault="00411665" w:rsidP="00411665">
      <w:pPr>
        <w:pStyle w:val="Heading2"/>
      </w:pPr>
      <w:bookmarkStart w:id="153" w:name="_Toc532144833"/>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32144834"/>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32144835"/>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lastRenderedPageBreak/>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32144836"/>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6EB54A64"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F002E">
        <w:t>7.3.2</w:t>
      </w:r>
      <w:r>
        <w:fldChar w:fldCharType="end"/>
      </w:r>
      <w:r>
        <w:t xml:space="preserve">). </w:t>
      </w:r>
    </w:p>
    <w:p w14:paraId="4961ABDC" w14:textId="1300B7F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F002E">
        <w:t>11.2.4</w:t>
      </w:r>
      <w:r>
        <w:fldChar w:fldCharType="end"/>
      </w:r>
      <w:r>
        <w:t>).</w:t>
      </w:r>
    </w:p>
    <w:p w14:paraId="430AF9D4" w14:textId="2F36ADE4"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F002E">
        <w:t>11.2.3</w:t>
      </w:r>
      <w:r>
        <w:fldChar w:fldCharType="end"/>
      </w:r>
      <w:r>
        <w:t xml:space="preserve">). </w:t>
      </w:r>
    </w:p>
    <w:p w14:paraId="171F0ADE" w14:textId="758B7C8B"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F002E">
        <w:t>11.2.6</w:t>
      </w:r>
      <w:r>
        <w:fldChar w:fldCharType="end"/>
      </w:r>
      <w:r>
        <w:t>).</w:t>
      </w:r>
    </w:p>
    <w:p w14:paraId="1CF099C1" w14:textId="451F630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0F002E">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32144837"/>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4E6A731"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F002E">
        <w:t>7.3.1</w:t>
      </w:r>
      <w:r>
        <w:fldChar w:fldCharType="end"/>
      </w:r>
      <w:r>
        <w:fldChar w:fldCharType="begin"/>
      </w:r>
      <w:r>
        <w:instrText xml:space="preserve"> REF _Ref353724732 \r \h </w:instrText>
      </w:r>
      <w:r>
        <w:fldChar w:fldCharType="separate"/>
      </w:r>
      <w:r w:rsidR="000F002E">
        <w:t>(5)</w:t>
      </w:r>
      <w:r>
        <w:fldChar w:fldCharType="end"/>
      </w:r>
      <w:r>
        <w:t xml:space="preserve"> and </w:t>
      </w:r>
      <w:r>
        <w:fldChar w:fldCharType="begin"/>
      </w:r>
      <w:r>
        <w:instrText xml:space="preserve"> REF _Ref345764698 \r \h </w:instrText>
      </w:r>
      <w:r>
        <w:fldChar w:fldCharType="separate"/>
      </w:r>
      <w:r w:rsidR="000F002E">
        <w:t>11.2.3</w:t>
      </w:r>
      <w:r>
        <w:fldChar w:fldCharType="end"/>
      </w:r>
      <w:r>
        <w:t>).</w:t>
      </w:r>
    </w:p>
    <w:p w14:paraId="27C4549A" w14:textId="26B32FF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F002E">
        <w:t>7.3.2</w:t>
      </w:r>
      <w:r>
        <w:fldChar w:fldCharType="end"/>
      </w:r>
      <w:r>
        <w:t>).</w:t>
      </w:r>
    </w:p>
    <w:p w14:paraId="31EE516B" w14:textId="2C71B877" w:rsidR="00F9060D" w:rsidRDefault="00F9060D" w:rsidP="007051CE">
      <w:pPr>
        <w:numPr>
          <w:ilvl w:val="0"/>
          <w:numId w:val="2"/>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F002E">
        <w:t>11.2.1</w:t>
      </w:r>
      <w:r>
        <w:fldChar w:fldCharType="end"/>
      </w:r>
      <w:r>
        <w:t>).</w:t>
      </w:r>
    </w:p>
    <w:p w14:paraId="1EB63590" w14:textId="2073E736"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F002E">
        <w:t>7.2</w:t>
      </w:r>
      <w:r>
        <w:fldChar w:fldCharType="end"/>
      </w:r>
      <w:r>
        <w:t xml:space="preserve">). Note the format of the MESMER file has changed between versions 2.0 and 3.0 in order that an XML </w:t>
      </w:r>
      <w:r>
        <w:lastRenderedPageBreak/>
        <w:t>schema can be written. However, MESMER 3.0 should be compatible with earlier version of the input files.</w:t>
      </w:r>
    </w:p>
    <w:p w14:paraId="4F3197EC" w14:textId="77777777" w:rsidR="003D6172" w:rsidRDefault="003D6172" w:rsidP="003D6172">
      <w:pPr>
        <w:pStyle w:val="Heading2"/>
      </w:pPr>
      <w:bookmarkStart w:id="158" w:name="_Toc532144838"/>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702E4727"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0F002E">
        <w:t>11.2.3</w:t>
      </w:r>
      <w:r>
        <w:fldChar w:fldCharType="end"/>
      </w:r>
      <w:r>
        <w:t>).</w:t>
      </w:r>
    </w:p>
    <w:p w14:paraId="65B80081" w14:textId="71350E5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0F002E">
        <w:t>7.3.5</w:t>
      </w:r>
      <w:r>
        <w:fldChar w:fldCharType="end"/>
      </w:r>
      <w:r>
        <w:t>).</w:t>
      </w:r>
    </w:p>
    <w:p w14:paraId="5EF83226" w14:textId="3C49281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0F002E">
        <w:t>7.3.2</w:t>
      </w:r>
      <w:r>
        <w:fldChar w:fldCharType="end"/>
      </w:r>
      <w:r>
        <w:t>).</w:t>
      </w:r>
    </w:p>
    <w:p w14:paraId="72A8BB1C" w14:textId="28A8A122"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0F002E">
        <w:t>11.2.1</w:t>
      </w:r>
      <w:r>
        <w:fldChar w:fldCharType="end"/>
      </w:r>
      <w:r>
        <w:t>).</w:t>
      </w:r>
    </w:p>
    <w:p w14:paraId="4E1F232C" w14:textId="22C5F3A0"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0F002E">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32144839"/>
      <w:r w:rsidRPr="00C05534">
        <w:t xml:space="preserve">MESMER </w:t>
      </w:r>
      <w:r>
        <w:t>4.1 (Released 27/Feb/2016)</w:t>
      </w:r>
      <w:bookmarkEnd w:id="159"/>
    </w:p>
    <w:p w14:paraId="6C277800" w14:textId="77777777" w:rsidR="00565B61" w:rsidRDefault="00565B61" w:rsidP="00565B61">
      <w:pPr>
        <w:ind w:left="357"/>
      </w:pPr>
      <w:r>
        <w:t>New features:</w:t>
      </w:r>
    </w:p>
    <w:p w14:paraId="4133914F" w14:textId="29369B4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0F002E">
        <w:t>11.2.1</w:t>
      </w:r>
      <w:r>
        <w:fldChar w:fldCharType="end"/>
      </w:r>
      <w:r>
        <w:t>).</w:t>
      </w:r>
    </w:p>
    <w:p w14:paraId="725A6088" w14:textId="29EA191E"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0F002E">
        <w:t>11.2.1</w:t>
      </w:r>
      <w:r>
        <w:fldChar w:fldCharType="end"/>
      </w:r>
      <w:r>
        <w:t>).</w:t>
      </w:r>
    </w:p>
    <w:p w14:paraId="103643A3" w14:textId="6495823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0F002E">
        <w:t>11.2.1</w:t>
      </w:r>
      <w:r>
        <w:fldChar w:fldCharType="end"/>
      </w:r>
      <w:r>
        <w:t>).</w:t>
      </w:r>
    </w:p>
    <w:p w14:paraId="0CCD6C01" w14:textId="46D6BE81" w:rsidR="00565B61" w:rsidRDefault="00565B61" w:rsidP="007051CE">
      <w:pPr>
        <w:numPr>
          <w:ilvl w:val="0"/>
          <w:numId w:val="2"/>
        </w:numPr>
        <w:ind w:left="357" w:firstLine="0"/>
      </w:pPr>
      <w:r>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0F002E">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lastRenderedPageBreak/>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65FDCA5"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0F002E">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32144840"/>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121CFDD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0F002E">
        <w:t>6.2</w:t>
      </w:r>
      <w:r>
        <w:fldChar w:fldCharType="end"/>
      </w:r>
      <w:r>
        <w:t>).</w:t>
      </w:r>
    </w:p>
    <w:p w14:paraId="69A1A570" w14:textId="78327E77"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0F002E">
        <w:t>11.2.7</w:t>
      </w:r>
      <w:r>
        <w:fldChar w:fldCharType="end"/>
      </w:r>
      <w:r>
        <w:t>).</w:t>
      </w:r>
    </w:p>
    <w:p w14:paraId="7954A0B6" w14:textId="31EFFF31"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0F002E">
        <w:t>11.2.3</w:t>
      </w:r>
      <w:r>
        <w:fldChar w:fldCharType="end"/>
      </w:r>
      <w:r>
        <w:t>).</w:t>
      </w:r>
    </w:p>
    <w:p w14:paraId="3EA65CF4" w14:textId="1625CCBF"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0F002E">
        <w:t>11.2.3</w:t>
      </w:r>
      <w:r>
        <w:fldChar w:fldCharType="end"/>
      </w:r>
      <w:r>
        <w:t>).</w:t>
      </w:r>
    </w:p>
    <w:p w14:paraId="0F48D9C8" w14:textId="1A020D55"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0F002E">
        <w:t>11.2.4</w:t>
      </w:r>
      <w:r>
        <w:fldChar w:fldCharType="end"/>
      </w:r>
      <w:r>
        <w:t>).</w:t>
      </w:r>
    </w:p>
    <w:p w14:paraId="78D778A9" w14:textId="77777777" w:rsidR="00963927" w:rsidRDefault="00963927" w:rsidP="00963927">
      <w:pPr>
        <w:ind w:left="357"/>
      </w:pPr>
      <w:r>
        <w:t>Other changes:</w:t>
      </w:r>
    </w:p>
    <w:p w14:paraId="7D3CF5A2" w14:textId="5CD1325C" w:rsidR="00963927" w:rsidRDefault="00963927" w:rsidP="00963927">
      <w:pPr>
        <w:numPr>
          <w:ilvl w:val="0"/>
          <w:numId w:val="2"/>
        </w:numPr>
        <w:ind w:left="357" w:firstLine="0"/>
      </w:pPr>
      <w:r>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0F002E">
        <w:t>8.3.1</w:t>
      </w:r>
      <w:r>
        <w:fldChar w:fldCharType="end"/>
      </w:r>
      <w:r>
        <w:t>).</w:t>
      </w:r>
    </w:p>
    <w:p w14:paraId="26A84D00" w14:textId="0759FDF0" w:rsidR="00963927" w:rsidRDefault="00963927" w:rsidP="00963927">
      <w:pPr>
        <w:numPr>
          <w:ilvl w:val="0"/>
          <w:numId w:val="2"/>
        </w:numPr>
        <w:ind w:left="357" w:firstLine="0"/>
      </w:pPr>
      <w:r>
        <w:lastRenderedPageBreak/>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0F002E">
        <w:t>7.3.1</w:t>
      </w:r>
      <w:r>
        <w:fldChar w:fldCharType="end"/>
      </w:r>
      <w:r>
        <w:t>).</w:t>
      </w:r>
    </w:p>
    <w:p w14:paraId="63C3A285" w14:textId="51BD695A" w:rsidR="00565B61" w:rsidRDefault="00C16C10" w:rsidP="00C16C10">
      <w:pPr>
        <w:pStyle w:val="Heading2"/>
      </w:pPr>
      <w:bookmarkStart w:id="161" w:name="_Toc532144841"/>
      <w:r w:rsidRPr="00C05534">
        <w:t xml:space="preserve">MESMER </w:t>
      </w:r>
      <w:r>
        <w:t>5.1 (Released 25/Apr/2018)</w:t>
      </w:r>
      <w:bookmarkEnd w:id="161"/>
    </w:p>
    <w:p w14:paraId="00D9F002" w14:textId="77777777" w:rsidR="00C16C10" w:rsidRDefault="00C16C10" w:rsidP="00C16C10">
      <w:pPr>
        <w:ind w:left="357"/>
      </w:pPr>
      <w:r>
        <w:t>New features:</w:t>
      </w:r>
    </w:p>
    <w:p w14:paraId="43D92CE8" w14:textId="2FCDF7E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0F002E">
        <w:t>8.3.4</w:t>
      </w:r>
      <w:r>
        <w:fldChar w:fldCharType="end"/>
      </w:r>
      <w:r>
        <w:t>).</w:t>
      </w:r>
    </w:p>
    <w:p w14:paraId="7D9C9240" w14:textId="7EF2277C"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0F002E">
        <w:t>11.2.4</w:t>
      </w:r>
      <w:r>
        <w:fldChar w:fldCharType="end"/>
      </w:r>
      <w:r>
        <w:t>).</w:t>
      </w:r>
    </w:p>
    <w:p w14:paraId="7AA3A1F9" w14:textId="4636399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0F002E">
        <w:t>11.2.3</w:t>
      </w:r>
      <w:r>
        <w:fldChar w:fldCharType="end"/>
      </w:r>
      <w:r>
        <w:t xml:space="preserve"> and </w:t>
      </w:r>
      <w:r>
        <w:fldChar w:fldCharType="begin"/>
      </w:r>
      <w:r>
        <w:instrText xml:space="preserve"> REF _Ref505516513 \r \h </w:instrText>
      </w:r>
      <w:r>
        <w:fldChar w:fldCharType="separate"/>
      </w:r>
      <w:r w:rsidR="000F002E">
        <w:t>13.4</w:t>
      </w:r>
      <w:r>
        <w:fldChar w:fldCharType="end"/>
      </w:r>
      <w:r>
        <w:t>)</w:t>
      </w:r>
    </w:p>
    <w:p w14:paraId="7289D00E" w14:textId="6719FC03"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0F002E">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1143D72B"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0F002E">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551A5569"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0F002E">
        <w:t>7.3.5</w:t>
      </w:r>
      <w:r>
        <w:fldChar w:fldCharType="end"/>
      </w:r>
      <w:r>
        <w:t>).</w:t>
      </w:r>
    </w:p>
    <w:p w14:paraId="08CD986F" w14:textId="5F517C87" w:rsidR="00C16C10" w:rsidRDefault="00C16C10" w:rsidP="00C16C10">
      <w:pPr>
        <w:numPr>
          <w:ilvl w:val="0"/>
          <w:numId w:val="2"/>
        </w:numPr>
        <w:ind w:left="357" w:firstLine="0"/>
      </w:pPr>
      <w:r>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0F002E">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lastRenderedPageBreak/>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633EAB25" w14:textId="66DE9FAA" w:rsidR="00565B61" w:rsidRDefault="00C16C10" w:rsidP="00C16C1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0F002E">
        <w:t>6.3.3</w:t>
      </w:r>
      <w:r>
        <w:fldChar w:fldCharType="end"/>
      </w:r>
      <w:r>
        <w:t>).</w:t>
      </w:r>
    </w:p>
    <w:p w14:paraId="76389AAE" w14:textId="77777777" w:rsidR="003D6172" w:rsidRDefault="003D6172" w:rsidP="00232F4B"/>
    <w:p w14:paraId="74930928" w14:textId="77777777" w:rsidR="00F77C82" w:rsidRDefault="00F77C82" w:rsidP="00C05534">
      <w:pPr>
        <w:pStyle w:val="Heading1"/>
      </w:pPr>
      <w:bookmarkStart w:id="162" w:name="_Toc532144842"/>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lastRenderedPageBreak/>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Venkatesh, P. K.; Dean, A. M.; Cohen, M. H.; Carr, R. W. Master equation analysis of intermolecular energy transfer in multiple-well, multiple-channel unimolecular reactions. II. 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lastRenderedPageBreak/>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FC06A" w14:textId="77777777" w:rsidR="00F0177C" w:rsidRDefault="00F0177C">
      <w:pPr>
        <w:spacing w:after="0" w:line="240" w:lineRule="auto"/>
      </w:pPr>
      <w:r>
        <w:separator/>
      </w:r>
    </w:p>
  </w:endnote>
  <w:endnote w:type="continuationSeparator" w:id="0">
    <w:p w14:paraId="37D9608D" w14:textId="77777777" w:rsidR="00F0177C" w:rsidRDefault="00F0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783C22" w:rsidRDefault="00783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783C22" w:rsidRDefault="00783C22">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783C22" w:rsidRDefault="00783C2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783C22" w:rsidRDefault="0078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D3CFC" w14:textId="77777777" w:rsidR="00F0177C" w:rsidRDefault="00F0177C">
      <w:pPr>
        <w:spacing w:after="0" w:line="240" w:lineRule="auto"/>
      </w:pPr>
      <w:r>
        <w:separator/>
      </w:r>
    </w:p>
  </w:footnote>
  <w:footnote w:type="continuationSeparator" w:id="0">
    <w:p w14:paraId="2770A104" w14:textId="77777777" w:rsidR="00F0177C" w:rsidRDefault="00F01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783C22" w:rsidRDefault="00783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783C22" w:rsidRDefault="00783C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783C22" w:rsidRDefault="00783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10E8"/>
    <w:rsid w:val="00761824"/>
    <w:rsid w:val="00762E2D"/>
    <w:rsid w:val="007638D9"/>
    <w:rsid w:val="007679D9"/>
    <w:rsid w:val="007754BB"/>
    <w:rsid w:val="007774EC"/>
    <w:rsid w:val="007800CB"/>
    <w:rsid w:val="007807B6"/>
    <w:rsid w:val="0078168F"/>
    <w:rsid w:val="00783C22"/>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25E34"/>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DF935-B595-4B4B-8042-CFB2A01D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C:\DOCUME~1\chmdrgl\LOCALS~1\Temp\thesis.dot</Template>
  <TotalTime>612</TotalTime>
  <Pages>139</Pages>
  <Words>48146</Words>
  <Characters>274437</Characters>
  <Application>Microsoft Office Word</Application>
  <DocSecurity>0</DocSecurity>
  <Lines>2286</Lines>
  <Paragraphs>643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321940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Robin Shannon</cp:lastModifiedBy>
  <cp:revision>33</cp:revision>
  <cp:lastPrinted>2018-12-17T23:03:00Z</cp:lastPrinted>
  <dcterms:created xsi:type="dcterms:W3CDTF">2018-04-15T11:19:00Z</dcterms:created>
  <dcterms:modified xsi:type="dcterms:W3CDTF">2019-01-16T11:03:00Z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