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F77C82" w:rsidRDefault="00F77C82">
      <w:pPr>
        <w:pStyle w:val="centred"/>
      </w:pPr>
      <w:r>
        <w:t>Struan H. Robertson, David R. Glowacki, Chi-Hsiu Liang,</w:t>
      </w:r>
    </w:p>
    <w:p w:rsidR="00F77C82" w:rsidRDefault="00F77C82">
      <w:pPr>
        <w:pStyle w:val="centred"/>
      </w:pPr>
      <w:r>
        <w:t xml:space="preserve"> Chris Morley, Robin Shannon</w:t>
      </w:r>
      <w:r w:rsidR="00CE39BB">
        <w:t>, Mark Blitz</w:t>
      </w:r>
      <w:r>
        <w:t xml:space="preserve"> 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fldChar w:fldCharType="begin"/>
      </w:r>
      <w:r>
        <w:instrText xml:space="preserve"> DATE \@"DD\ MMMM\ YYYY" </w:instrText>
      </w:r>
      <w:r>
        <w:fldChar w:fldCharType="separate"/>
      </w:r>
      <w:r w:rsidR="00B52EF2">
        <w:rPr>
          <w:noProof/>
        </w:rPr>
        <w:t>22 April 2012</w:t>
      </w:r>
      <w:r>
        <w:fldChar w:fldCharType="end"/>
      </w:r>
    </w:p>
    <w:p w:rsidR="00F77C82" w:rsidRPr="00C05534" w:rsidRDefault="00F77C82" w:rsidP="00C05534">
      <w:pPr>
        <w:pStyle w:val="Heading1"/>
      </w:pPr>
      <w:bookmarkStart w:id="0" w:name="_Toc320354886"/>
      <w:r w:rsidRPr="00C05534">
        <w:lastRenderedPageBreak/>
        <w:t>Acknowledgements</w:t>
      </w:r>
      <w:bookmarkEnd w:id="0"/>
    </w:p>
    <w:p w:rsidR="00F77C82" w:rsidRDefault="00F77C82">
      <w:r>
        <w:tab/>
        <w:t xml:space="preserve">This work was made possible through the help of several people not included as authors.  The MESMER project is the culmination of several years of ME research conducted within the </w:t>
      </w:r>
      <w:r w:rsidR="00026565">
        <w:t xml:space="preserve">Leeds </w:t>
      </w:r>
      <w:r>
        <w:t xml:space="preserve">group, and we are pleased that we finally have something that is starting to resemble a general Master Equation program. We would like to acknowledge the following individuals: Dr. Nicholas Green, Dr. Kevin Hughes, and Dr. David Waller.  Much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F77C82" w:rsidRDefault="00F77C82"/>
    <w:p w:rsidR="00F77C82" w:rsidRDefault="00F77C82"/>
    <w:p w:rsidR="00F77C82" w:rsidRDefault="00F77C82"/>
    <w:p w:rsidR="00F77C82" w:rsidRPr="00C05534" w:rsidRDefault="00F77C82" w:rsidP="00C05534">
      <w:pPr>
        <w:pStyle w:val="Heading1"/>
        <w:sectPr w:rsidR="00F77C82" w:rsidRPr="00C05534">
          <w:footerReference w:type="default" r:id="rId9"/>
          <w:pgSz w:w="11906" w:h="16838"/>
          <w:pgMar w:top="1418" w:right="1418" w:bottom="1418" w:left="1418" w:header="720" w:footer="720" w:gutter="0"/>
          <w:cols w:space="720"/>
          <w:docGrid w:linePitch="360"/>
        </w:sectPr>
      </w:pPr>
      <w:bookmarkStart w:id="1" w:name="_Toc320354887"/>
      <w:r w:rsidRPr="00C05534">
        <w:lastRenderedPageBreak/>
        <w:t>Contents</w:t>
      </w:r>
      <w:bookmarkEnd w:id="1"/>
    </w:p>
    <w:p w:rsidR="000464D2" w:rsidRDefault="00F77C82">
      <w:pPr>
        <w:pStyle w:val="TOC1"/>
        <w:rPr>
          <w:rFonts w:asciiTheme="minorHAnsi" w:eastAsiaTheme="minorEastAsia" w:hAnsiTheme="minorHAnsi" w:cstheme="minorBidi"/>
          <w:noProof/>
          <w:szCs w:val="22"/>
          <w:lang w:eastAsia="en-GB"/>
        </w:rPr>
      </w:pPr>
      <w:r>
        <w:lastRenderedPageBreak/>
        <w:fldChar w:fldCharType="begin"/>
      </w:r>
      <w:r>
        <w:instrText xml:space="preserve"> TOC </w:instrText>
      </w:r>
      <w:r>
        <w:fldChar w:fldCharType="separate"/>
      </w:r>
      <w:r w:rsidR="000464D2">
        <w:rPr>
          <w:noProof/>
        </w:rPr>
        <w:t>1</w:t>
      </w:r>
      <w:r w:rsidR="000464D2">
        <w:rPr>
          <w:rFonts w:asciiTheme="minorHAnsi" w:eastAsiaTheme="minorEastAsia" w:hAnsiTheme="minorHAnsi" w:cstheme="minorBidi"/>
          <w:noProof/>
          <w:szCs w:val="22"/>
          <w:lang w:eastAsia="en-GB"/>
        </w:rPr>
        <w:tab/>
      </w:r>
      <w:r w:rsidR="000464D2">
        <w:rPr>
          <w:noProof/>
        </w:rPr>
        <w:t>Acknowledgements</w:t>
      </w:r>
      <w:r w:rsidR="000464D2">
        <w:rPr>
          <w:noProof/>
        </w:rPr>
        <w:tab/>
      </w:r>
      <w:r w:rsidR="000464D2">
        <w:rPr>
          <w:noProof/>
        </w:rPr>
        <w:fldChar w:fldCharType="begin"/>
      </w:r>
      <w:r w:rsidR="000464D2">
        <w:rPr>
          <w:noProof/>
        </w:rPr>
        <w:instrText xml:space="preserve"> PAGEREF _Toc320354886 \h </w:instrText>
      </w:r>
      <w:r w:rsidR="000464D2">
        <w:rPr>
          <w:noProof/>
        </w:rPr>
      </w:r>
      <w:r w:rsidR="000464D2">
        <w:rPr>
          <w:noProof/>
        </w:rPr>
        <w:fldChar w:fldCharType="separate"/>
      </w:r>
      <w:r w:rsidR="00B52EF2">
        <w:rPr>
          <w:noProof/>
        </w:rPr>
        <w:t>2</w:t>
      </w:r>
      <w:r w:rsidR="000464D2">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_Toc320354887 \h </w:instrText>
      </w:r>
      <w:r>
        <w:rPr>
          <w:noProof/>
        </w:rPr>
      </w:r>
      <w:r>
        <w:rPr>
          <w:noProof/>
        </w:rPr>
        <w:fldChar w:fldCharType="separate"/>
      </w:r>
      <w:r w:rsidR="00B52EF2">
        <w:rPr>
          <w:noProof/>
        </w:rPr>
        <w:t>3</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_Toc320354888 \h </w:instrText>
      </w:r>
      <w:r>
        <w:rPr>
          <w:noProof/>
        </w:rPr>
      </w:r>
      <w:r>
        <w:rPr>
          <w:noProof/>
        </w:rPr>
        <w:fldChar w:fldCharType="separate"/>
      </w:r>
      <w:r w:rsidR="00B52EF2">
        <w:rPr>
          <w:noProof/>
        </w:rPr>
        <w:t>7</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_Toc320354889 \h </w:instrText>
      </w:r>
      <w:r>
        <w:rPr>
          <w:noProof/>
        </w:rPr>
      </w:r>
      <w:r>
        <w:rPr>
          <w:noProof/>
        </w:rPr>
        <w:fldChar w:fldCharType="separate"/>
      </w:r>
      <w:r w:rsidR="00B52EF2">
        <w:rPr>
          <w:noProof/>
        </w:rPr>
        <w:t>8</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_Toc320354890 \h </w:instrText>
      </w:r>
      <w:r>
        <w:rPr>
          <w:noProof/>
        </w:rPr>
      </w:r>
      <w:r>
        <w:rPr>
          <w:noProof/>
        </w:rPr>
        <w:fldChar w:fldCharType="separate"/>
      </w:r>
      <w:r w:rsidR="00B52EF2">
        <w:rPr>
          <w:noProof/>
        </w:rPr>
        <w:t>9</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_Toc320354891 \h </w:instrText>
      </w:r>
      <w:r>
        <w:rPr>
          <w:noProof/>
        </w:rPr>
      </w:r>
      <w:r>
        <w:rPr>
          <w:noProof/>
        </w:rPr>
        <w:fldChar w:fldCharType="separate"/>
      </w:r>
      <w:r w:rsidR="00B52EF2">
        <w:rPr>
          <w:noProof/>
        </w:rPr>
        <w:t>10</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Citation</w:t>
      </w:r>
      <w:r>
        <w:rPr>
          <w:noProof/>
        </w:rPr>
        <w:tab/>
      </w:r>
      <w:r>
        <w:rPr>
          <w:noProof/>
        </w:rPr>
        <w:fldChar w:fldCharType="begin"/>
      </w:r>
      <w:r>
        <w:rPr>
          <w:noProof/>
        </w:rPr>
        <w:instrText xml:space="preserve"> PAGEREF _Toc320354892 \h </w:instrText>
      </w:r>
      <w:r>
        <w:rPr>
          <w:noProof/>
        </w:rPr>
      </w:r>
      <w:r>
        <w:rPr>
          <w:noProof/>
        </w:rPr>
        <w:fldChar w:fldCharType="separate"/>
      </w:r>
      <w:r w:rsidR="00B52EF2">
        <w:rPr>
          <w:noProof/>
        </w:rPr>
        <w:t>11</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_Toc320354893 \h </w:instrText>
      </w:r>
      <w:r>
        <w:rPr>
          <w:noProof/>
        </w:rPr>
      </w:r>
      <w:r>
        <w:rPr>
          <w:noProof/>
        </w:rPr>
        <w:fldChar w:fldCharType="separate"/>
      </w:r>
      <w:r w:rsidR="00B52EF2">
        <w:rPr>
          <w:noProof/>
        </w:rPr>
        <w:t>12</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_Toc320354894 \h </w:instrText>
      </w:r>
      <w:r>
        <w:rPr>
          <w:noProof/>
        </w:rPr>
      </w:r>
      <w:r>
        <w:rPr>
          <w:noProof/>
        </w:rPr>
        <w:fldChar w:fldCharType="separate"/>
      </w:r>
      <w:r w:rsidR="00B52EF2">
        <w:rPr>
          <w:noProof/>
        </w:rPr>
        <w:t>13</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_Toc320354895 \h </w:instrText>
      </w:r>
      <w:r>
        <w:rPr>
          <w:noProof/>
        </w:rPr>
      </w:r>
      <w:r>
        <w:rPr>
          <w:noProof/>
        </w:rPr>
        <w:fldChar w:fldCharType="separate"/>
      </w:r>
      <w:r w:rsidR="00B52EF2">
        <w:rPr>
          <w:noProof/>
        </w:rPr>
        <w:t>13</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_Toc320354896 \h </w:instrText>
      </w:r>
      <w:r>
        <w:rPr>
          <w:noProof/>
        </w:rPr>
      </w:r>
      <w:r>
        <w:rPr>
          <w:noProof/>
        </w:rPr>
        <w:fldChar w:fldCharType="separate"/>
      </w:r>
      <w:r w:rsidR="00B52EF2">
        <w:rPr>
          <w:noProof/>
        </w:rPr>
        <w:t>13</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7.1.2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_Toc320354897 \h </w:instrText>
      </w:r>
      <w:r>
        <w:rPr>
          <w:noProof/>
        </w:rPr>
      </w:r>
      <w:r>
        <w:rPr>
          <w:noProof/>
        </w:rPr>
        <w:fldChar w:fldCharType="separate"/>
      </w:r>
      <w:r w:rsidR="00B52EF2">
        <w:rPr>
          <w:noProof/>
        </w:rPr>
        <w:t>13</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_Toc320354898 \h </w:instrText>
      </w:r>
      <w:r>
        <w:rPr>
          <w:noProof/>
        </w:rPr>
      </w:r>
      <w:r>
        <w:rPr>
          <w:noProof/>
        </w:rPr>
        <w:fldChar w:fldCharType="separate"/>
      </w:r>
      <w:r w:rsidR="00B52EF2">
        <w:rPr>
          <w:noProof/>
        </w:rPr>
        <w:t>14</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_Toc320354899 \h </w:instrText>
      </w:r>
      <w:r>
        <w:rPr>
          <w:noProof/>
        </w:rPr>
      </w:r>
      <w:r>
        <w:rPr>
          <w:noProof/>
        </w:rPr>
        <w:fldChar w:fldCharType="separate"/>
      </w:r>
      <w:r w:rsidR="00B52EF2">
        <w:rPr>
          <w:noProof/>
        </w:rPr>
        <w:t>14</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_Toc320354900 \h </w:instrText>
      </w:r>
      <w:r>
        <w:rPr>
          <w:noProof/>
        </w:rPr>
      </w:r>
      <w:r>
        <w:rPr>
          <w:noProof/>
        </w:rPr>
        <w:fldChar w:fldCharType="separate"/>
      </w:r>
      <w:r w:rsidR="00B52EF2">
        <w:rPr>
          <w:noProof/>
        </w:rPr>
        <w:t>15</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_Toc320354901 \h </w:instrText>
      </w:r>
      <w:r>
        <w:rPr>
          <w:noProof/>
        </w:rPr>
      </w:r>
      <w:r>
        <w:rPr>
          <w:noProof/>
        </w:rPr>
        <w:fldChar w:fldCharType="separate"/>
      </w:r>
      <w:r w:rsidR="00B52EF2">
        <w:rPr>
          <w:noProof/>
        </w:rPr>
        <w:t>15</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_Toc320354902 \h </w:instrText>
      </w:r>
      <w:r>
        <w:rPr>
          <w:noProof/>
        </w:rPr>
      </w:r>
      <w:r>
        <w:rPr>
          <w:noProof/>
        </w:rPr>
        <w:fldChar w:fldCharType="separate"/>
      </w:r>
      <w:r w:rsidR="00B52EF2">
        <w:rPr>
          <w:noProof/>
        </w:rPr>
        <w:t>16</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_Toc320354903 \h </w:instrText>
      </w:r>
      <w:r>
        <w:rPr>
          <w:noProof/>
        </w:rPr>
      </w:r>
      <w:r>
        <w:rPr>
          <w:noProof/>
        </w:rPr>
        <w:fldChar w:fldCharType="separate"/>
      </w:r>
      <w:r w:rsidR="00B52EF2">
        <w:rPr>
          <w:noProof/>
        </w:rPr>
        <w:t>18</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_Toc320354904 \h </w:instrText>
      </w:r>
      <w:r>
        <w:rPr>
          <w:noProof/>
        </w:rPr>
      </w:r>
      <w:r>
        <w:rPr>
          <w:noProof/>
        </w:rPr>
        <w:fldChar w:fldCharType="separate"/>
      </w:r>
      <w:r w:rsidR="00B52EF2">
        <w:rPr>
          <w:noProof/>
        </w:rPr>
        <w:t>18</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_Toc320354905 \h </w:instrText>
      </w:r>
      <w:r>
        <w:rPr>
          <w:noProof/>
        </w:rPr>
      </w:r>
      <w:r>
        <w:rPr>
          <w:noProof/>
        </w:rPr>
        <w:fldChar w:fldCharType="separate"/>
      </w:r>
      <w:r w:rsidR="00B52EF2">
        <w:rPr>
          <w:noProof/>
        </w:rPr>
        <w:t>19</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7.5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_Toc320354906 \h </w:instrText>
      </w:r>
      <w:r>
        <w:rPr>
          <w:noProof/>
        </w:rPr>
      </w:r>
      <w:r>
        <w:rPr>
          <w:noProof/>
        </w:rPr>
        <w:fldChar w:fldCharType="separate"/>
      </w:r>
      <w:r w:rsidR="00B52EF2">
        <w:rPr>
          <w:noProof/>
        </w:rPr>
        <w:t>20</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_Toc320354907 \h </w:instrText>
      </w:r>
      <w:r>
        <w:rPr>
          <w:noProof/>
        </w:rPr>
      </w:r>
      <w:r>
        <w:rPr>
          <w:noProof/>
        </w:rPr>
        <w:fldChar w:fldCharType="separate"/>
      </w:r>
      <w:r w:rsidR="00B52EF2">
        <w:rPr>
          <w:noProof/>
        </w:rPr>
        <w:t>21</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_Toc320354908 \h </w:instrText>
      </w:r>
      <w:r>
        <w:rPr>
          <w:noProof/>
        </w:rPr>
      </w:r>
      <w:r>
        <w:rPr>
          <w:noProof/>
        </w:rPr>
        <w:fldChar w:fldCharType="separate"/>
      </w:r>
      <w:r w:rsidR="00B52EF2">
        <w:rPr>
          <w:noProof/>
        </w:rPr>
        <w:t>21</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_Toc320354909 \h </w:instrText>
      </w:r>
      <w:r>
        <w:rPr>
          <w:noProof/>
        </w:rPr>
      </w:r>
      <w:r>
        <w:rPr>
          <w:noProof/>
        </w:rPr>
        <w:fldChar w:fldCharType="separate"/>
      </w:r>
      <w:r w:rsidR="00B52EF2">
        <w:rPr>
          <w:noProof/>
        </w:rPr>
        <w:t>23</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_Toc320354910 \h </w:instrText>
      </w:r>
      <w:r>
        <w:rPr>
          <w:noProof/>
        </w:rPr>
      </w:r>
      <w:r>
        <w:rPr>
          <w:noProof/>
        </w:rPr>
        <w:fldChar w:fldCharType="separate"/>
      </w:r>
      <w:r w:rsidR="00B52EF2">
        <w:rPr>
          <w:noProof/>
        </w:rPr>
        <w:t>24</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_Toc320354911 \h </w:instrText>
      </w:r>
      <w:r>
        <w:rPr>
          <w:noProof/>
        </w:rPr>
      </w:r>
      <w:r>
        <w:rPr>
          <w:noProof/>
        </w:rPr>
        <w:fldChar w:fldCharType="separate"/>
      </w:r>
      <w:r w:rsidR="00B52EF2">
        <w:rPr>
          <w:noProof/>
        </w:rPr>
        <w:t>29</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_Toc320354912 \h </w:instrText>
      </w:r>
      <w:r>
        <w:rPr>
          <w:noProof/>
        </w:rPr>
      </w:r>
      <w:r>
        <w:rPr>
          <w:noProof/>
        </w:rPr>
        <w:fldChar w:fldCharType="separate"/>
      </w:r>
      <w:r w:rsidR="00B52EF2">
        <w:rPr>
          <w:noProof/>
        </w:rPr>
        <w:t>31</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_Toc320354913 \h </w:instrText>
      </w:r>
      <w:r>
        <w:rPr>
          <w:noProof/>
        </w:rPr>
      </w:r>
      <w:r>
        <w:rPr>
          <w:noProof/>
        </w:rPr>
        <w:fldChar w:fldCharType="separate"/>
      </w:r>
      <w:r w:rsidR="00B52EF2">
        <w:rPr>
          <w:noProof/>
        </w:rPr>
        <w:t>32</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8.2.5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_Toc320354914 \h </w:instrText>
      </w:r>
      <w:r>
        <w:rPr>
          <w:noProof/>
        </w:rPr>
      </w:r>
      <w:r>
        <w:rPr>
          <w:noProof/>
        </w:rPr>
        <w:fldChar w:fldCharType="separate"/>
      </w:r>
      <w:r w:rsidR="00B52EF2">
        <w:rPr>
          <w:noProof/>
        </w:rPr>
        <w:t>33</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_Toc320354915 \h </w:instrText>
      </w:r>
      <w:r>
        <w:rPr>
          <w:noProof/>
        </w:rPr>
      </w:r>
      <w:r>
        <w:rPr>
          <w:noProof/>
        </w:rPr>
        <w:fldChar w:fldCharType="separate"/>
      </w:r>
      <w:r w:rsidR="00B52EF2">
        <w:rPr>
          <w:noProof/>
        </w:rPr>
        <w:t>37</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lastRenderedPageBreak/>
        <w:t>9</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_Toc320354916 \h </w:instrText>
      </w:r>
      <w:r>
        <w:rPr>
          <w:noProof/>
        </w:rPr>
      </w:r>
      <w:r>
        <w:rPr>
          <w:noProof/>
        </w:rPr>
        <w:fldChar w:fldCharType="separate"/>
      </w:r>
      <w:r w:rsidR="00B52EF2">
        <w:rPr>
          <w:noProof/>
        </w:rPr>
        <w:t>38</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_Toc320354917 \h </w:instrText>
      </w:r>
      <w:r>
        <w:rPr>
          <w:noProof/>
        </w:rPr>
      </w:r>
      <w:r>
        <w:rPr>
          <w:noProof/>
        </w:rPr>
        <w:fldChar w:fldCharType="separate"/>
      </w:r>
      <w:r w:rsidR="00B52EF2">
        <w:rPr>
          <w:noProof/>
        </w:rPr>
        <w:t>38</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_Toc320354918 \h </w:instrText>
      </w:r>
      <w:r>
        <w:rPr>
          <w:noProof/>
        </w:rPr>
      </w:r>
      <w:r>
        <w:rPr>
          <w:noProof/>
        </w:rPr>
        <w:fldChar w:fldCharType="separate"/>
      </w:r>
      <w:r w:rsidR="00B52EF2">
        <w:rPr>
          <w:noProof/>
        </w:rPr>
        <w:t>39</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_Toc320354919 \h </w:instrText>
      </w:r>
      <w:r>
        <w:rPr>
          <w:noProof/>
        </w:rPr>
      </w:r>
      <w:r>
        <w:rPr>
          <w:noProof/>
        </w:rPr>
        <w:fldChar w:fldCharType="separate"/>
      </w:r>
      <w:r w:rsidR="00B52EF2">
        <w:rPr>
          <w:noProof/>
        </w:rPr>
        <w:t>39</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_Toc320354920 \h </w:instrText>
      </w:r>
      <w:r>
        <w:rPr>
          <w:noProof/>
        </w:rPr>
      </w:r>
      <w:r>
        <w:rPr>
          <w:noProof/>
        </w:rPr>
        <w:fldChar w:fldCharType="separate"/>
      </w:r>
      <w:r w:rsidR="00B52EF2">
        <w:rPr>
          <w:noProof/>
        </w:rPr>
        <w:t>40</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_Toc320354921 \h </w:instrText>
      </w:r>
      <w:r>
        <w:rPr>
          <w:noProof/>
        </w:rPr>
      </w:r>
      <w:r>
        <w:rPr>
          <w:noProof/>
        </w:rPr>
        <w:fldChar w:fldCharType="separate"/>
      </w:r>
      <w:r w:rsidR="00B52EF2">
        <w:rPr>
          <w:noProof/>
        </w:rPr>
        <w:t>40</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9.3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_Toc320354922 \h </w:instrText>
      </w:r>
      <w:r>
        <w:rPr>
          <w:noProof/>
        </w:rPr>
      </w:r>
      <w:r>
        <w:rPr>
          <w:noProof/>
        </w:rPr>
        <w:fldChar w:fldCharType="separate"/>
      </w:r>
      <w:r w:rsidR="00B52EF2">
        <w:rPr>
          <w:noProof/>
        </w:rPr>
        <w:t>41</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9.4</w:t>
      </w:r>
      <w:r>
        <w:rPr>
          <w:rFonts w:asciiTheme="minorHAnsi" w:eastAsiaTheme="minorEastAsia" w:hAnsiTheme="minorHAnsi" w:cstheme="minorBidi"/>
          <w:noProof/>
          <w:szCs w:val="22"/>
          <w:lang w:eastAsia="en-GB"/>
        </w:rPr>
        <w:tab/>
      </w:r>
      <w:r>
        <w:rPr>
          <w:noProof/>
        </w:rPr>
        <w:t>ME calculations over a Large Parameter Space</w:t>
      </w:r>
      <w:r>
        <w:rPr>
          <w:noProof/>
        </w:rPr>
        <w:tab/>
      </w:r>
      <w:r>
        <w:rPr>
          <w:noProof/>
        </w:rPr>
        <w:fldChar w:fldCharType="begin"/>
      </w:r>
      <w:r>
        <w:rPr>
          <w:noProof/>
        </w:rPr>
        <w:instrText xml:space="preserve"> PAGEREF _Toc320354923 \h </w:instrText>
      </w:r>
      <w:r>
        <w:rPr>
          <w:noProof/>
        </w:rPr>
      </w:r>
      <w:r>
        <w:rPr>
          <w:noProof/>
        </w:rPr>
        <w:fldChar w:fldCharType="separate"/>
      </w:r>
      <w:r w:rsidR="00B52EF2">
        <w:rPr>
          <w:noProof/>
        </w:rPr>
        <w:t>41</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9.5</w:t>
      </w:r>
      <w:r>
        <w:rPr>
          <w:rFonts w:asciiTheme="minorHAnsi" w:eastAsiaTheme="minorEastAsia" w:hAnsiTheme="minorHAnsi" w:cstheme="minorBidi"/>
          <w:noProof/>
          <w:szCs w:val="22"/>
          <w:lang w:eastAsia="en-GB"/>
        </w:rPr>
        <w:tab/>
      </w:r>
      <w:r>
        <w:rPr>
          <w:noProof/>
        </w:rPr>
        <w:t>Unimolecular and Reverse ILTs</w:t>
      </w:r>
      <w:r>
        <w:rPr>
          <w:noProof/>
        </w:rPr>
        <w:tab/>
      </w:r>
      <w:r>
        <w:rPr>
          <w:noProof/>
        </w:rPr>
        <w:fldChar w:fldCharType="begin"/>
      </w:r>
      <w:r>
        <w:rPr>
          <w:noProof/>
        </w:rPr>
        <w:instrText xml:space="preserve"> PAGEREF _Toc320354924 \h </w:instrText>
      </w:r>
      <w:r>
        <w:rPr>
          <w:noProof/>
        </w:rPr>
      </w:r>
      <w:r>
        <w:rPr>
          <w:noProof/>
        </w:rPr>
        <w:fldChar w:fldCharType="separate"/>
      </w:r>
      <w:r w:rsidR="00B52EF2">
        <w:rPr>
          <w:noProof/>
        </w:rPr>
        <w:t>43</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9.6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_Toc320354925 \h </w:instrText>
      </w:r>
      <w:r>
        <w:rPr>
          <w:noProof/>
        </w:rPr>
      </w:r>
      <w:r>
        <w:rPr>
          <w:noProof/>
        </w:rPr>
        <w:fldChar w:fldCharType="separate"/>
      </w:r>
      <w:r w:rsidR="00B52EF2">
        <w:rPr>
          <w:noProof/>
        </w:rPr>
        <w:t>44</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_Toc320354926 \h </w:instrText>
      </w:r>
      <w:r>
        <w:rPr>
          <w:noProof/>
        </w:rPr>
      </w:r>
      <w:r>
        <w:rPr>
          <w:noProof/>
        </w:rPr>
        <w:fldChar w:fldCharType="separate"/>
      </w:r>
      <w:r w:rsidR="00B52EF2">
        <w:rPr>
          <w:noProof/>
        </w:rPr>
        <w:t>46</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_Toc320354927 \h </w:instrText>
      </w:r>
      <w:r>
        <w:rPr>
          <w:noProof/>
        </w:rPr>
      </w:r>
      <w:r>
        <w:rPr>
          <w:noProof/>
        </w:rPr>
        <w:fldChar w:fldCharType="separate"/>
      </w:r>
      <w:r w:rsidR="00B52EF2">
        <w:rPr>
          <w:noProof/>
        </w:rPr>
        <w:t>46</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_Toc320354928 \h </w:instrText>
      </w:r>
      <w:r>
        <w:rPr>
          <w:noProof/>
        </w:rPr>
      </w:r>
      <w:r>
        <w:rPr>
          <w:noProof/>
        </w:rPr>
        <w:fldChar w:fldCharType="separate"/>
      </w:r>
      <w:r w:rsidR="00B52EF2">
        <w:rPr>
          <w:noProof/>
        </w:rPr>
        <w:t>46</w:t>
      </w:r>
      <w:r>
        <w:rPr>
          <w:noProof/>
        </w:rPr>
        <w:fldChar w:fldCharType="end"/>
      </w:r>
    </w:p>
    <w:p w:rsidR="000464D2" w:rsidRDefault="000464D2">
      <w:pPr>
        <w:pStyle w:val="TOC4"/>
        <w:tabs>
          <w:tab w:val="left" w:pos="2555"/>
        </w:tabs>
        <w:rPr>
          <w:rFonts w:asciiTheme="minorHAnsi" w:eastAsiaTheme="minorEastAsia" w:hAnsiTheme="minorHAnsi" w:cstheme="minorBidi"/>
          <w:noProof/>
          <w:szCs w:val="22"/>
          <w:lang w:eastAsia="en-GB"/>
        </w:rPr>
      </w:pPr>
      <w:r>
        <w:rPr>
          <w:noProof/>
        </w:rPr>
        <w:t>10.1.1.1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_Toc320354929 \h </w:instrText>
      </w:r>
      <w:r>
        <w:rPr>
          <w:noProof/>
        </w:rPr>
      </w:r>
      <w:r>
        <w:rPr>
          <w:noProof/>
        </w:rPr>
        <w:fldChar w:fldCharType="separate"/>
      </w:r>
      <w:r w:rsidR="00B52EF2">
        <w:rPr>
          <w:noProof/>
        </w:rPr>
        <w:t>46</w:t>
      </w:r>
      <w:r>
        <w:rPr>
          <w:noProof/>
        </w:rPr>
        <w:fldChar w:fldCharType="end"/>
      </w:r>
    </w:p>
    <w:p w:rsidR="000464D2" w:rsidRDefault="000464D2">
      <w:pPr>
        <w:pStyle w:val="TOC4"/>
        <w:tabs>
          <w:tab w:val="left" w:pos="2555"/>
        </w:tabs>
        <w:rPr>
          <w:rFonts w:asciiTheme="minorHAnsi" w:eastAsiaTheme="minorEastAsia" w:hAnsiTheme="minorHAnsi" w:cstheme="minorBidi"/>
          <w:noProof/>
          <w:szCs w:val="22"/>
          <w:lang w:eastAsia="en-GB"/>
        </w:rPr>
      </w:pPr>
      <w:r>
        <w:rPr>
          <w:noProof/>
        </w:rPr>
        <w:t>10.1.1.2</w:t>
      </w:r>
      <w:r>
        <w:rPr>
          <w:rFonts w:asciiTheme="minorHAnsi" w:eastAsiaTheme="minorEastAsia" w:hAnsiTheme="minorHAnsi" w:cstheme="minorBidi"/>
          <w:noProof/>
          <w:szCs w:val="22"/>
          <w:lang w:eastAsia="en-GB"/>
        </w:rPr>
        <w:tab/>
      </w:r>
      <w:r>
        <w:rPr>
          <w:noProof/>
        </w:rPr>
        <w:t>k(</w:t>
      </w:r>
      <w:r w:rsidRPr="000808D7">
        <w:rPr>
          <w:i/>
          <w:noProof/>
        </w:rPr>
        <w:t>E</w:t>
      </w:r>
      <w:r>
        <w:rPr>
          <w:noProof/>
        </w:rPr>
        <w:t>)s &amp; Tunnelling Corrections</w:t>
      </w:r>
      <w:r>
        <w:rPr>
          <w:noProof/>
        </w:rPr>
        <w:tab/>
      </w:r>
      <w:r>
        <w:rPr>
          <w:noProof/>
        </w:rPr>
        <w:fldChar w:fldCharType="begin"/>
      </w:r>
      <w:r>
        <w:rPr>
          <w:noProof/>
        </w:rPr>
        <w:instrText xml:space="preserve"> PAGEREF _Toc320354930 \h </w:instrText>
      </w:r>
      <w:r>
        <w:rPr>
          <w:noProof/>
        </w:rPr>
      </w:r>
      <w:r>
        <w:rPr>
          <w:noProof/>
        </w:rPr>
        <w:fldChar w:fldCharType="separate"/>
      </w:r>
      <w:r w:rsidR="00B52EF2">
        <w:rPr>
          <w:noProof/>
        </w:rPr>
        <w:t>47</w:t>
      </w:r>
      <w:r>
        <w:rPr>
          <w:noProof/>
        </w:rPr>
        <w:fldChar w:fldCharType="end"/>
      </w:r>
    </w:p>
    <w:p w:rsidR="000464D2" w:rsidRDefault="000464D2">
      <w:pPr>
        <w:pStyle w:val="TOC4"/>
        <w:tabs>
          <w:tab w:val="left" w:pos="2555"/>
        </w:tabs>
        <w:rPr>
          <w:rFonts w:asciiTheme="minorHAnsi" w:eastAsiaTheme="minorEastAsia" w:hAnsiTheme="minorHAnsi" w:cstheme="minorBidi"/>
          <w:noProof/>
          <w:szCs w:val="22"/>
          <w:lang w:eastAsia="en-GB"/>
        </w:rPr>
      </w:pPr>
      <w:r>
        <w:rPr>
          <w:noProof/>
        </w:rPr>
        <w:t>10.1.1.3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_Toc320354931 \h </w:instrText>
      </w:r>
      <w:r>
        <w:rPr>
          <w:noProof/>
        </w:rPr>
      </w:r>
      <w:r>
        <w:rPr>
          <w:noProof/>
        </w:rPr>
        <w:fldChar w:fldCharType="separate"/>
      </w:r>
      <w:r w:rsidR="00B52EF2">
        <w:rPr>
          <w:noProof/>
        </w:rPr>
        <w:t>47</w:t>
      </w:r>
      <w:r>
        <w:rPr>
          <w:noProof/>
        </w:rPr>
        <w:fldChar w:fldCharType="end"/>
      </w:r>
    </w:p>
    <w:p w:rsidR="000464D2" w:rsidRDefault="000464D2">
      <w:pPr>
        <w:pStyle w:val="TOC4"/>
        <w:tabs>
          <w:tab w:val="left" w:pos="2555"/>
        </w:tabs>
        <w:rPr>
          <w:rFonts w:asciiTheme="minorHAnsi" w:eastAsiaTheme="minorEastAsia" w:hAnsiTheme="minorHAnsi" w:cstheme="minorBidi"/>
          <w:noProof/>
          <w:szCs w:val="22"/>
          <w:lang w:eastAsia="en-GB"/>
        </w:rPr>
      </w:pPr>
      <w:r>
        <w:rPr>
          <w:noProof/>
        </w:rPr>
        <w:t>10.1.1.4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_Toc320354932 \h </w:instrText>
      </w:r>
      <w:r>
        <w:rPr>
          <w:noProof/>
        </w:rPr>
      </w:r>
      <w:r>
        <w:rPr>
          <w:noProof/>
        </w:rPr>
        <w:fldChar w:fldCharType="separate"/>
      </w:r>
      <w:r w:rsidR="00B52EF2">
        <w:rPr>
          <w:noProof/>
        </w:rPr>
        <w:t>48</w:t>
      </w:r>
      <w:r>
        <w:rPr>
          <w:noProof/>
        </w:rPr>
        <w:fldChar w:fldCharType="end"/>
      </w:r>
    </w:p>
    <w:p w:rsidR="000464D2" w:rsidRDefault="000464D2">
      <w:pPr>
        <w:pStyle w:val="TOC4"/>
        <w:tabs>
          <w:tab w:val="left" w:pos="2555"/>
        </w:tabs>
        <w:rPr>
          <w:rFonts w:asciiTheme="minorHAnsi" w:eastAsiaTheme="minorEastAsia" w:hAnsiTheme="minorHAnsi" w:cstheme="minorBidi"/>
          <w:noProof/>
          <w:szCs w:val="22"/>
          <w:lang w:eastAsia="en-GB"/>
        </w:rPr>
      </w:pPr>
      <w:r>
        <w:rPr>
          <w:noProof/>
        </w:rPr>
        <w:t>10.1.1.5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_Toc320354933 \h </w:instrText>
      </w:r>
      <w:r>
        <w:rPr>
          <w:noProof/>
        </w:rPr>
      </w:r>
      <w:r>
        <w:rPr>
          <w:noProof/>
        </w:rPr>
        <w:fldChar w:fldCharType="separate"/>
      </w:r>
      <w:r w:rsidR="00B52EF2">
        <w:rPr>
          <w:noProof/>
        </w:rPr>
        <w:t>49</w:t>
      </w:r>
      <w:r>
        <w:rPr>
          <w:noProof/>
        </w:rPr>
        <w:fldChar w:fldCharType="end"/>
      </w:r>
    </w:p>
    <w:p w:rsidR="000464D2" w:rsidRDefault="000464D2">
      <w:pPr>
        <w:pStyle w:val="TOC4"/>
        <w:tabs>
          <w:tab w:val="left" w:pos="2555"/>
        </w:tabs>
        <w:rPr>
          <w:rFonts w:asciiTheme="minorHAnsi" w:eastAsiaTheme="minorEastAsia" w:hAnsiTheme="minorHAnsi" w:cstheme="minorBidi"/>
          <w:noProof/>
          <w:szCs w:val="22"/>
          <w:lang w:eastAsia="en-GB"/>
        </w:rPr>
      </w:pPr>
      <w:r>
        <w:rPr>
          <w:noProof/>
        </w:rPr>
        <w:t>10.1.1.6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_Toc320354934 \h </w:instrText>
      </w:r>
      <w:r>
        <w:rPr>
          <w:noProof/>
        </w:rPr>
      </w:r>
      <w:r>
        <w:rPr>
          <w:noProof/>
        </w:rPr>
        <w:fldChar w:fldCharType="separate"/>
      </w:r>
      <w:r w:rsidR="00B52EF2">
        <w:rPr>
          <w:noProof/>
        </w:rPr>
        <w:t>50</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_Toc320354935 \h </w:instrText>
      </w:r>
      <w:r>
        <w:rPr>
          <w:noProof/>
        </w:rPr>
      </w:r>
      <w:r>
        <w:rPr>
          <w:noProof/>
        </w:rPr>
        <w:fldChar w:fldCharType="separate"/>
      </w:r>
      <w:r w:rsidR="00B52EF2">
        <w:rPr>
          <w:noProof/>
        </w:rPr>
        <w:t>51</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_Toc320354936 \h </w:instrText>
      </w:r>
      <w:r>
        <w:rPr>
          <w:noProof/>
        </w:rPr>
      </w:r>
      <w:r>
        <w:rPr>
          <w:noProof/>
        </w:rPr>
        <w:fldChar w:fldCharType="separate"/>
      </w:r>
      <w:r w:rsidR="00B52EF2">
        <w:rPr>
          <w:noProof/>
        </w:rPr>
        <w:t>52</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_Toc320354937 \h </w:instrText>
      </w:r>
      <w:r>
        <w:rPr>
          <w:noProof/>
        </w:rPr>
      </w:r>
      <w:r>
        <w:rPr>
          <w:noProof/>
        </w:rPr>
        <w:fldChar w:fldCharType="separate"/>
      </w:r>
      <w:r w:rsidR="00B52EF2">
        <w:rPr>
          <w:noProof/>
        </w:rPr>
        <w:t>52</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_Toc320354938 \h </w:instrText>
      </w:r>
      <w:r>
        <w:rPr>
          <w:noProof/>
        </w:rPr>
      </w:r>
      <w:r>
        <w:rPr>
          <w:noProof/>
        </w:rPr>
        <w:fldChar w:fldCharType="separate"/>
      </w:r>
      <w:r w:rsidR="00B52EF2">
        <w:rPr>
          <w:noProof/>
        </w:rPr>
        <w:t>52</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_Toc320354939 \h </w:instrText>
      </w:r>
      <w:r>
        <w:rPr>
          <w:noProof/>
        </w:rPr>
      </w:r>
      <w:r>
        <w:rPr>
          <w:noProof/>
        </w:rPr>
        <w:fldChar w:fldCharType="separate"/>
      </w:r>
      <w:r w:rsidR="00B52EF2">
        <w:rPr>
          <w:noProof/>
        </w:rPr>
        <w:t>53</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_Toc320354940 \h </w:instrText>
      </w:r>
      <w:r>
        <w:rPr>
          <w:noProof/>
        </w:rPr>
      </w:r>
      <w:r>
        <w:rPr>
          <w:noProof/>
        </w:rPr>
        <w:fldChar w:fldCharType="separate"/>
      </w:r>
      <w:r w:rsidR="00B52EF2">
        <w:rPr>
          <w:noProof/>
        </w:rPr>
        <w:t>53</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_Toc320354941 \h </w:instrText>
      </w:r>
      <w:r>
        <w:rPr>
          <w:noProof/>
        </w:rPr>
      </w:r>
      <w:r>
        <w:rPr>
          <w:noProof/>
        </w:rPr>
        <w:fldChar w:fldCharType="separate"/>
      </w:r>
      <w:r w:rsidR="00B52EF2">
        <w:rPr>
          <w:noProof/>
        </w:rPr>
        <w:t>54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_Toc320354942 \h </w:instrText>
      </w:r>
      <w:r>
        <w:rPr>
          <w:noProof/>
        </w:rPr>
      </w:r>
      <w:r>
        <w:rPr>
          <w:noProof/>
        </w:rPr>
        <w:fldChar w:fldCharType="separate"/>
      </w:r>
      <w:r w:rsidR="00B52EF2">
        <w:rPr>
          <w:noProof/>
        </w:rPr>
        <w:t>54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_Toc320354943 \h </w:instrText>
      </w:r>
      <w:r>
        <w:rPr>
          <w:noProof/>
        </w:rPr>
      </w:r>
      <w:r>
        <w:rPr>
          <w:noProof/>
        </w:rPr>
        <w:fldChar w:fldCharType="separate"/>
      </w:r>
      <w:r w:rsidR="00B52EF2">
        <w:rPr>
          <w:noProof/>
        </w:rPr>
        <w:t>54</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_Toc320354944 \h </w:instrText>
      </w:r>
      <w:r>
        <w:rPr>
          <w:noProof/>
        </w:rPr>
      </w:r>
      <w:r>
        <w:rPr>
          <w:noProof/>
        </w:rPr>
        <w:fldChar w:fldCharType="separate"/>
      </w:r>
      <w:r w:rsidR="00B52EF2">
        <w:rPr>
          <w:noProof/>
        </w:rPr>
        <w:t>56</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_Toc320354945 \h </w:instrText>
      </w:r>
      <w:r>
        <w:rPr>
          <w:noProof/>
        </w:rPr>
      </w:r>
      <w:r>
        <w:rPr>
          <w:noProof/>
        </w:rPr>
        <w:fldChar w:fldCharType="separate"/>
      </w:r>
      <w:r w:rsidR="00B52EF2">
        <w:rPr>
          <w:noProof/>
        </w:rPr>
        <w:t>56</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N-Pentyl Isomerization</w:t>
      </w:r>
      <w:r>
        <w:rPr>
          <w:noProof/>
        </w:rPr>
        <w:tab/>
      </w:r>
      <w:r>
        <w:rPr>
          <w:noProof/>
        </w:rPr>
        <w:fldChar w:fldCharType="begin"/>
      </w:r>
      <w:r>
        <w:rPr>
          <w:noProof/>
        </w:rPr>
        <w:instrText xml:space="preserve"> PAGEREF _Toc320354946 \h </w:instrText>
      </w:r>
      <w:r>
        <w:rPr>
          <w:noProof/>
        </w:rPr>
      </w:r>
      <w:r>
        <w:rPr>
          <w:noProof/>
        </w:rPr>
        <w:fldChar w:fldCharType="separate"/>
      </w:r>
      <w:r w:rsidR="00B52EF2">
        <w:rPr>
          <w:noProof/>
        </w:rPr>
        <w:t>57</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_Toc320354947 \h </w:instrText>
      </w:r>
      <w:r>
        <w:rPr>
          <w:noProof/>
        </w:rPr>
      </w:r>
      <w:r>
        <w:rPr>
          <w:noProof/>
        </w:rPr>
        <w:fldChar w:fldCharType="separate"/>
      </w:r>
      <w:r w:rsidR="00B52EF2">
        <w:rPr>
          <w:noProof/>
        </w:rPr>
        <w:t>57</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H + SO2</w:t>
      </w:r>
      <w:r>
        <w:rPr>
          <w:noProof/>
        </w:rPr>
        <w:tab/>
      </w:r>
      <w:r>
        <w:rPr>
          <w:noProof/>
        </w:rPr>
        <w:fldChar w:fldCharType="begin"/>
      </w:r>
      <w:r>
        <w:rPr>
          <w:noProof/>
        </w:rPr>
        <w:instrText xml:space="preserve"> PAGEREF _Toc320354948 \h </w:instrText>
      </w:r>
      <w:r>
        <w:rPr>
          <w:noProof/>
        </w:rPr>
      </w:r>
      <w:r>
        <w:rPr>
          <w:noProof/>
        </w:rPr>
        <w:fldChar w:fldCharType="separate"/>
      </w:r>
      <w:r w:rsidR="00B52EF2">
        <w:rPr>
          <w:noProof/>
        </w:rPr>
        <w:t>58</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OH + C2H2</w:t>
      </w:r>
      <w:r>
        <w:rPr>
          <w:noProof/>
        </w:rPr>
        <w:tab/>
      </w:r>
      <w:r>
        <w:rPr>
          <w:noProof/>
        </w:rPr>
        <w:fldChar w:fldCharType="begin"/>
      </w:r>
      <w:r>
        <w:rPr>
          <w:noProof/>
        </w:rPr>
        <w:instrText xml:space="preserve"> PAGEREF _Toc320354949 \h </w:instrText>
      </w:r>
      <w:r>
        <w:rPr>
          <w:noProof/>
        </w:rPr>
      </w:r>
      <w:r>
        <w:rPr>
          <w:noProof/>
        </w:rPr>
        <w:fldChar w:fldCharType="separate"/>
      </w:r>
      <w:r w:rsidR="00B52EF2">
        <w:rPr>
          <w:noProof/>
        </w:rPr>
        <w:t>59</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lastRenderedPageBreak/>
        <w:t>11.1.5</w:t>
      </w:r>
      <w:r>
        <w:rPr>
          <w:rFonts w:asciiTheme="minorHAnsi" w:eastAsiaTheme="minorEastAsia" w:hAnsiTheme="minorHAnsi" w:cstheme="minorBidi"/>
          <w:noProof/>
          <w:szCs w:val="22"/>
          <w:lang w:eastAsia="en-GB"/>
        </w:rPr>
        <w:tab/>
      </w:r>
      <w:r>
        <w:rPr>
          <w:noProof/>
        </w:rPr>
        <w:t>O2 + CH3CO</w:t>
      </w:r>
      <w:r>
        <w:rPr>
          <w:noProof/>
        </w:rPr>
        <w:tab/>
      </w:r>
      <w:r>
        <w:rPr>
          <w:noProof/>
        </w:rPr>
        <w:fldChar w:fldCharType="begin"/>
      </w:r>
      <w:r>
        <w:rPr>
          <w:noProof/>
        </w:rPr>
        <w:instrText xml:space="preserve"> PAGEREF _Toc320354950 \h </w:instrText>
      </w:r>
      <w:r>
        <w:rPr>
          <w:noProof/>
        </w:rPr>
      </w:r>
      <w:r>
        <w:rPr>
          <w:noProof/>
        </w:rPr>
        <w:fldChar w:fldCharType="separate"/>
      </w:r>
      <w:r w:rsidR="00B52EF2">
        <w:rPr>
          <w:noProof/>
        </w:rPr>
        <w:t>59</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_Toc320354951 \h </w:instrText>
      </w:r>
      <w:r>
        <w:rPr>
          <w:noProof/>
        </w:rPr>
      </w:r>
      <w:r>
        <w:rPr>
          <w:noProof/>
        </w:rPr>
        <w:fldChar w:fldCharType="separate"/>
      </w:r>
      <w:r w:rsidR="00B52EF2">
        <w:rPr>
          <w:noProof/>
        </w:rPr>
        <w:t>60</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_Toc320354952 \h </w:instrText>
      </w:r>
      <w:r>
        <w:rPr>
          <w:noProof/>
        </w:rPr>
      </w:r>
      <w:r>
        <w:rPr>
          <w:noProof/>
        </w:rPr>
        <w:fldChar w:fldCharType="separate"/>
      </w:r>
      <w:r w:rsidR="00B52EF2">
        <w:rPr>
          <w:noProof/>
        </w:rPr>
        <w:t>61</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_Toc320354953 \h </w:instrText>
      </w:r>
      <w:r>
        <w:rPr>
          <w:noProof/>
        </w:rPr>
      </w:r>
      <w:r>
        <w:rPr>
          <w:noProof/>
        </w:rPr>
        <w:fldChar w:fldCharType="separate"/>
      </w:r>
      <w:r w:rsidR="00B52EF2">
        <w:rPr>
          <w:noProof/>
        </w:rPr>
        <w:t>61</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_Toc320354954 \h </w:instrText>
      </w:r>
      <w:r>
        <w:rPr>
          <w:noProof/>
        </w:rPr>
      </w:r>
      <w:r>
        <w:rPr>
          <w:noProof/>
        </w:rPr>
        <w:fldChar w:fldCharType="separate"/>
      </w:r>
      <w:r w:rsidR="00B52EF2">
        <w:rPr>
          <w:noProof/>
        </w:rPr>
        <w:t>61</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_Toc320354955 \h </w:instrText>
      </w:r>
      <w:r>
        <w:rPr>
          <w:noProof/>
        </w:rPr>
      </w:r>
      <w:r>
        <w:rPr>
          <w:noProof/>
        </w:rPr>
        <w:fldChar w:fldCharType="separate"/>
      </w:r>
      <w:r w:rsidR="00B52EF2">
        <w:rPr>
          <w:noProof/>
        </w:rPr>
        <w:t>62</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_Toc320354956 \h </w:instrText>
      </w:r>
      <w:r>
        <w:rPr>
          <w:noProof/>
        </w:rPr>
      </w:r>
      <w:r>
        <w:rPr>
          <w:noProof/>
        </w:rPr>
        <w:fldChar w:fldCharType="separate"/>
      </w:r>
      <w:r w:rsidR="00B52EF2">
        <w:rPr>
          <w:noProof/>
        </w:rPr>
        <w:t>62</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_Toc320354957 \h </w:instrText>
      </w:r>
      <w:r>
        <w:rPr>
          <w:noProof/>
        </w:rPr>
      </w:r>
      <w:r>
        <w:rPr>
          <w:noProof/>
        </w:rPr>
        <w:fldChar w:fldCharType="separate"/>
      </w:r>
      <w:r w:rsidR="00B52EF2">
        <w:rPr>
          <w:noProof/>
        </w:rPr>
        <w:t>63</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_Toc320354958 \h </w:instrText>
      </w:r>
      <w:r>
        <w:rPr>
          <w:noProof/>
        </w:rPr>
      </w:r>
      <w:r>
        <w:rPr>
          <w:noProof/>
        </w:rPr>
        <w:fldChar w:fldCharType="separate"/>
      </w:r>
      <w:r w:rsidR="00B52EF2">
        <w:rPr>
          <w:noProof/>
        </w:rPr>
        <w:t>63</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_Toc320354959 \h </w:instrText>
      </w:r>
      <w:r>
        <w:rPr>
          <w:noProof/>
        </w:rPr>
      </w:r>
      <w:r>
        <w:rPr>
          <w:noProof/>
        </w:rPr>
        <w:fldChar w:fldCharType="separate"/>
      </w:r>
      <w:r w:rsidR="00B52EF2">
        <w:rPr>
          <w:noProof/>
        </w:rPr>
        <w:t>64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_Toc320354960 \h </w:instrText>
      </w:r>
      <w:r>
        <w:rPr>
          <w:noProof/>
        </w:rPr>
      </w:r>
      <w:r>
        <w:rPr>
          <w:noProof/>
        </w:rPr>
        <w:fldChar w:fldCharType="separate"/>
      </w:r>
      <w:r w:rsidR="00B52EF2">
        <w:rPr>
          <w:noProof/>
        </w:rPr>
        <w:t>64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_Toc320354961 \h </w:instrText>
      </w:r>
      <w:r>
        <w:rPr>
          <w:noProof/>
        </w:rPr>
      </w:r>
      <w:r>
        <w:rPr>
          <w:noProof/>
        </w:rPr>
        <w:fldChar w:fldCharType="separate"/>
      </w:r>
      <w:r w:rsidR="00B52EF2">
        <w:rPr>
          <w:noProof/>
        </w:rPr>
        <w:t>64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_Toc320354962 \h </w:instrText>
      </w:r>
      <w:r>
        <w:rPr>
          <w:noProof/>
        </w:rPr>
      </w:r>
      <w:r>
        <w:rPr>
          <w:noProof/>
        </w:rPr>
        <w:fldChar w:fldCharType="separate"/>
      </w:r>
      <w:r w:rsidR="00B52EF2">
        <w:rPr>
          <w:noProof/>
        </w:rPr>
        <w:t>64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_Toc320354963 \h </w:instrText>
      </w:r>
      <w:r>
        <w:rPr>
          <w:noProof/>
        </w:rPr>
      </w:r>
      <w:r>
        <w:rPr>
          <w:noProof/>
        </w:rPr>
        <w:fldChar w:fldCharType="separate"/>
      </w:r>
      <w:r w:rsidR="00B52EF2">
        <w:rPr>
          <w:noProof/>
        </w:rPr>
        <w:t>65</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_Toc320354964 \h </w:instrText>
      </w:r>
      <w:r>
        <w:rPr>
          <w:noProof/>
        </w:rPr>
      </w:r>
      <w:r>
        <w:rPr>
          <w:noProof/>
        </w:rPr>
        <w:fldChar w:fldCharType="separate"/>
      </w:r>
      <w:r w:rsidR="00B52EF2">
        <w:rPr>
          <w:noProof/>
        </w:rPr>
        <w:t>65</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_Toc320354965 \h </w:instrText>
      </w:r>
      <w:r>
        <w:rPr>
          <w:noProof/>
        </w:rPr>
      </w:r>
      <w:r>
        <w:rPr>
          <w:noProof/>
        </w:rPr>
        <w:fldChar w:fldCharType="separate"/>
      </w:r>
      <w:r w:rsidR="00B52EF2">
        <w:rPr>
          <w:noProof/>
        </w:rPr>
        <w:t>65</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_Toc320354966 \h </w:instrText>
      </w:r>
      <w:r>
        <w:rPr>
          <w:noProof/>
        </w:rPr>
      </w:r>
      <w:r>
        <w:rPr>
          <w:noProof/>
        </w:rPr>
        <w:fldChar w:fldCharType="separate"/>
      </w:r>
      <w:r w:rsidR="00B52EF2">
        <w:rPr>
          <w:noProof/>
        </w:rPr>
        <w:t>65</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_Toc320354967 \h </w:instrText>
      </w:r>
      <w:r>
        <w:rPr>
          <w:noProof/>
        </w:rPr>
      </w:r>
      <w:r>
        <w:rPr>
          <w:noProof/>
        </w:rPr>
        <w:fldChar w:fldCharType="separate"/>
      </w:r>
      <w:r w:rsidR="00B52EF2">
        <w:rPr>
          <w:noProof/>
        </w:rPr>
        <w:t>67</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_Toc320354968 \h </w:instrText>
      </w:r>
      <w:r>
        <w:rPr>
          <w:noProof/>
        </w:rPr>
      </w:r>
      <w:r>
        <w:rPr>
          <w:noProof/>
        </w:rPr>
        <w:fldChar w:fldCharType="separate"/>
      </w:r>
      <w:r w:rsidR="00B52EF2">
        <w:rPr>
          <w:noProof/>
        </w:rPr>
        <w:t>68</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_Toc320354969 \h </w:instrText>
      </w:r>
      <w:r>
        <w:rPr>
          <w:noProof/>
        </w:rPr>
      </w:r>
      <w:r>
        <w:rPr>
          <w:noProof/>
        </w:rPr>
        <w:fldChar w:fldCharType="separate"/>
      </w:r>
      <w:r w:rsidR="00B52EF2">
        <w:rPr>
          <w:noProof/>
        </w:rPr>
        <w:t>70</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_Toc320354970 \h </w:instrText>
      </w:r>
      <w:r>
        <w:rPr>
          <w:noProof/>
        </w:rPr>
      </w:r>
      <w:r>
        <w:rPr>
          <w:noProof/>
        </w:rPr>
        <w:fldChar w:fldCharType="separate"/>
      </w:r>
      <w:r w:rsidR="00B52EF2">
        <w:rPr>
          <w:noProof/>
        </w:rPr>
        <w:t>70</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_Toc320354971 \h </w:instrText>
      </w:r>
      <w:r>
        <w:rPr>
          <w:noProof/>
        </w:rPr>
      </w:r>
      <w:r>
        <w:rPr>
          <w:noProof/>
        </w:rPr>
        <w:fldChar w:fldCharType="separate"/>
      </w:r>
      <w:r w:rsidR="00B52EF2">
        <w:rPr>
          <w:noProof/>
        </w:rPr>
        <w:t>71</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_Toc320354972 \h </w:instrText>
      </w:r>
      <w:r>
        <w:rPr>
          <w:noProof/>
        </w:rPr>
      </w:r>
      <w:r>
        <w:rPr>
          <w:noProof/>
        </w:rPr>
        <w:fldChar w:fldCharType="separate"/>
      </w:r>
      <w:r w:rsidR="00B52EF2">
        <w:rPr>
          <w:noProof/>
        </w:rPr>
        <w:t>72</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_Toc320354973 \h </w:instrText>
      </w:r>
      <w:r>
        <w:rPr>
          <w:noProof/>
        </w:rPr>
      </w:r>
      <w:r>
        <w:rPr>
          <w:noProof/>
        </w:rPr>
        <w:fldChar w:fldCharType="separate"/>
      </w:r>
      <w:r w:rsidR="00B52EF2">
        <w:rPr>
          <w:noProof/>
        </w:rPr>
        <w:t>73</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_Toc320354974 \h </w:instrText>
      </w:r>
      <w:r>
        <w:rPr>
          <w:noProof/>
        </w:rPr>
      </w:r>
      <w:r>
        <w:rPr>
          <w:noProof/>
        </w:rPr>
        <w:fldChar w:fldCharType="separate"/>
      </w:r>
      <w:r w:rsidR="00B52EF2">
        <w:rPr>
          <w:noProof/>
        </w:rPr>
        <w:t>76</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_Toc320354975 \h </w:instrText>
      </w:r>
      <w:r>
        <w:rPr>
          <w:noProof/>
        </w:rPr>
      </w:r>
      <w:r>
        <w:rPr>
          <w:noProof/>
        </w:rPr>
        <w:fldChar w:fldCharType="separate"/>
      </w:r>
      <w:r w:rsidR="00B52EF2">
        <w:rPr>
          <w:noProof/>
        </w:rPr>
        <w:t>76</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_Toc320354976 \h </w:instrText>
      </w:r>
      <w:r>
        <w:rPr>
          <w:noProof/>
        </w:rPr>
      </w:r>
      <w:r>
        <w:rPr>
          <w:noProof/>
        </w:rPr>
        <w:fldChar w:fldCharType="separate"/>
      </w:r>
      <w:r w:rsidR="00B52EF2">
        <w:rPr>
          <w:noProof/>
        </w:rPr>
        <w:t>82</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_Toc320354977 \h </w:instrText>
      </w:r>
      <w:r>
        <w:rPr>
          <w:noProof/>
        </w:rPr>
      </w:r>
      <w:r>
        <w:rPr>
          <w:noProof/>
        </w:rPr>
        <w:fldChar w:fldCharType="separate"/>
      </w:r>
      <w:r w:rsidR="00B52EF2">
        <w:rPr>
          <w:noProof/>
        </w:rPr>
        <w:t>84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_Toc320354978 \h </w:instrText>
      </w:r>
      <w:r>
        <w:rPr>
          <w:noProof/>
        </w:rPr>
      </w:r>
      <w:r>
        <w:rPr>
          <w:noProof/>
        </w:rPr>
        <w:fldChar w:fldCharType="separate"/>
      </w:r>
      <w:r w:rsidR="00B52EF2">
        <w:rPr>
          <w:noProof/>
        </w:rPr>
        <w:t>84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_Toc320354979 \h </w:instrText>
      </w:r>
      <w:r>
        <w:rPr>
          <w:noProof/>
        </w:rPr>
      </w:r>
      <w:r>
        <w:rPr>
          <w:noProof/>
        </w:rPr>
        <w:fldChar w:fldCharType="separate"/>
      </w:r>
      <w:r w:rsidR="00B52EF2">
        <w:rPr>
          <w:noProof/>
        </w:rPr>
        <w:t>87</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_Toc320354980 \h </w:instrText>
      </w:r>
      <w:r>
        <w:rPr>
          <w:noProof/>
        </w:rPr>
      </w:r>
      <w:r>
        <w:rPr>
          <w:noProof/>
        </w:rPr>
        <w:fldChar w:fldCharType="separate"/>
      </w:r>
      <w:r w:rsidR="00B52EF2">
        <w:rPr>
          <w:noProof/>
        </w:rPr>
        <w:t>88</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_Toc320354981 \h </w:instrText>
      </w:r>
      <w:r>
        <w:rPr>
          <w:noProof/>
        </w:rPr>
      </w:r>
      <w:r>
        <w:rPr>
          <w:noProof/>
        </w:rPr>
        <w:fldChar w:fldCharType="separate"/>
      </w:r>
      <w:r w:rsidR="00B52EF2">
        <w:rPr>
          <w:noProof/>
        </w:rPr>
        <w:t>88</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_Toc320354982 \h </w:instrText>
      </w:r>
      <w:r>
        <w:rPr>
          <w:noProof/>
        </w:rPr>
      </w:r>
      <w:r>
        <w:rPr>
          <w:noProof/>
        </w:rPr>
        <w:fldChar w:fldCharType="separate"/>
      </w:r>
      <w:r w:rsidR="00B52EF2">
        <w:rPr>
          <w:noProof/>
        </w:rPr>
        <w:t>90</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_Toc320354983 \h </w:instrText>
      </w:r>
      <w:r>
        <w:rPr>
          <w:noProof/>
        </w:rPr>
      </w:r>
      <w:r>
        <w:rPr>
          <w:noProof/>
        </w:rPr>
        <w:fldChar w:fldCharType="separate"/>
      </w:r>
      <w:r w:rsidR="00B52EF2">
        <w:rPr>
          <w:noProof/>
        </w:rPr>
        <w:t>91</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lastRenderedPageBreak/>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_Toc320354984 \h </w:instrText>
      </w:r>
      <w:r>
        <w:rPr>
          <w:noProof/>
        </w:rPr>
      </w:r>
      <w:r>
        <w:rPr>
          <w:noProof/>
        </w:rPr>
        <w:fldChar w:fldCharType="separate"/>
      </w:r>
      <w:r w:rsidR="00B52EF2">
        <w:rPr>
          <w:noProof/>
        </w:rPr>
        <w:t>93</w:t>
      </w:r>
      <w:r>
        <w:rPr>
          <w:noProof/>
        </w:rPr>
        <w:fldChar w:fldCharType="end"/>
      </w:r>
    </w:p>
    <w:p w:rsidR="00F77C82" w:rsidRDefault="00F77C82">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2" w:name="_Toc320354888"/>
      <w:r w:rsidRPr="00C05534">
        <w:lastRenderedPageBreak/>
        <w:t xml:space="preserve">What’s New in MESMER </w:t>
      </w:r>
      <w:r>
        <w:t>2</w:t>
      </w:r>
      <w:r w:rsidRPr="00C05534">
        <w:t>.0</w:t>
      </w:r>
      <w:bookmarkEnd w:id="2"/>
    </w:p>
    <w:p w:rsidR="000464D2" w:rsidRPr="000464D2" w:rsidRDefault="000464D2" w:rsidP="000464D2">
      <w:pPr>
        <w:pStyle w:val="ListParagraph"/>
        <w:numPr>
          <w:ilvl w:val="0"/>
          <w:numId w:val="24"/>
        </w:numPr>
      </w:pPr>
      <w:r>
        <w:t>The ability to constrain parameters together during a fitting exercise.</w:t>
      </w:r>
    </w:p>
    <w:p w:rsidR="00F77C82" w:rsidRPr="00C05534" w:rsidRDefault="000464D2" w:rsidP="00C05534">
      <w:pPr>
        <w:pStyle w:val="Heading1"/>
      </w:pPr>
      <w:bookmarkStart w:id="3" w:name="_Toc320354889"/>
      <w:r>
        <w:lastRenderedPageBreak/>
        <w:t>What Wa</w:t>
      </w:r>
      <w:r w:rsidR="00F77C82" w:rsidRPr="00C05534">
        <w:t xml:space="preserve">s New in MESMER </w:t>
      </w:r>
      <w:r w:rsidR="00E26934" w:rsidRPr="00C05534">
        <w:t>1.</w:t>
      </w:r>
      <w:r w:rsidR="00F77C82" w:rsidRPr="00C05534">
        <w:t>0</w:t>
      </w:r>
      <w:bookmarkEnd w:id="3"/>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w:t>
      </w:r>
      <w:proofErr w:type="gramStart"/>
      <w:r w:rsidR="007D131B">
        <w:t xml:space="preserve">of  </w:t>
      </w:r>
      <w:proofErr w:type="gramEnd"/>
      <w:r w:rsidR="007D131B">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20.05pt" o:ole="" filled="t">
            <v:fill color2="black"/>
            <v:imagedata r:id="rId10" o:title=""/>
          </v:shape>
          <o:OLEObject Type="Embed" ProgID="Equation.3" ShapeID="_x0000_i1025" DrawAspect="Content" ObjectID="_1396598497" r:id="rId11"/>
        </w:object>
      </w:r>
      <w:r>
        <w:t>.</w:t>
      </w:r>
    </w:p>
    <w:p w:rsidR="00DD0349" w:rsidRDefault="00DD0349" w:rsidP="00F77C82">
      <w:pPr>
        <w:numPr>
          <w:ilvl w:val="0"/>
          <w:numId w:val="3"/>
        </w:numPr>
        <w:ind w:left="357" w:firstLine="0"/>
      </w:pPr>
      <w:r>
        <w:t xml:space="preserve">An implementation of the WKB </w:t>
      </w:r>
      <w:r w:rsidR="00E26934">
        <w:t>tunne</w:t>
      </w:r>
      <w:r>
        <w:t>ling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4" w:name="_Toc320354890"/>
      <w:r w:rsidRPr="00C05534">
        <w:lastRenderedPageBreak/>
        <w:t>What Was New in MESMER 0.2</w:t>
      </w:r>
      <w:bookmarkEnd w:id="4"/>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A plug-in class for calculating microcano</w:t>
      </w:r>
      <w:r w:rsidR="00CE39BB">
        <w:t>n</w:t>
      </w:r>
      <w:r>
        <w:t>ical rate coefficients for non-adiabatic transitions.</w:t>
      </w:r>
    </w:p>
    <w:p w:rsidR="00F77C82" w:rsidRPr="00C05534" w:rsidRDefault="00F77C82" w:rsidP="00C05534">
      <w:pPr>
        <w:pStyle w:val="Heading1"/>
      </w:pPr>
      <w:bookmarkStart w:id="5" w:name="_Toc320354891"/>
      <w:r w:rsidRPr="00C05534">
        <w:lastRenderedPageBreak/>
        <w:t>Introduction</w:t>
      </w:r>
      <w:bookmarkEnd w:id="5"/>
    </w:p>
    <w:p w:rsidR="00F77C82" w:rsidRDefault="00F77C82"/>
    <w:p w:rsidR="00F77C82" w:rsidRDefault="00F77C82">
      <w:r>
        <w:tab/>
        <w:t>The modelling of unimolecular systems has application in a variety of environmental and industrial contexts. In recent years a great deal of progress has been made in the understanding and modelling of unimolecular systems over a range of temperatures and pressures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For example, typical experimental kinetics measurements of reactions important in the atmosphere are performed at very low pressures; however, in the atmosphere, these reactions occur at high pressures – so the low pressure results must be extrapolated to the higher pressures characteristic of the lower atmosphere.  The use of stochastic techniques for describing the evolution of unimolecular systems – in particular the master equation (ME) – is a common means of linking laboratory studies and larger scale modelling.  MESMER uses matrix techniques to formulate and solve the energy grained master equation (EGME) for unimolecular systems composed of an arbitrary number of wells, transition states, sinks, and reactants.</w:t>
      </w:r>
    </w:p>
    <w:p w:rsidR="00F77C82" w:rsidRDefault="00F77C82">
      <w:r>
        <w:tab/>
        <w:t xml:space="preserve">A unimolecular system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w:t>
      </w:r>
      <w:r>
        <w:lastRenderedPageBreak/>
        <w:t>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p>
    <w:p w:rsidR="00F77C82" w:rsidRDefault="00F77C82">
      <w:r>
        <w:tab/>
        <w:t xml:space="preserve">MESMER has been designed to improve upon and generalize previous developments in older master equation codes.  MESMER has been written to offer a flexible approach to ME treatments of more 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F77C82" w:rsidP="00D93E24">
      <w:pPr>
        <w:pStyle w:val="Heading2"/>
      </w:pPr>
      <w:bookmarkStart w:id="6" w:name="_Toc320354892"/>
      <w:r w:rsidRPr="00246233">
        <w:t>Citation</w:t>
      </w:r>
      <w:bookmarkEnd w:id="6"/>
    </w:p>
    <w:p w:rsidR="00F77C82" w:rsidRDefault="00F77C82">
      <w:r>
        <w:tab/>
        <w:t>If you published results using MESMER, we would appreciate it if you would cite us.  We are currently preparing a paper in which we detail some of the more interesting things we have implemented in MESMER, and we will ask you to cite that paper, but for the moment, please cite as follows:</w:t>
      </w:r>
    </w:p>
    <w:p w:rsidR="00F77C82" w:rsidRDefault="00F77C82"/>
    <w:p w:rsidR="00F77C82" w:rsidRDefault="00F77C82">
      <w:r>
        <w:t>Robertson, S. H.</w:t>
      </w:r>
      <w:r w:rsidR="00CE39BB">
        <w:t>; Glowacki, D. R.; Liang, C.-H.; Morley, C.;</w:t>
      </w:r>
      <w:r>
        <w:t xml:space="preserve"> Shannon</w:t>
      </w:r>
      <w:r w:rsidR="00CE39BB">
        <w:t>, R.;</w:t>
      </w:r>
      <w:r>
        <w:t xml:space="preserve"> </w:t>
      </w:r>
      <w:r w:rsidR="00CE39BB">
        <w:t xml:space="preserve">Blitz, M.; </w:t>
      </w:r>
      <w:r>
        <w:t>Pilling, M. J., MESMER (Master Equation Solver for Multi-Energy Well Reactions), 2008</w:t>
      </w:r>
      <w:r w:rsidR="00CE39BB">
        <w:t>-2012</w:t>
      </w:r>
      <w:r>
        <w:t>; an object oriented C++ program for carrying out ME calculations and eigenvalue-eigenvector analysis on arbitrary multiple well systems. http://sourceforge.net/projects/mesmer.</w:t>
      </w:r>
    </w:p>
    <w:p w:rsidR="00F77C82" w:rsidRPr="00246233" w:rsidRDefault="00F77C82" w:rsidP="00D93E24">
      <w:pPr>
        <w:pStyle w:val="Heading2"/>
      </w:pPr>
      <w:bookmarkStart w:id="7" w:name="_Toc320354893"/>
      <w:r w:rsidRPr="00246233">
        <w:lastRenderedPageBreak/>
        <w:t>Accessing MESMER</w:t>
      </w:r>
      <w:bookmarkEnd w:id="7"/>
    </w:p>
    <w:p w:rsidR="00F77C82" w:rsidRDefault="00F77C82">
      <w:r>
        <w:t>MESMER is hosted by SourceForge website and can be accessed either by using the search facility provided or following the link:</w:t>
      </w:r>
    </w:p>
    <w:p w:rsidR="00F77C82" w:rsidRDefault="008D5638">
      <w:hyperlink r:id="rId12" w:history="1">
        <w:r w:rsidR="00F77C82" w:rsidRPr="00F300F1">
          <w:rPr>
            <w:rStyle w:val="Hyperlink"/>
          </w:rPr>
          <w:t>http://sourceforge.net/projects/mesmer/</w:t>
        </w:r>
      </w:hyperlink>
    </w:p>
    <w:p w:rsidR="00F77C82" w:rsidRDefault="00F77C82">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r>
        <w:tab/>
      </w:r>
    </w:p>
    <w:p w:rsidR="00F77C82" w:rsidRPr="00246233" w:rsidRDefault="00F77C82" w:rsidP="00C05534">
      <w:pPr>
        <w:pStyle w:val="Heading1"/>
      </w:pPr>
      <w:bookmarkStart w:id="8" w:name="_Toc320354894"/>
      <w:r w:rsidRPr="00246233">
        <w:lastRenderedPageBreak/>
        <w:t>Compilation and Execution</w:t>
      </w:r>
      <w:bookmarkEnd w:id="8"/>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9" w:name="_Toc320354895"/>
      <w:r>
        <w:t>Windows</w:t>
      </w:r>
      <w:bookmarkEnd w:id="9"/>
    </w:p>
    <w:p w:rsidR="00F77C82" w:rsidRDefault="00F77C82" w:rsidP="00C05534">
      <w:pPr>
        <w:pStyle w:val="Heading3"/>
      </w:pPr>
      <w:bookmarkStart w:id="10" w:name="_Toc320354896"/>
      <w:r>
        <w:t>Installing the Binary on Windows</w:t>
      </w:r>
      <w:bookmarkEnd w:id="10"/>
    </w:p>
    <w:p w:rsidR="00F77C82" w:rsidRDefault="00F77C82">
      <w:r>
        <w:tab/>
        <w:t xml:space="preserve">Download the Windows installer and execute it. It will ask you to accept the LGPL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1" w:name="_Toc320354897"/>
      <w:r>
        <w:t>Compiling it yourself on Windows</w:t>
      </w:r>
      <w:bookmarkEnd w:id="11"/>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  </w:t>
      </w:r>
    </w:p>
    <w:p w:rsidR="00F77C82" w:rsidRDefault="00F77C82">
      <w:r>
        <w:tab/>
      </w:r>
      <w:r>
        <w:tab/>
        <w:t>To build MESMER using VS20</w:t>
      </w:r>
      <w:r w:rsidR="00CE39BB">
        <w:t>10</w:t>
      </w:r>
      <w:r>
        <w:t xml:space="preserve">, you could download the MESMER tar.gz distribution as described in section </w:t>
      </w:r>
      <w:r w:rsidR="001235ED">
        <w:fldChar w:fldCharType="begin"/>
      </w:r>
      <w:r w:rsidR="001235ED">
        <w:instrText xml:space="preserve"> REF _Ref316226734 \r \h </w:instrText>
      </w:r>
      <w:r w:rsidR="001235ED">
        <w:fldChar w:fldCharType="separate"/>
      </w:r>
      <w:r w:rsidR="00B52EF2">
        <w:t>7.2</w:t>
      </w:r>
      <w:r w:rsidR="001235ED">
        <w:fldChar w:fldCharType="end"/>
      </w:r>
      <w:r>
        <w:t>, but we would recommend using SVN (possibly with Tortoise SVN) when you will have the opportunity to use either the most recent development code by checking out</w:t>
      </w:r>
    </w:p>
    <w:p w:rsidR="00F77C82" w:rsidRDefault="008D5638">
      <w:hyperlink r:id="rId13"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8D5638">
      <w:hyperlink r:id="rId14"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2" w:name="_Toc320354898"/>
      <w:r>
        <w:t>Running on Windows</w:t>
      </w:r>
      <w:bookmarkEnd w:id="12"/>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C8628D">
        <w:fldChar w:fldCharType="begin"/>
      </w:r>
      <w:r w:rsidR="00C8628D">
        <w:instrText xml:space="preserve"> REF _Ref316226847 \r \h </w:instrText>
      </w:r>
      <w:r w:rsidR="00C8628D">
        <w:fldChar w:fldCharType="separate"/>
      </w:r>
      <w:r w:rsidR="00B52EF2">
        <w:t>7.4</w:t>
      </w:r>
      <w:r w:rsidR="00C8628D">
        <w:fldChar w:fldCharType="end"/>
      </w:r>
      <w:r w:rsidR="00C8628D">
        <w:t xml:space="preserve"> </w:t>
      </w:r>
      <w:r>
        <w:t>for a more complete description of the options and syntax of the command line.</w:t>
      </w:r>
    </w:p>
    <w:p w:rsidR="00F77C82" w:rsidRDefault="00F77C82" w:rsidP="00E41937">
      <w:pPr>
        <w:pStyle w:val="Heading2"/>
      </w:pPr>
      <w:bookmarkStart w:id="13" w:name="_Ref316226734"/>
      <w:bookmarkStart w:id="14" w:name="_Toc320354899"/>
      <w:r>
        <w:t>Linux/UNIX/Mac</w:t>
      </w:r>
      <w:bookmarkEnd w:id="13"/>
      <w:bookmarkEnd w:id="14"/>
    </w:p>
    <w:p w:rsidR="00F77C82" w:rsidRDefault="00F77C82">
      <w:r>
        <w:tab/>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5" w:name="_Toc320354900"/>
      <w:r>
        <w:lastRenderedPageBreak/>
        <w:t>Compiling TinyXML</w:t>
      </w:r>
      <w:bookmarkEnd w:id="15"/>
    </w:p>
    <w:p w:rsidR="00F77C82" w:rsidRDefault="00F77C82">
      <w:r>
        <w:tab/>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6" w:name="_Toc320354901"/>
      <w:r>
        <w:t>Compiling QD for higher precision arithmetic</w:t>
      </w:r>
      <w:bookmarkEnd w:id="16"/>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very deep wells, very low temperatures, and very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5"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lastRenderedPageBreak/>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7" w:name="_Toc320354902"/>
      <w:r>
        <w:t>Compiling and Running the Main Executable</w:t>
      </w:r>
      <w:bookmarkEnd w:id="17"/>
    </w:p>
    <w:p w:rsidR="00F77C82" w:rsidRDefault="00F77C82">
      <w:r>
        <w:tab/>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8" w:name="_Toc320354903"/>
      <w:r>
        <w:lastRenderedPageBreak/>
        <w:t>Running on Linux/UNIX/Mac</w:t>
      </w:r>
      <w:bookmarkEnd w:id="18"/>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19" w:name="_Toc320354904"/>
      <w:r>
        <w:t>Testing MESMER on Windows and Linux/UNIX/Mac</w:t>
      </w:r>
      <w:bookmarkEnd w:id="19"/>
    </w:p>
    <w:p w:rsidR="00F77C82" w:rsidRDefault="00F77C82">
      <w:r>
        <w:tab/>
        <w:t xml:space="preserve">Following MESMER compilation and/or installation, it is a good idea to perform some tests to ensure that your executable gives similar answers to the test jobs that we used during development.  Tiny differences 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C8628D">
        <w:fldChar w:fldCharType="begin"/>
      </w:r>
      <w:r w:rsidR="00C8628D">
        <w:instrText xml:space="preserve"> REF _Ref316226934 \r \h </w:instrText>
      </w:r>
      <w:r w:rsidR="00C8628D">
        <w:fldChar w:fldCharType="separate"/>
      </w:r>
      <w:r w:rsidR="00B52EF2">
        <w:t>11.1</w:t>
      </w:r>
      <w:r w:rsidR="00C8628D">
        <w:fldChar w:fldCharType="end"/>
      </w:r>
      <w:r>
        <w:t xml:space="preserve">.  Within the folder for each test system is another folder called </w:t>
      </w:r>
      <w:r>
        <w:rPr>
          <w:rFonts w:ascii="Courier New" w:hAnsi="Courier New"/>
          <w:color w:val="FF0000"/>
        </w:rPr>
        <w:lastRenderedPageBreak/>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mesmer.test,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0" w:name="_Ref316226847"/>
      <w:bookmarkStart w:id="21" w:name="_Toc320354905"/>
      <w:r>
        <w:t>MESMER command line</w:t>
      </w:r>
      <w:bookmarkEnd w:id="20"/>
      <w:bookmarkEnd w:id="21"/>
    </w:p>
    <w:p w:rsidR="00F77C82"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lastRenderedPageBreak/>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2" w:name="_Toc320354906"/>
      <w:r>
        <w:t>MESMER environment variables</w:t>
      </w:r>
      <w:bookmarkEnd w:id="22"/>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3" w:name="_Ref316227407"/>
      <w:bookmarkStart w:id="24" w:name="_Toc320354907"/>
      <w:r w:rsidRPr="00C05534">
        <w:lastRenderedPageBreak/>
        <w:t>MESMER data files</w:t>
      </w:r>
      <w:bookmarkEnd w:id="23"/>
      <w:bookmarkEnd w:id="24"/>
    </w:p>
    <w:p w:rsidR="00F77C82" w:rsidRDefault="00F77C82">
      <w:r>
        <w:tab/>
      </w:r>
    </w:p>
    <w:p w:rsidR="00F77C82" w:rsidRDefault="00F77C82">
      <w:r>
        <w:tab/>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5" w:name="_Ref316227181"/>
      <w:bookmarkStart w:id="26" w:name="_Toc320354908"/>
      <w:r w:rsidRPr="00246233">
        <w:t>Editing and Viewing Data Files</w:t>
      </w:r>
      <w:bookmarkEnd w:id="25"/>
      <w:bookmarkEnd w:id="26"/>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fldChar w:fldCharType="begin"/>
      </w:r>
      <w:r>
        <w:instrText xml:space="preserve"> REF _Ref216672916 \h </w:instrText>
      </w:r>
      <w:r>
        <w:fldChar w:fldCharType="separate"/>
      </w:r>
      <w:r w:rsidR="00B52EF2">
        <w:t>Figure 4.</w:t>
      </w:r>
      <w:r w:rsidR="00B52EF2">
        <w:rPr>
          <w:noProof/>
        </w:rPr>
        <w:t>1</w:t>
      </w:r>
      <w:r>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pPr>
        <w:ind w:left="437" w:hanging="363"/>
        <w:rPr>
          <w:szCs w:val="24"/>
        </w:rPr>
      </w:pPr>
      <w:r>
        <w:rPr>
          <w:szCs w:val="24"/>
        </w:rPr>
        <w:t>Now you can use it to view MESMER *.xml input files.</w:t>
      </w:r>
    </w:p>
    <w:p w:rsidR="00F77C82" w:rsidRDefault="00F77C82"/>
    <w:p w:rsidR="00F77C82" w:rsidRDefault="00CE39BB">
      <w:r>
        <w:rPr>
          <w:noProof/>
          <w:lang w:eastAsia="en-GB"/>
        </w:rPr>
        <w:drawing>
          <wp:inline distT="0" distB="0" distL="0" distR="0" wp14:anchorId="39679B6B" wp14:editId="56C23502">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Default="00F77C82">
      <w:pPr>
        <w:pStyle w:val="Caption"/>
      </w:pPr>
      <w:bookmarkStart w:id="27" w:name="_Ref216672916"/>
      <w:proofErr w:type="gramStart"/>
      <w:r>
        <w:lastRenderedPageBreak/>
        <w:t>Figure 4.</w:t>
      </w:r>
      <w:proofErr w:type="gramEnd"/>
      <w:r>
        <w:fldChar w:fldCharType="begin"/>
      </w:r>
      <w:r>
        <w:instrText xml:space="preserve"> SEQ "Figure" \*Arabic </w:instrText>
      </w:r>
      <w:r>
        <w:fldChar w:fldCharType="separate"/>
      </w:r>
      <w:r w:rsidR="00B52EF2">
        <w:rPr>
          <w:noProof/>
        </w:rPr>
        <w:t>1</w:t>
      </w:r>
      <w:r>
        <w:fldChar w:fldCharType="end"/>
      </w:r>
      <w:bookmarkEnd w:id="27"/>
      <w:r>
        <w:t xml:space="preserve"> Viewing the potential energy surface of Acetyl+O</w:t>
      </w:r>
      <w:r>
        <w:rPr>
          <w:vertAlign w:val="subscript"/>
        </w:rPr>
        <w:t>2</w:t>
      </w:r>
      <w:r>
        <w:t xml:space="preserve"> reaction by opening the XML input file in Firefox 3.</w:t>
      </w:r>
    </w:p>
    <w:p w:rsidR="00F77C82" w:rsidRDefault="00F77C82">
      <w:r>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28" w:name="_Toc320354909"/>
      <w:r w:rsidRPr="00246233">
        <w:t>The basics of the *.xml input file</w:t>
      </w:r>
      <w:bookmarkEnd w:id="28"/>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Default="00F77C82">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17" w:history="1">
        <w:r>
          <w:rPr>
            <w:rStyle w:val="Hyperlink"/>
          </w:rPr>
          <w:t>OpenBabel</w:t>
        </w:r>
      </w:hyperlink>
      <w:r>
        <w:t xml:space="preserve">, to convert from other formats to CML.  For more information about the CML schema can be found </w:t>
      </w:r>
      <w:hyperlink r:id="rId18" w:history="1">
        <w:r>
          <w:rPr>
            <w:rStyle w:val="Hyperlink"/>
          </w:rPr>
          <w:t>here</w:t>
        </w:r>
      </w:hyperlink>
    </w:p>
    <w:p w:rsidR="00F77C82" w:rsidRDefault="00F77C82" w:rsidP="006D48A8">
      <w:pPr>
        <w:pStyle w:val="Heading3"/>
      </w:pPr>
      <w:bookmarkStart w:id="29" w:name="_Toc320354910"/>
      <w:proofErr w:type="gramStart"/>
      <w:r>
        <w:lastRenderedPageBreak/>
        <w:t>moleculeList</w:t>
      </w:r>
      <w:bookmarkEnd w:id="29"/>
      <w:proofErr w:type="gramEnd"/>
    </w:p>
    <w:p w:rsidR="00F77C82" w:rsidRDefault="00F77C82">
      <w:r>
        <w:rPr>
          <w:rFonts w:ascii="Courier New" w:hAnsi="Courier New" w:cs="Courier New"/>
        </w:rPr>
        <w:tab/>
      </w:r>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r>
        <w:rPr>
          <w:rFonts w:ascii="Courier New" w:hAnsi="Courier New" w:cs="Courier New"/>
          <w:color w:val="FF0000"/>
        </w:rPr>
        <w:t>propertyList</w:t>
      </w:r>
      <w:r>
        <w:t xml:space="preserve"> array, which includes the following:</w:t>
      </w:r>
    </w:p>
    <w:p w:rsidR="00F77C82" w:rsidRDefault="00F77C82">
      <w:pPr>
        <w:numPr>
          <w:ilvl w:val="1"/>
          <w:numId w:val="13"/>
        </w:numPr>
        <w:rPr>
          <w:rFonts w:ascii="Courier New" w:hAnsi="Courier New" w:cs="Courier New"/>
          <w:color w:val="FF0000"/>
        </w:rPr>
      </w:pPr>
      <w:proofErr w:type="gramStart"/>
      <w:r>
        <w:rPr>
          <w:rFonts w:ascii="Courier New" w:hAnsi="Courier New" w:cs="Courier New"/>
          <w:color w:val="FF0000"/>
        </w:rPr>
        <w:lastRenderedPageBreak/>
        <w:t>me:</w:t>
      </w:r>
      <w:proofErr w:type="gramEnd"/>
      <w:r>
        <w:rPr>
          <w:rFonts w:ascii="Courier New" w:hAnsi="Courier New" w:cs="Courier New"/>
          <w:color w:val="FF0000"/>
        </w:rPr>
        <w:t>DOSCMethod</w:t>
      </w:r>
      <w:r>
        <w:t xml:space="preserve">, which specifies the method for MESMER to use in calculating rotational density of states.  Classical and quantum mechanical methods for calculating the external rotational density of states are available, and they are specified with the text </w:t>
      </w:r>
      <w:r>
        <w:rPr>
          <w:rFonts w:ascii="Courier New" w:hAnsi="Courier New" w:cs="Courier New"/>
          <w:color w:val="FF0000"/>
        </w:rPr>
        <w:t xml:space="preserve">ClassicalRotors </w:t>
      </w:r>
      <w:r>
        <w:t>and</w:t>
      </w:r>
      <w:r>
        <w:rPr>
          <w:rFonts w:ascii="Courier New" w:hAnsi="Courier New" w:cs="Courier New"/>
          <w:color w:val="FF0000"/>
        </w:rPr>
        <w:t xml:space="preserve"> QMRotors</w:t>
      </w:r>
      <w:r>
        <w:t xml:space="preserve">.  Table 3.1 gives the classical and QM methods that are presently included in MESMER, and the manner in which the program recognizes the type of calculation to perform.  Neither bath gas molecules nor products of sink reactions require calculation of the rotational state density and thus do not require a specification of </w:t>
      </w:r>
      <w:r>
        <w:rPr>
          <w:rFonts w:ascii="Courier New" w:hAnsi="Courier New" w:cs="Courier New"/>
          <w:color w:val="FF0000"/>
        </w:rPr>
        <w:t>me:DOSCMethod</w:t>
      </w:r>
      <w:r>
        <w:t>; however, specifying such a method will not affect program execution. (The criterion for a near symmetric top is that the modules of the asymmetric parameter, κ, should be within 5% of unity.)</w:t>
      </w:r>
      <w:r>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expression</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pPr>
        <w:pStyle w:val="tablecaption"/>
        <w:ind w:left="900" w:firstLine="0"/>
        <w:jc w:val="both"/>
      </w:pPr>
      <w:proofErr w:type="gramStart"/>
      <w:r>
        <w:t>Table 4.</w:t>
      </w:r>
      <w:proofErr w:type="gramEnd"/>
      <w:r>
        <w:fldChar w:fldCharType="begin"/>
      </w:r>
      <w:r>
        <w:instrText xml:space="preserve"> SEQ "Table" \*Arabic </w:instrText>
      </w:r>
      <w:r>
        <w:fldChar w:fldCharType="separate"/>
      </w:r>
      <w:r w:rsidR="00B52EF2">
        <w:rPr>
          <w:noProof/>
        </w:rPr>
        <w:t>1</w:t>
      </w:r>
      <w:r>
        <w:fldChar w:fldCharType="end"/>
      </w:r>
      <w:r>
        <w:t xml:space="preserve">: methods for calculating DOS </w:t>
      </w:r>
      <w:proofErr w:type="gramStart"/>
      <w:r>
        <w:t>that are</w:t>
      </w:r>
      <w:proofErr w:type="gramEnd"/>
      <w:r>
        <w:t xml:space="preserve"> presently available in MESMER. Note that the rotational constants have the unit of cm</w:t>
      </w:r>
      <w:r>
        <w:rPr>
          <w:vertAlign w:val="superscript"/>
        </w:rPr>
        <w:t>-1</w:t>
      </w:r>
      <w:r>
        <w:t xml:space="preserve">. </w:t>
      </w:r>
      <w:proofErr w:type="gramStart"/>
      <w:r>
        <w:rPr>
          <w:i/>
        </w:rPr>
        <w:t>g</w:t>
      </w:r>
      <w:r>
        <w:rPr>
          <w:i/>
          <w:vertAlign w:val="subscript"/>
        </w:rPr>
        <w:t>JK</w:t>
      </w:r>
      <w:proofErr w:type="gramEnd"/>
      <w:r>
        <w:t xml:space="preserve"> are the degeneracies of (</w:t>
      </w:r>
      <w:r>
        <w:rPr>
          <w:i/>
        </w:rPr>
        <w:t>J</w:t>
      </w:r>
      <w:r>
        <w:t>,</w:t>
      </w:r>
      <w:r>
        <w:rPr>
          <w:i/>
        </w:rPr>
        <w:t>K</w:t>
      </w:r>
      <w:r>
        <w:t>) energy levels.</w:t>
      </w:r>
    </w:p>
    <w:p w:rsidR="00F77C82" w:rsidRDefault="00F77C82">
      <w:pPr>
        <w:numPr>
          <w:ilvl w:val="1"/>
          <w:numId w:val="13"/>
        </w:numPr>
      </w:pPr>
      <w:r>
        <w:t xml:space="preserve">Extensions of the density of states calculation methods. Typically this through the specification of an extra density of state method via the tag </w:t>
      </w:r>
      <w:r>
        <w:rPr>
          <w:rFonts w:ascii="Courier New" w:hAnsi="Courier New" w:cs="Courier New"/>
          <w:color w:val="FF0000"/>
        </w:rPr>
        <w:lastRenderedPageBreak/>
        <w:t>me:ExtraDOSCMethod</w:t>
      </w:r>
      <w:r>
        <w:t xml:space="preserve">. An important example in this respect is the extension that allows the calculation of hindered rotor densities of states. The hindered rotor facility is implemented as a plug in class and can be invoked using </w:t>
      </w:r>
      <w:r>
        <w:rPr>
          <w:rFonts w:ascii="Courier New" w:hAnsi="Courier New" w:cs="Courier New"/>
          <w:color w:val="0000FF"/>
          <w:sz w:val="20"/>
          <w:lang w:val="en-US"/>
        </w:rPr>
        <w:t>&lt;</w:t>
      </w:r>
      <w:r>
        <w:rPr>
          <w:rFonts w:ascii="Courier New" w:hAnsi="Courier New" w:cs="Courier New"/>
          <w:color w:val="A31515"/>
          <w:sz w:val="20"/>
          <w:lang w:val="en-US"/>
        </w:rPr>
        <w:t>me:ExtraDOSCMethod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HinderedRotorQM1D</w:t>
      </w:r>
      <w:r>
        <w:rPr>
          <w:rFonts w:ascii="Courier New" w:hAnsi="Courier New" w:cs="Courier New"/>
          <w:sz w:val="20"/>
          <w:lang w:val="en-US"/>
        </w:rPr>
        <w:t>"</w:t>
      </w:r>
      <w:r>
        <w:rPr>
          <w:rFonts w:ascii="Courier New" w:hAnsi="Courier New" w:cs="Courier New"/>
          <w:color w:val="0000FF"/>
          <w:sz w:val="20"/>
          <w:lang w:val="en-US"/>
        </w:rPr>
        <w:t>&gt;</w:t>
      </w:r>
      <w:r>
        <w:t xml:space="preserve">. The details of this class are given </w:t>
      </w:r>
      <w:r>
        <w:fldChar w:fldCharType="begin"/>
      </w:r>
      <w:r>
        <w:instrText xml:space="preserve"> PAGEREF _Ref277416966 \h </w:instrText>
      </w:r>
      <w:r>
        <w:fldChar w:fldCharType="separate"/>
      </w:r>
      <w:r w:rsidR="00B52EF2">
        <w:rPr>
          <w:noProof/>
        </w:rPr>
        <w:t>63</w:t>
      </w:r>
      <w:r>
        <w:fldChar w:fldCharType="end"/>
      </w:r>
      <w:r>
        <w:t>.</w:t>
      </w:r>
    </w:p>
    <w:p w:rsidR="00F77C82" w:rsidRDefault="00F77C82">
      <w:pPr>
        <w:numPr>
          <w:ilvl w:val="1"/>
          <w:numId w:val="13"/>
        </w:numPr>
      </w:pPr>
      <w:proofErr w:type="gramStart"/>
      <w:r>
        <w:t>The</w:t>
      </w:r>
      <w:r>
        <w:rPr>
          <w:rFonts w:ascii="Courier New" w:hAnsi="Courier New" w:cs="Courier New"/>
          <w:color w:val="FF0000"/>
        </w:rPr>
        <w:t xml:space="preserve"> 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p>
    <w:p w:rsidR="00026565" w:rsidRDefault="00F77C82" w:rsidP="00026565">
      <w:pPr>
        <w:numPr>
          <w:ilvl w:val="1"/>
          <w:numId w:val="13"/>
        </w:numPr>
      </w:pPr>
      <w:r>
        <w:t>If the molecule being modelled is a minimum energy crossing point (MECP) – i.e., a transition state for spin forbidden crossing, then data is required.  Both WKB and LZ corrections require specification of the following:</w:t>
      </w:r>
    </w:p>
    <w:p w:rsidR="00026565" w:rsidRDefault="00F77C82" w:rsidP="00026565">
      <w:pPr>
        <w:numPr>
          <w:ilvl w:val="2"/>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026565">
      <w:pPr>
        <w:numPr>
          <w:ilvl w:val="2"/>
          <w:numId w:val="13"/>
        </w:numPr>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026565" w:rsidRDefault="00F77C82" w:rsidP="00026565">
      <w:pPr>
        <w:numPr>
          <w:ilvl w:val="2"/>
          <w:numId w:val="13"/>
        </w:numPr>
      </w:pPr>
      <w:r>
        <w:lastRenderedPageBreak/>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F77C82" w:rsidRPr="00026565" w:rsidRDefault="00F77C82" w:rsidP="00026565">
      <w:pPr>
        <w:numPr>
          <w:ilvl w:val="2"/>
          <w:numId w:val="13"/>
        </w:num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F77C82" w:rsidRDefault="00F77C82">
      <w:pPr>
        <w:numPr>
          <w:ilvl w:val="1"/>
          <w:numId w:val="13"/>
        </w:numPr>
      </w:pPr>
      <w:proofErr w:type="gramStart"/>
      <w:r>
        <w:rPr>
          <w:rFonts w:ascii="Courier New" w:hAnsi="Courier New" w:cs="Courier New"/>
          <w:color w:val="FF0000"/>
        </w:rPr>
        <w:t>property</w:t>
      </w:r>
      <w:proofErr w:type="gramEnd"/>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r>
        <w:rPr>
          <w:rFonts w:ascii="Courier New" w:hAnsi="Courier New" w:cs="Courier New"/>
          <w:color w:val="FF0000"/>
        </w:rPr>
        <w:t>dictRef</w:t>
      </w:r>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location or a symmetry </w:t>
      </w:r>
      <w:proofErr w:type="gramStart"/>
      <w:r>
        <w:t>number,</w:t>
      </w:r>
      <w:proofErr w:type="gramEnd"/>
      <w:r>
        <w:t xml:space="preserve">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Unitless quantities such as spin multiplicity, symmetry number, or frequency scale factor, are specified to be </w:t>
      </w:r>
      <w:r>
        <w:rPr>
          <w:rFonts w:ascii="Courier New" w:hAnsi="Courier New" w:cs="Courier New"/>
          <w:color w:val="FF0000"/>
        </w:rPr>
        <w:t>scalar</w:t>
      </w:r>
      <w:r>
        <w:t xml:space="preserve">.   Table 4.2 gives the values of </w:t>
      </w:r>
      <w:r>
        <w:rPr>
          <w:rFonts w:ascii="Courier New" w:hAnsi="Courier New" w:cs="Courier New"/>
          <w:color w:val="FF0000"/>
        </w:rPr>
        <w:t>dictRef</w:t>
      </w:r>
      <w:r>
        <w:rPr>
          <w:color w:val="FF6600"/>
        </w:rPr>
        <w:t xml:space="preserve"> </w:t>
      </w:r>
      <w:r>
        <w:t xml:space="preserve">(i.e., property attributes) currently 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F77C82" w:rsidRDefault="00F77C82">
      <w:pPr>
        <w:numPr>
          <w:ilvl w:val="1"/>
          <w:numId w:val="13"/>
        </w:numPr>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defines the principal features of potential energy surface of the reaction system being modelled: it locates the stationary values of the potential energy surface relative to each other. It is important to note that the relative locations are defined in terms of the zero point energy of each species involved in the reaction system. Thus for an isomerisation reaction, the difference of the </w:t>
      </w:r>
      <w:r>
        <w:rPr>
          <w:rFonts w:ascii="Courier New" w:hAnsi="Courier New" w:cs="Courier New"/>
          <w:color w:val="FF0000"/>
        </w:rPr>
        <w:t>me:</w:t>
      </w:r>
      <w:proofErr w:type="gramStart"/>
      <w:r>
        <w:rPr>
          <w:rFonts w:ascii="Courier New" w:hAnsi="Courier New" w:cs="Courier New"/>
          <w:color w:val="FF0000"/>
        </w:rPr>
        <w:t>ZPE</w:t>
      </w:r>
      <w:r>
        <w:t xml:space="preserve"> values of the two isomers corresponds</w:t>
      </w:r>
      <w:proofErr w:type="gramEnd"/>
      <w:r>
        <w:t xml:space="preserve"> to the heat of reaction at 0 K. Because MESMER is based on ZPE values, care must be taken when using data obtained from </w:t>
      </w:r>
      <w:r>
        <w:rPr>
          <w:i/>
        </w:rPr>
        <w:t>ab initio</w:t>
      </w:r>
      <w:r>
        <w:t xml:space="preserve"> methods, that is classical potentials must be adjusted for ZPE and any corrections to vibrational frequencies (e</w:t>
      </w:r>
      <w:proofErr w:type="gramStart"/>
      <w:r>
        <w:t>,g</w:t>
      </w:r>
      <w:proofErr w:type="gramEnd"/>
      <w:r>
        <w:t xml:space="preserve">, application of scaling factors to </w:t>
      </w:r>
      <w:r>
        <w:lastRenderedPageBreak/>
        <w:t xml:space="preserve">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pPr>
        <w:numPr>
          <w:ilvl w:val="2"/>
          <w:numId w:val="13"/>
        </w:numPr>
      </w:pPr>
      <w:r>
        <w:t xml:space="preserve">While different units are available for input of a molecule’s ZPE, the selected units must be consistent for every molecule in the input file with respect to some arbitrary reference energy. </w:t>
      </w:r>
    </w:p>
    <w:p w:rsidR="00F77C82" w:rsidRDefault="00F77C82">
      <w:pPr>
        <w:numPr>
          <w:ilvl w:val="2"/>
          <w:numId w:val="13"/>
        </w:numPr>
      </w:pPr>
      <w:r>
        <w:t xml:space="preserve">For association and dissociation reactions, the respective sum of the reactant and product ZPEs for each molecule must equal the total energy of the products or reactants.  That is, if the ZPE of A+B is equal to </w:t>
      </w:r>
      <w:r>
        <w:rPr>
          <w:i/>
        </w:rPr>
        <w:t>x</w:t>
      </w:r>
      <w:r>
        <w:t xml:space="preserve"> kJ/mol for a particular system, there are infinite number of ways in which this may be specified so long as the ZPE of A added to the ZPE of B is equal to </w:t>
      </w:r>
      <w:r>
        <w:rPr>
          <w:i/>
        </w:rPr>
        <w:t>x</w:t>
      </w:r>
      <w:r>
        <w:t xml:space="preserve"> kJ/mol. It is usually mostly convenient to specify the excess reactant a having a ZPE of zero and ascribe the ZPE difference to the deficient (pseudo-isomer) species. </w:t>
      </w:r>
    </w:p>
    <w:p w:rsidR="00F77C82" w:rsidRDefault="00F77C82">
      <w:pPr>
        <w:numPr>
          <w:ilvl w:val="1"/>
          <w:numId w:val="13"/>
        </w:numPr>
      </w:pPr>
      <w:r>
        <w:t>As an alternative to ZPE, energies can be input as Heat of Formation at 0K, either with a conventional basis (</w:t>
      </w:r>
      <w:r>
        <w:rPr>
          <w:rFonts w:ascii="Courier New" w:hAnsi="Courier New" w:cs="Courier New"/>
          <w:color w:val="FF0000"/>
        </w:rPr>
        <w:t>me:Hf0</w:t>
      </w:r>
      <w:r>
        <w:t>) or with ground-state atoms, rather than standard states of elements assigned a zero value (</w:t>
      </w:r>
      <w:r>
        <w:rPr>
          <w:rFonts w:ascii="Courier New" w:hAnsi="Courier New" w:cs="Courier New"/>
          <w:color w:val="FF0000"/>
        </w:rPr>
        <w:t>me:HfAT0</w:t>
      </w:r>
      <w:r>
        <w:t>). Heat of Formation at 298K (</w:t>
      </w:r>
      <w:r>
        <w:rPr>
          <w:rFonts w:ascii="Courier New" w:hAnsi="Courier New" w:cs="Courier New"/>
          <w:color w:val="FF0000"/>
        </w:rPr>
        <w:t>me:Hf298</w:t>
      </w:r>
      <w:r>
        <w:t xml:space="preserve">) is also supported. When the XML is parsed, these are converted and a property with dictRef = </w:t>
      </w:r>
      <w:r>
        <w:rPr>
          <w:rFonts w:ascii="Courier New" w:hAnsi="Courier New" w:cs="Courier New"/>
          <w:color w:val="FF0000"/>
        </w:rPr>
        <w:t>me:ZPE</w:t>
      </w:r>
      <w:r>
        <w:t xml:space="preserve"> written to the output XML file with an attribute describing the origin of the data. When this XML file is used for input, the ZPE data is used, because the priority order for defining the energy is </w:t>
      </w:r>
      <w:r>
        <w:rPr>
          <w:rFonts w:ascii="Courier New" w:hAnsi="Courier New" w:cs="Courier New"/>
          <w:color w:val="FF0000"/>
        </w:rPr>
        <w:t>me:ZPE</w:t>
      </w:r>
      <w:r>
        <w:t xml:space="preserve">,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t xml:space="preserve"> . </w:t>
      </w:r>
    </w:p>
    <w:p w:rsidR="00F77C82" w:rsidRDefault="00F77C82"/>
    <w:tbl>
      <w:tblPr>
        <w:tblW w:w="0" w:type="auto"/>
        <w:tblInd w:w="108" w:type="dxa"/>
        <w:tblLayout w:type="fixed"/>
        <w:tblLook w:val="0000" w:firstRow="0" w:lastRow="0" w:firstColumn="0" w:lastColumn="0" w:noHBand="0" w:noVBand="0"/>
      </w:tblPr>
      <w:tblGrid>
        <w:gridCol w:w="3817"/>
        <w:gridCol w:w="2569"/>
        <w:gridCol w:w="3565"/>
      </w:tblGrid>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me:ZPE</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F77C82" w:rsidRDefault="00F77C82">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F77C82" w:rsidRDefault="00F77C82">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F77C82" w:rsidRDefault="00F77C82">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me:rotConsts</w:t>
            </w:r>
          </w:p>
        </w:tc>
        <w:tc>
          <w:tcPr>
            <w:tcW w:w="2569"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cm-1</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me:symmetryNumber</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me:frequenciesScaleFactor</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me:vibFreqs</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cm-1</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me:MW</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Amu</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me:spinMultiplicity</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a preferred alternative.</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me:epsilon</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me:sigma</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me:deltaEDown</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cm-1</w:t>
            </w:r>
          </w:p>
        </w:tc>
      </w:tr>
    </w:tbl>
    <w:p w:rsidR="00F77C82" w:rsidRDefault="00F77C82">
      <w:pPr>
        <w:pStyle w:val="tablecaption"/>
      </w:pPr>
      <w:proofErr w:type="gramStart"/>
      <w:r>
        <w:t>Table 4.</w:t>
      </w:r>
      <w:proofErr w:type="gramEnd"/>
      <w:r>
        <w:fldChar w:fldCharType="begin"/>
      </w:r>
      <w:r>
        <w:instrText xml:space="preserve"> SEQ "Table" \*Arabic </w:instrText>
      </w:r>
      <w:r>
        <w:fldChar w:fldCharType="separate"/>
      </w:r>
      <w:r w:rsidR="00B52EF2">
        <w:rPr>
          <w:noProof/>
        </w:rPr>
        <w:t>2</w:t>
      </w:r>
      <w:r>
        <w:fldChar w:fldCharType="end"/>
      </w:r>
      <w:r>
        <w:t>: Some of the values of dictRef recognized by MESMER, whether the associated input is scalar</w:t>
      </w:r>
      <w:r>
        <w:br/>
        <w:t xml:space="preserve"> or an array, and the available units for the input values.</w:t>
      </w:r>
    </w:p>
    <w:p w:rsidR="00F77C82" w:rsidRDefault="00F77C82"/>
    <w:p w:rsidR="00F77C82" w:rsidRDefault="00F77C82" w:rsidP="006D48A8">
      <w:pPr>
        <w:pStyle w:val="Heading3"/>
      </w:pPr>
      <w:bookmarkStart w:id="30" w:name="_Toc320354911"/>
      <w:proofErr w:type="gramStart"/>
      <w:r>
        <w:t>reactionList</w:t>
      </w:r>
      <w:bookmarkEnd w:id="30"/>
      <w:proofErr w:type="gramEnd"/>
    </w:p>
    <w:p w:rsidR="00F77C82" w:rsidRDefault="00F77C82">
      <w:r>
        <w:rPr>
          <w:rFonts w:ascii="Courier New" w:hAnsi="Courier New" w:cs="Courier New"/>
          <w:color w:val="FF6600"/>
        </w:rPr>
        <w:tab/>
      </w:r>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 the following: (1) an isomerization, (2) an association, or </w:t>
      </w:r>
      <w:proofErr w:type="gramStart"/>
      <w:r>
        <w:t>(3) a dissociation</w:t>
      </w:r>
      <w:proofErr w:type="gramEnd"/>
      <w:r>
        <w:t>.</w:t>
      </w:r>
    </w:p>
    <w:p w:rsidR="00F77C82" w:rsidRDefault="00F77C82">
      <w:r>
        <w:tab/>
        <w:t xml:space="preserve">Each </w:t>
      </w:r>
      <w:r>
        <w:rPr>
          <w:rFonts w:ascii="Courier New" w:hAnsi="Courier New" w:cs="Courier New"/>
          <w:color w:val="FF0000"/>
        </w:rPr>
        <w:t>reaction</w:t>
      </w:r>
      <w:r>
        <w:t xml:space="preserve"> may include the following:</w:t>
      </w:r>
    </w:p>
    <w:p w:rsidR="00F77C82" w:rsidRDefault="00F77C82">
      <w:pPr>
        <w:numPr>
          <w:ilvl w:val="0"/>
          <w:numId w:val="2"/>
        </w:numPr>
      </w:pPr>
      <w:r>
        <w:t xml:space="preserve">An </w:t>
      </w:r>
      <w:r>
        <w:rPr>
          <w:rFonts w:ascii="Courier New" w:hAnsi="Courier New" w:cs="Courier New"/>
          <w:color w:val="FF0000"/>
        </w:rPr>
        <w:t>id</w:t>
      </w:r>
      <w:r>
        <w:t xml:space="preserve"> attribute, which is used to identify the reaction;</w:t>
      </w:r>
    </w:p>
    <w:p w:rsidR="00F77C82" w:rsidRDefault="00F77C82">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w:t>
      </w:r>
      <w:r>
        <w:lastRenderedPageBreak/>
        <w:t xml:space="preserve">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w:t>
      </w:r>
      <w:proofErr w:type="gramStart"/>
      <w:r>
        <w:rPr>
          <w:rFonts w:ascii="Courier New" w:hAnsi="Courier New" w:cs="Courier New"/>
          <w:color w:val="FF0000"/>
        </w:rPr>
        <w:t>type</w:t>
      </w:r>
      <w:r>
        <w:t xml:space="preserve"> are</w:t>
      </w:r>
      <w:proofErr w:type="gramEnd"/>
      <w:r>
        <w:t xml:space="preserve"> given in Table 3.3.  </w:t>
      </w:r>
    </w:p>
    <w:p w:rsidR="00F03646" w:rsidRDefault="00F77C82" w:rsidP="00F03646">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molecules cm</w:t>
      </w:r>
      <w:r>
        <w:rPr>
          <w:vertAlign w:val="superscript"/>
        </w:rPr>
        <w:t>-3</w:t>
      </w:r>
      <w:r>
        <w:t>);</w:t>
      </w:r>
      <w:r w:rsidR="00F03646">
        <w:t xml:space="preserve"> </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Pr="00F03646">
        <w:rPr>
          <w:vertAlign w:val="superscript"/>
        </w:rPr>
        <w:t>1</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Aschi, </w:t>
      </w:r>
      <w:r>
        <w:rPr>
          <w:i/>
        </w:rPr>
        <w:t>Faraday Discuss</w:t>
      </w:r>
      <w:r w:rsidR="00F03646">
        <w:t xml:space="preserve">., 2003(124), 129-143. </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:MCRCMethod</w:t>
      </w:r>
      <w:r>
        <w:t xml:space="preserve"> specification, which indicates how microcanonical flux through the transition state is to be treated for a particular reaction.  Presently, there are two 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w:t>
      </w:r>
      <w:r>
        <w:lastRenderedPageBreak/>
        <w:t xml:space="preserve">RRKM expression to calculate </w:t>
      </w:r>
      <w:proofErr w:type="gramStart"/>
      <w:r>
        <w:rPr>
          <w:i/>
        </w:rPr>
        <w:t>k</w:t>
      </w:r>
      <w:r w:rsidRPr="006D776A">
        <w:t>(</w:t>
      </w:r>
      <w:proofErr w:type="gramEnd"/>
      <w:r w:rsidRPr="006D776A">
        <w:rPr>
          <w:i/>
        </w:rPr>
        <w:t>E</w:t>
      </w:r>
      <w:r w:rsidRPr="006D776A">
        <w:t>)</w:t>
      </w:r>
      <w:r>
        <w:t xml:space="preserve">, may be used.  (2)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 xml:space="preserve">. </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8D5638"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proofErr w:type="gramStart"/>
      <w:r>
        <w:t>Table 4.</w:t>
      </w:r>
      <w:proofErr w:type="gramEnd"/>
      <w:r>
        <w:fldChar w:fldCharType="begin"/>
      </w:r>
      <w:r>
        <w:instrText xml:space="preserve"> SEQ "Table" \*Arabic </w:instrText>
      </w:r>
      <w:r>
        <w:fldChar w:fldCharType="separate"/>
      </w:r>
      <w:r w:rsidR="00B52EF2">
        <w:rPr>
          <w:noProof/>
        </w:rPr>
        <w:t>3</w:t>
      </w:r>
      <w:r>
        <w:fldChar w:fldCharType="end"/>
      </w:r>
      <w:r>
        <w:t>: different values of me:type and their corresponding definitions in MESMER</w:t>
      </w:r>
    </w:p>
    <w:p w:rsidR="00F77C82" w:rsidRDefault="00F77C82" w:rsidP="006D48A8">
      <w:pPr>
        <w:pStyle w:val="Heading3"/>
      </w:pPr>
      <w:bookmarkStart w:id="31" w:name="_Ref313049784"/>
      <w:bookmarkStart w:id="32" w:name="_Toc320354912"/>
      <w:proofErr w:type="gramStart"/>
      <w:r>
        <w:t>me:</w:t>
      </w:r>
      <w:proofErr w:type="gramEnd"/>
      <w:r>
        <w:t>conditions</w:t>
      </w:r>
      <w:bookmarkEnd w:id="31"/>
      <w:bookmarkEnd w:id="32"/>
    </w:p>
    <w:p w:rsidR="00F77C82" w:rsidRDefault="00F77C82">
      <w:r>
        <w:tab/>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proofErr w:type="gramStart"/>
      <w:r>
        <w:rPr>
          <w:rFonts w:ascii="Courier New" w:hAnsi="Courier New" w:cs="Courier New"/>
          <w:color w:val="FF0000"/>
        </w:rPr>
        <w:lastRenderedPageBreak/>
        <w:t>me:</w:t>
      </w:r>
      <w:proofErr w:type="gramEnd"/>
      <w:r>
        <w:rPr>
          <w:rFonts w:ascii="Courier New" w:hAnsi="Courier New" w:cs="Courier New"/>
          <w:color w:val="FF0000"/>
        </w:rPr>
        <w:t>PTs</w:t>
      </w:r>
      <w:r w:rsidR="005E02A9">
        <w:t xml:space="preserve">, which is used to specifies the physical conditions </w:t>
      </w:r>
      <w:r>
        <w:t xml:space="preserve">at which the ME model is to be run.  </w:t>
      </w:r>
      <w:proofErr w:type="gramStart"/>
      <w:r>
        <w:rPr>
          <w:rFonts w:ascii="Courier New" w:hAnsi="Courier New" w:cs="Courier New"/>
          <w:color w:val="FF0000"/>
        </w:rPr>
        <w:t>me:</w:t>
      </w:r>
      <w:proofErr w:type="gramEnd"/>
      <w:r>
        <w:rPr>
          <w:rFonts w:ascii="Courier New" w:hAnsi="Courier New" w:cs="Courier New"/>
          <w:color w:val="FF0000"/>
        </w:rPr>
        <w:t>PTs</w:t>
      </w:r>
      <w:r>
        <w:t xml:space="preserve">  </w:t>
      </w:r>
      <w:r w:rsidR="005E02A9">
        <w:t xml:space="preserve">consists of number of </w:t>
      </w:r>
      <w:r>
        <w:t xml:space="preserve">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w:t>
      </w:r>
      <w:proofErr w:type="gramStart"/>
      <w:r>
        <w:t>three</w:t>
      </w:r>
      <w:r w:rsidR="005E02A9">
        <w:t xml:space="preserve"> </w:t>
      </w:r>
      <w:r>
        <w:t xml:space="preserve"> </w:t>
      </w:r>
      <w:r>
        <w:rPr>
          <w:rFonts w:ascii="Courier New" w:hAnsi="Courier New" w:cs="Courier New"/>
          <w:color w:val="FF0000"/>
        </w:rPr>
        <w:t>me:PTpair</w:t>
      </w:r>
      <w:r>
        <w:t>s</w:t>
      </w:r>
      <w:proofErr w:type="gramEnd"/>
      <w:r>
        <w:t xml:space="preserve">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include: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and (5) pounds per square inch, specified as </w:t>
      </w:r>
      <w:r>
        <w:rPr>
          <w:rFonts w:ascii="Courier New" w:hAnsi="Courier New" w:cs="Courier New"/>
          <w:color w:val="FF0000"/>
          <w:szCs w:val="24"/>
        </w:rPr>
        <w:t>psi</w:t>
      </w:r>
      <w:r>
        <w:t>.</w:t>
      </w:r>
      <w:r w:rsidR="005E02A9">
        <w:t xml:space="preserve"> In addition to these attributes, </w:t>
      </w:r>
      <w:proofErr w:type="gramStart"/>
      <w:r w:rsidR="005E02A9">
        <w:t>the</w:t>
      </w:r>
      <w:r w:rsidR="00632F57">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632F57">
        <w:fldChar w:fldCharType="begin"/>
      </w:r>
      <w:r w:rsidR="00632F57">
        <w:instrText xml:space="preserve"> REF _Ref313039029 \r \h </w:instrText>
      </w:r>
      <w:r w:rsidR="00632F57">
        <w:fldChar w:fldCharType="separate"/>
      </w:r>
      <w:r w:rsidR="00B52EF2">
        <w:t>9.2</w:t>
      </w:r>
      <w:r w:rsidR="00632F57">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&lt;/me:InitalPopulation&gt;</w:t>
      </w:r>
    </w:p>
    <w:p w:rsidR="00F77C82" w:rsidRDefault="00F77C82" w:rsidP="006D48A8">
      <w:pPr>
        <w:pStyle w:val="Heading3"/>
      </w:pPr>
      <w:bookmarkStart w:id="33" w:name="_Toc320354913"/>
      <w:proofErr w:type="gramStart"/>
      <w:r>
        <w:t>me:</w:t>
      </w:r>
      <w:proofErr w:type="gramEnd"/>
      <w:r>
        <w:t>modelParameters</w:t>
      </w:r>
      <w:bookmarkEnd w:id="33"/>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identical to those given in Table 2.2 for specification of ZPE.  For a </w:t>
      </w:r>
      <w:r>
        <w:lastRenderedPageBreak/>
        <w:t xml:space="preserve">convergent solution of the ME utilizing the exponential down model, the grain size should be smaller than </w:t>
      </w:r>
      <w:proofErr w:type="gramStart"/>
      <w:r>
        <w:t xml:space="preserve">the </w:t>
      </w:r>
      <w:proofErr w:type="gramEnd"/>
      <w:r>
        <w:rPr>
          <w:position w:val="-8"/>
        </w:rPr>
        <w:object w:dxaOrig="659" w:dyaOrig="400">
          <v:shape id="_x0000_i1026" type="#_x0000_t75" style="width:32.9pt;height:20.05pt" o:ole="" filled="t">
            <v:fill color2="black"/>
            <v:imagedata r:id="rId19" o:title=""/>
          </v:shape>
          <o:OLEObject Type="Embed" ProgID="Equation.3" ShapeID="_x0000_i1026" DrawAspect="Content" ObjectID="_1396598498" r:id="rId20"/>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If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F77C82" w:rsidRDefault="00F77C82" w:rsidP="006D48A8">
      <w:pPr>
        <w:pStyle w:val="Heading3"/>
      </w:pPr>
      <w:bookmarkStart w:id="34" w:name="_Ref207708603"/>
      <w:bookmarkStart w:id="35" w:name="_Toc320354914"/>
      <w:proofErr w:type="gramStart"/>
      <w:r>
        <w:t>me:</w:t>
      </w:r>
      <w:proofErr w:type="gramEnd"/>
      <w:r>
        <w:t>control</w:t>
      </w:r>
      <w:bookmarkEnd w:id="34"/>
      <w:bookmarkEnd w:id="35"/>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w:t>
      </w:r>
      <w:r>
        <w:lastRenderedPageBreak/>
        <w:t xml:space="preserve">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Pr>
          <w:rFonts w:ascii="Courier New" w:hAnsi="Courier New" w:cs="Courier New"/>
          <w:b/>
          <w:color w:val="0000FF"/>
          <w:sz w:val="18"/>
          <w:szCs w:val="18"/>
        </w:rPr>
        <w:t xml:space="preserve">&lt;me:calcMethod&gt; </w:t>
      </w:r>
      <w:r w:rsidR="00E270D3">
        <w:rPr>
          <w:rFonts w:ascii="Courier New" w:hAnsi="Courier New" w:cs="Courier New"/>
          <w:b/>
          <w:color w:val="FF0000"/>
          <w:sz w:val="18"/>
          <w:szCs w:val="18"/>
        </w:rPr>
        <w:t>gridSearch</w:t>
      </w:r>
      <w:r w:rsidR="00E270D3">
        <w:rPr>
          <w:rFonts w:ascii="Courier New" w:hAnsi="Courier New" w:cs="Courier New"/>
          <w:b/>
          <w:color w:val="0000FF"/>
          <w:sz w:val="18"/>
          <w:szCs w:val="18"/>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In the case of ILT, unlike statndard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F77C82" w:rsidRDefault="00F77C82">
      <w:pPr>
        <w:ind w:left="1080"/>
      </w:pPr>
      <w:proofErr w:type="gramStart"/>
      <w:r>
        <w:lastRenderedPageBreak/>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36" w:name="_Toc320354915"/>
      <w:r>
        <w:t>Summary Table: Molecular input variables in MESMER</w:t>
      </w:r>
      <w:bookmarkEnd w:id="36"/>
    </w:p>
    <w:p w:rsidR="00F77C82" w:rsidRDefault="00F77C82">
      <w:r>
        <w:tab/>
        <w:t xml:space="preserve">The following table 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Pr>
                <w:position w:val="-8"/>
              </w:rPr>
              <w:object w:dxaOrig="639" w:dyaOrig="400">
                <v:shape id="_x0000_i1027" type="#_x0000_t75" style="width:31.95pt;height:20.05pt" o:ole="" filled="t">
                  <v:fill color2="black"/>
                  <v:imagedata r:id="rId21" o:title=""/>
                </v:shape>
                <o:OLEObject Type="Embed" ProgID="Equation.3" ShapeID="_x0000_i1027" DrawAspect="Content" ObjectID="_1396598499" r:id="rId22"/>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F77C82" w:rsidRDefault="00F77C82"/>
    <w:p w:rsidR="00F77C82" w:rsidRPr="00246233" w:rsidRDefault="00F77C82" w:rsidP="00C05534">
      <w:pPr>
        <w:pStyle w:val="Heading1"/>
      </w:pPr>
      <w:bookmarkStart w:id="37" w:name="_Toc320354916"/>
      <w:r w:rsidRPr="00246233">
        <w:lastRenderedPageBreak/>
        <w:t>Additional facilities and examples</w:t>
      </w:r>
      <w:bookmarkEnd w:id="37"/>
    </w:p>
    <w:p w:rsidR="00F77C82" w:rsidRDefault="00F77C82">
      <w:r>
        <w:tab/>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38" w:name="_Toc320354917"/>
      <w:r>
        <w:t>Basic XML Structure</w:t>
      </w:r>
      <w:bookmarkEnd w:id="38"/>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propertyList</w:t>
      </w:r>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77C82">
      <w:proofErr w:type="gramStart"/>
      <w:r>
        <w:t>where</w:t>
      </w:r>
      <w:proofErr w:type="gramEnd"/>
      <w:r>
        <w:t xml:space="preserve"> in the first expression, child elements can be inserted between two element bodies as</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39" w:name="_Ref313039029"/>
      <w:bookmarkStart w:id="40" w:name="_Toc320354918"/>
      <w:r>
        <w:t xml:space="preserve">Comparing MESMER rate </w:t>
      </w:r>
      <w:r w:rsidR="00727400">
        <w:t>data</w:t>
      </w:r>
      <w:r>
        <w:t xml:space="preserve"> to experimental values</w:t>
      </w:r>
      <w:bookmarkEnd w:id="39"/>
      <w:bookmarkEnd w:id="40"/>
    </w:p>
    <w:p w:rsidR="00727400"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 xml:space="preserve">cification of this data is as </w:t>
      </w:r>
      <w:r w:rsidR="00727400">
        <w:t xml:space="preserve">child </w:t>
      </w:r>
      <w:r w:rsidR="00975775">
        <w:t xml:space="preserve">elements </w:t>
      </w:r>
      <w:r w:rsidR="00727400">
        <w:t xml:space="preserve">of </w:t>
      </w:r>
      <w:proofErr w:type="gramStart"/>
      <w:r w:rsidR="00727400">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75775" w:rsidRPr="00975775">
        <w:fldChar w:fldCharType="begin"/>
      </w:r>
      <w:r w:rsidR="00975775" w:rsidRPr="00975775">
        <w:instrText xml:space="preserve"> REF _Ref313049784 \r \h </w:instrText>
      </w:r>
      <w:r w:rsidR="00975775">
        <w:instrText xml:space="preserve"> \* MERGEFORMAT </w:instrText>
      </w:r>
      <w:r w:rsidR="00975775" w:rsidRPr="00975775">
        <w:fldChar w:fldCharType="separate"/>
      </w:r>
      <w:r w:rsidR="00B52EF2">
        <w:t>8.2.3</w:t>
      </w:r>
      <w:r w:rsidR="00975775" w:rsidRPr="00975775">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 χ</w:t>
      </w:r>
      <w:r w:rsidR="00D93E24">
        <w:rPr>
          <w:vertAlign w:val="superscript"/>
        </w:rPr>
        <w:t xml:space="preserve">2 </w:t>
      </w:r>
      <w:r w:rsidR="00D93E24">
        <w:t xml:space="preserve">which is then optimized. </w:t>
      </w:r>
      <w:r w:rsidR="00975775">
        <w:t>The details of each type are as follows:</w:t>
      </w:r>
    </w:p>
    <w:p w:rsidR="00727400" w:rsidRDefault="00727400" w:rsidP="00727400">
      <w:pPr>
        <w:pStyle w:val="Heading3"/>
      </w:pPr>
      <w:bookmarkStart w:id="41" w:name="_Toc320354919"/>
      <w:r>
        <w:t>Experimental Rate Coefficients</w:t>
      </w:r>
      <w:bookmarkEnd w:id="41"/>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 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compared the experimentally measured rate coefficient for acetyl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Default="00AE137C"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006D63C2" w:rsidRPr="00AE137C">
        <w:rPr>
          <w:rFonts w:ascii="Courier New" w:hAnsi="Courier New" w:cs="Courier New"/>
          <w:noProof/>
          <w:color w:val="0000FF"/>
          <w:sz w:val="16"/>
          <w:szCs w:val="16"/>
          <w:lang w:eastAsia="en-GB"/>
        </w:rPr>
        <w:t>&lt;</w:t>
      </w:r>
      <w:r w:rsidR="006D63C2">
        <w:rPr>
          <w:rFonts w:ascii="Courier New" w:hAnsi="Courier New" w:cs="Courier New"/>
          <w:noProof/>
          <w:color w:val="0000FF"/>
          <w:sz w:val="16"/>
          <w:szCs w:val="16"/>
          <w:lang w:eastAsia="en-GB"/>
        </w:rPr>
        <w:t>/</w:t>
      </w:r>
      <w:r w:rsidR="006D63C2" w:rsidRPr="00AE137C">
        <w:rPr>
          <w:rFonts w:ascii="Courier New" w:hAnsi="Courier New" w:cs="Courier New"/>
          <w:noProof/>
          <w:color w:val="A31515"/>
          <w:sz w:val="16"/>
          <w:szCs w:val="16"/>
          <w:lang w:eastAsia="en-GB"/>
        </w:rPr>
        <w:t>me:PTpair</w:t>
      </w:r>
      <w:r w:rsidR="006D63C2" w:rsidRPr="00AE137C">
        <w:rPr>
          <w:rFonts w:ascii="Courier New" w:hAnsi="Courier New" w:cs="Courier New"/>
          <w:noProof/>
          <w:color w:val="0000FF"/>
          <w:sz w:val="16"/>
          <w:szCs w:val="16"/>
          <w:lang w:eastAsia="en-GB"/>
        </w:rPr>
        <w:t>&gt;</w:t>
      </w:r>
      <w:r w:rsidR="00F23F98">
        <w:rPr>
          <w:rFonts w:ascii="Courier New" w:hAnsi="Courier New" w:cs="Courier New"/>
          <w:noProof/>
          <w:color w:val="0000FF"/>
          <w:sz w:val="16"/>
          <w:szCs w:val="16"/>
          <w:lang w:eastAsia="en-GB"/>
        </w:rPr>
        <w:t xml:space="preserve">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F77C82" w:rsidRP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6D63C2" w:rsidRDefault="006D63C2" w:rsidP="00AE137C"/>
    <w:p w:rsidR="00F77C82" w:rsidRDefault="00F77C82" w:rsidP="00AE137C">
      <w:proofErr w:type="gramStart"/>
      <w:r>
        <w:t>instead</w:t>
      </w:r>
      <w:proofErr w:type="gramEnd"/>
      <w:r>
        <w:t>.</w:t>
      </w:r>
    </w:p>
    <w:p w:rsidR="00975775" w:rsidRDefault="00975775" w:rsidP="00975775">
      <w:pPr>
        <w:pStyle w:val="Heading3"/>
      </w:pPr>
      <w:bookmarkStart w:id="42" w:name="_Toc320354920"/>
      <w:r>
        <w:t>Experimental Yields</w:t>
      </w:r>
      <w:bookmarkEnd w:id="42"/>
    </w:p>
    <w:p w:rsidR="00975775" w:rsidRDefault="00AE137C" w:rsidP="00975775">
      <w:r>
        <w:t xml:space="preserve">Experimental yields can be </w:t>
      </w:r>
      <w:r w:rsidR="005A60C1">
        <w:t>specified</w:t>
      </w:r>
      <w:r>
        <w:t xml:space="preserve"> in the following way:</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PPCC</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4.46E18</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195</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dd</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OH-1</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0.0050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yieldTime</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1.e-03</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Pr="00AE137C">
        <w:rPr>
          <w:rFonts w:ascii="Courier New" w:hAnsi="Courier New" w:cs="Courier New"/>
          <w:noProof/>
          <w:sz w:val="16"/>
          <w:szCs w:val="16"/>
          <w:lang w:eastAsia="en-GB"/>
        </w:rPr>
        <w:t>0.0509</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&gt;</w:t>
      </w:r>
    </w:p>
    <w:p w:rsid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43" w:name="_Toc320354921"/>
      <w:r>
        <w:t>Experimental Eigenvalues</w:t>
      </w:r>
      <w:bookmarkEnd w:id="43"/>
    </w:p>
    <w:p w:rsidR="00975775" w:rsidRDefault="00A85A40" w:rsidP="00975775">
      <w:r>
        <w:t xml:space="preserve">In some cases the relaxation of the system is the experimentally observed quantity and it is often best to compare the observed relaxation time constant with the eigenvalues generated by MESMER. </w:t>
      </w:r>
      <w:r w:rsidR="00A2172F">
        <w:t>Such data can be specified as follows:</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me:units</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PPCC</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7.6</w:t>
      </w:r>
      <w:r w:rsidRPr="00A2172F">
        <w:rPr>
          <w:rFonts w:ascii="Courier New" w:hAnsi="Courier New" w:cs="Courier New"/>
          <w:noProof/>
          <w:color w:val="0000FF"/>
          <w:sz w:val="16"/>
          <w:szCs w:val="16"/>
          <w:lang w:eastAsia="en-GB"/>
        </w:rPr>
        <w:t>E18</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me:T</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440.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me:precision</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dd</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 xml:space="preserve">  &lt;</w:t>
      </w:r>
      <w:r w:rsidRPr="00A2172F">
        <w:rPr>
          <w:rFonts w:ascii="Courier New" w:hAnsi="Courier New" w:cs="Courier New"/>
          <w:noProof/>
          <w:color w:val="A31515"/>
          <w:sz w:val="16"/>
          <w:szCs w:val="16"/>
          <w:lang w:eastAsia="en-GB"/>
        </w:rPr>
        <w:t>me:experimentalEigenvalue</w:t>
      </w:r>
      <w:r>
        <w:rPr>
          <w:rFonts w:ascii="Courier New" w:hAnsi="Courier New" w:cs="Courier New"/>
          <w:noProof/>
          <w:color w:val="A31515"/>
          <w:sz w:val="16"/>
          <w:szCs w:val="16"/>
          <w:lang w:eastAsia="en-GB"/>
        </w:rPr>
        <w:t xml:space="preserve"> </w:t>
      </w:r>
      <w:r w:rsidRPr="00A2172F">
        <w:rPr>
          <w:rFonts w:ascii="Courier New" w:hAnsi="Courier New" w:cs="Courier New"/>
          <w:noProof/>
          <w:color w:val="FF0000"/>
          <w:sz w:val="16"/>
          <w:szCs w:val="16"/>
          <w:lang w:eastAsia="en-GB"/>
        </w:rPr>
        <w:t>EigenvalueID</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error</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r>
        <w:rPr>
          <w:rFonts w:ascii="Courier New" w:hAnsi="Courier New" w:cs="Courier New"/>
          <w:noProof/>
          <w:sz w:val="16"/>
          <w:szCs w:val="16"/>
          <w:lang w:eastAsia="en-GB"/>
        </w:rPr>
        <w:t>14000.</w:t>
      </w: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me:experimentalEigenvalue</w:t>
      </w:r>
      <w:r w:rsidRPr="00A2172F">
        <w:rPr>
          <w:rFonts w:ascii="Courier New" w:hAnsi="Courier New" w:cs="Courier New"/>
          <w:noProof/>
          <w:color w:val="0000FF"/>
          <w:sz w:val="16"/>
          <w:szCs w:val="16"/>
          <w:lang w:eastAsia="en-GB"/>
        </w:rPr>
        <w:t>&gt;</w:t>
      </w:r>
    </w:p>
    <w:p w:rsid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4" w:name="_Toc320354922"/>
      <w:r>
        <w:lastRenderedPageBreak/>
        <w:t>Specifying Numerical Precision</w:t>
      </w:r>
      <w:bookmarkEnd w:id="44"/>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"quad-double"</w:t>
      </w:r>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"double-double"</w:t>
      </w:r>
    </w:p>
    <w:p w:rsidR="00F77C82" w:rsidRDefault="00F77C82">
      <w:pPr>
        <w:ind w:left="426"/>
      </w:pPr>
      <w:proofErr w:type="gramStart"/>
      <w:r>
        <w:t>or</w:t>
      </w:r>
      <w:proofErr w:type="gramEnd"/>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"qd"</w:t>
      </w:r>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"dd"</w:t>
      </w:r>
    </w:p>
    <w:p w:rsidR="00F77C82" w:rsidRDefault="008053F7" w:rsidP="00F66AB7">
      <w:pPr>
        <w:pStyle w:val="Heading2"/>
      </w:pPr>
      <w:bookmarkStart w:id="45" w:name="_Toc320354923"/>
      <w:r>
        <w:t xml:space="preserve">Specifying </w:t>
      </w:r>
      <w:bookmarkEnd w:id="45"/>
      <w:r>
        <w:t>Parameter Bounds and Constraints</w:t>
      </w:r>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CB190A">
        <w:t xml:space="preserve">might </w:t>
      </w:r>
      <w:proofErr w:type="gramStart"/>
      <w:r w:rsidR="00CB190A">
        <w:t>be</w:t>
      </w:r>
      <w:proofErr w:type="gramEnd"/>
      <w:r w:rsidR="00CB190A">
        <w:t xml:space="preserv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that can be varied, and their associated XML element, are given in the following table:</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8D5638"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8D5638"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8D5638"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8D5638"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8D563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8D5638"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8D5638">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B13E18" w:rsidRDefault="00B13E18"/>
    <w:p w:rsidR="00352112"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Isomer1</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dictRef</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me:deltaEDown</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 xml:space="preserve"> </w:t>
      </w:r>
      <w:r w:rsidRPr="00352112">
        <w:rPr>
          <w:rFonts w:ascii="Courier New" w:hAnsi="Courier New" w:cs="Courier New"/>
          <w:noProof/>
          <w:color w:val="0000FF"/>
          <w:sz w:val="16"/>
          <w:szCs w:val="16"/>
          <w:lang w:eastAsia="en-GB"/>
        </w:rPr>
        <w:t xml:space="preserve"> &lt;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units</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cm-1</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lower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upper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400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stepsize</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r w:rsidRPr="00352112">
        <w:rPr>
          <w:rFonts w:ascii="Courier New" w:hAnsi="Courier New" w:cs="Courier New"/>
          <w:noProof/>
          <w:sz w:val="16"/>
          <w:szCs w:val="16"/>
          <w:lang w:eastAsia="en-GB"/>
        </w:rPr>
        <w:t>174</w:t>
      </w: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&gt;</w:t>
      </w:r>
    </w:p>
    <w:p w:rsid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Pr>
          <w:rFonts w:ascii="Consolas" w:hAnsi="Consolas" w:cs="Consolas"/>
          <w:color w:val="0000FF"/>
          <w:sz w:val="16"/>
          <w:szCs w:val="16"/>
          <w:lang w:eastAsia="en-GB"/>
        </w:rPr>
        <w: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&gt;</w:t>
      </w:r>
    </w:p>
    <w:p w:rsidR="00477DDC" w:rsidRPr="00477DDC" w:rsidRDefault="00477DDC" w:rsidP="008208A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w:t>
      </w:r>
      <w:r>
        <w:rPr>
          <w:rFonts w:ascii="Consolas" w:hAnsi="Consolas" w:cs="Consolas"/>
          <w:color w:val="0000FF"/>
          <w:sz w:val="16"/>
          <w:szCs w:val="16"/>
          <w:lang w:eastAsia="en-GB"/>
        </w:rPr>
        <w:t>somer2</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B13E18"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rsidR="00352112">
        <w:t xml:space="preserve">  </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dictRef</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me:deltaEDown</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me:derivedFrom</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00477DDC">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lastRenderedPageBreak/>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xml:space="preserve">) and the name of the parameter of that species </w:t>
      </w:r>
      <w:r w:rsidR="00824510">
        <w:t>(</w:t>
      </w:r>
      <w:r w:rsidR="00824510" w:rsidRPr="00824510">
        <w:rPr>
          <w:rFonts w:ascii="Consolas" w:hAnsi="Consolas" w:cs="Consolas"/>
          <w:color w:val="0000FF"/>
          <w:sz w:val="20"/>
          <w:lang w:eastAsia="en-GB"/>
        </w:rPr>
        <w:t>deltaEDown</w:t>
      </w:r>
      <w:r w:rsidR="00824510" w:rsidRPr="00824510">
        <w:t xml:space="preserve"> </w:t>
      </w:r>
      <w:r w:rsidR="00824510" w:rsidRPr="00824510">
        <w:t>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dictRef</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me:deltaEDown</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me:derivedFrom</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Pr>
          <w:rFonts w:ascii="Consolas" w:hAnsi="Consolas" w:cs="Consolas"/>
          <w:sz w:val="16"/>
          <w:szCs w:val="16"/>
          <w:lang w:eastAsia="en-GB"/>
        </w:rPr>
        <w:t xml:space="preserve">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1.5</w:t>
      </w:r>
      <w:r w:rsidR="0040052E" w:rsidRPr="008D5638">
        <w:rPr>
          <w:rFonts w:ascii="Consolas" w:hAnsi="Consolas" w:cs="Consolas"/>
          <w:sz w:val="16"/>
          <w:szCs w:val="16"/>
          <w:lang w:eastAsia="en-GB"/>
        </w:rPr>
        <w:t>"</w:t>
      </w:r>
      <w:r>
        <w:rPr>
          <w:rFonts w:ascii="Courier New" w:hAnsi="Courier New" w:cs="Courier New"/>
          <w:noProof/>
          <w:color w:val="FF0000"/>
          <w:sz w:val="16"/>
          <w:szCs w:val="16"/>
          <w:lang w:eastAsia="en-GB"/>
        </w:rPr>
        <w:t xml:space="preserve"> </w:t>
      </w:r>
      <w:r w:rsidR="0040052E">
        <w:rPr>
          <w:rFonts w:ascii="Courier New" w:hAnsi="Courier New" w:cs="Courier New"/>
          <w:noProof/>
          <w:color w:val="FF0000"/>
          <w:sz w:val="16"/>
          <w:szCs w:val="16"/>
          <w:lang w:eastAsia="en-GB"/>
        </w:rPr>
        <w:t>addand</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w:t>
      </w:r>
      <w:r w:rsidR="0040052E">
        <w:rPr>
          <w:rFonts w:ascii="Consolas" w:hAnsi="Consolas" w:cs="Consolas"/>
          <w:color w:val="0000FF"/>
          <w:sz w:val="16"/>
          <w:szCs w:val="16"/>
          <w:lang w:eastAsia="en-GB"/>
        </w:rPr>
        <w:t>0.0</w:t>
      </w:r>
      <w:r w:rsidR="0040052E"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Default="0040052E">
      <w:pPr>
        <w:rPr>
          <w:rFonts w:ascii="Courier New" w:hAnsi="Courier New" w:cs="Courier New"/>
          <w:noProof/>
          <w:color w:val="FF0000"/>
          <w:sz w:val="16"/>
          <w:szCs w:val="16"/>
          <w:lang w:eastAsia="en-GB"/>
        </w:rPr>
      </w:pPr>
      <w:r>
        <w:rPr>
          <w:rFonts w:ascii="Consolas" w:hAnsi="Consolas" w:cs="Consolas"/>
          <w:color w:val="0000FF"/>
          <w:sz w:val="16"/>
          <w:szCs w:val="16"/>
          <w:lang w:eastAsia="en-GB"/>
        </w:rPr>
        <w:t>I</w:t>
      </w:r>
      <w:r>
        <w:rPr>
          <w:rFonts w:ascii="Consolas" w:hAnsi="Consolas" w:cs="Consolas"/>
          <w:color w:val="0000FF"/>
          <w:sz w:val="16"/>
          <w:szCs w:val="16"/>
          <w:lang w:eastAsia="en-GB"/>
        </w:rPr>
        <w:t>somer2</w:t>
      </w:r>
      <w:proofErr w:type="gramStart"/>
      <w:r w:rsidRPr="008D5638">
        <w:rPr>
          <w:rFonts w:ascii="Consolas" w:hAnsi="Consolas" w:cs="Consolas"/>
          <w:color w:val="0000FF"/>
          <w:sz w:val="16"/>
          <w:szCs w:val="16"/>
          <w:lang w:eastAsia="en-GB"/>
        </w:rPr>
        <w:t>:deltaEDown</w:t>
      </w:r>
      <w:proofErr w:type="gramEnd"/>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w:t>
      </w:r>
      <w:r w:rsidR="00CB34D3" w:rsidRPr="008208AC">
        <w:rPr>
          <w:rFonts w:ascii="Courier New" w:hAnsi="Courier New" w:cs="Courier New"/>
          <w:noProof/>
          <w:color w:val="0000FF"/>
          <w:sz w:val="16"/>
          <w:szCs w:val="16"/>
          <w:lang w:eastAsia="en-GB"/>
        </w:rPr>
        <w:t xml:space="preserve"> </w:t>
      </w:r>
      <w:r>
        <w:rPr>
          <w:rFonts w:ascii="Courier New" w:hAnsi="Courier New" w:cs="Courier New"/>
          <w:noProof/>
          <w:color w:val="FF0000"/>
          <w:sz w:val="16"/>
          <w:szCs w:val="16"/>
          <w:lang w:eastAsia="en-GB"/>
        </w:rPr>
        <w:t>f</w:t>
      </w:r>
      <w:r w:rsidR="00CB34D3">
        <w:rPr>
          <w:rFonts w:ascii="Courier New" w:hAnsi="Courier New" w:cs="Courier New"/>
          <w:noProof/>
          <w:color w:val="FF0000"/>
          <w:sz w:val="16"/>
          <w:szCs w:val="16"/>
          <w:lang w:eastAsia="en-GB"/>
        </w:rPr>
        <w:t>actor</w:t>
      </w:r>
      <w:r w:rsidR="00CB34D3" w:rsidRPr="00CB34D3">
        <w:rPr>
          <w:rFonts w:ascii="Courier New" w:hAnsi="Courier New" w:cs="Courier New"/>
          <w:noProof/>
          <w:color w:val="FF0000"/>
          <w:sz w:val="16"/>
          <w:szCs w:val="16"/>
          <w:lang w:eastAsia="en-GB"/>
        </w:rPr>
        <w:t xml:space="preserve"> </w:t>
      </w:r>
      <w:r w:rsidR="00CB34D3" w:rsidRPr="00CB34D3">
        <w:rPr>
          <w:rFonts w:ascii="Courier New" w:hAnsi="Courier New" w:cs="Courier New"/>
          <w:noProof/>
          <w:color w:val="0000FF"/>
          <w:sz w:val="16"/>
          <w:szCs w:val="16"/>
          <w:lang w:eastAsia="en-GB"/>
        </w:rPr>
        <w:t>*</w:t>
      </w:r>
      <w:r w:rsidR="00CB34D3">
        <w:rPr>
          <w:rFonts w:ascii="Courier New" w:hAnsi="Courier New" w:cs="Courier New"/>
          <w:noProof/>
          <w:color w:val="FF0000"/>
          <w:sz w:val="16"/>
          <w:szCs w:val="16"/>
          <w:lang w:eastAsia="en-GB"/>
        </w:rPr>
        <w:t xml:space="preserve"> </w:t>
      </w:r>
      <w:r>
        <w:rPr>
          <w:rFonts w:ascii="Consolas" w:hAnsi="Consolas" w:cs="Consolas"/>
          <w:color w:val="0000FF"/>
          <w:sz w:val="16"/>
          <w:szCs w:val="16"/>
          <w:lang w:eastAsia="en-GB"/>
        </w:rPr>
        <w:t>Isomer1</w:t>
      </w:r>
      <w:r w:rsidRPr="008D5638">
        <w:rPr>
          <w:rFonts w:ascii="Consolas" w:hAnsi="Consolas" w:cs="Consolas"/>
          <w:color w:val="0000FF"/>
          <w:sz w:val="16"/>
          <w:szCs w:val="16"/>
          <w:lang w:eastAsia="en-GB"/>
        </w:rPr>
        <w:t>:deltaEDown</w:t>
      </w:r>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 xml:space="preserve">+ </w:t>
      </w:r>
      <w:r w:rsidR="00CB34D3">
        <w:rPr>
          <w:rFonts w:ascii="Courier New" w:hAnsi="Courier New" w:cs="Courier New"/>
          <w:noProof/>
          <w:color w:val="FF0000"/>
          <w:sz w:val="16"/>
          <w:szCs w:val="16"/>
          <w:lang w:eastAsia="en-GB"/>
        </w:rPr>
        <w:t>me:</w:t>
      </w:r>
      <w:r w:rsidR="00CB34D3" w:rsidRPr="00F40314">
        <w:rPr>
          <w:rFonts w:ascii="Courier New" w:hAnsi="Courier New" w:cs="Courier New"/>
          <w:noProof/>
          <w:color w:val="FF0000"/>
          <w:sz w:val="16"/>
          <w:szCs w:val="16"/>
          <w:lang w:eastAsia="en-GB"/>
        </w:rPr>
        <w:t>ConstraintAddand</w:t>
      </w:r>
    </w:p>
    <w:p w:rsidR="00CB34D3" w:rsidRDefault="00CB34D3">
      <w:r>
        <w:t xml:space="preserve">The default value for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Pr>
          <w:rFonts w:ascii="Courier New" w:hAnsi="Courier New" w:cs="Courier New"/>
          <w:noProof/>
          <w:color w:val="FF0000"/>
          <w:sz w:val="16"/>
          <w:szCs w:val="16"/>
          <w:lang w:eastAsia="en-GB"/>
        </w:rPr>
        <w:t>a</w:t>
      </w:r>
      <w:r w:rsidRPr="00F40314">
        <w:rPr>
          <w:rFonts w:ascii="Courier New" w:hAnsi="Courier New" w:cs="Courier New"/>
          <w:noProof/>
          <w:color w:val="FF0000"/>
          <w:sz w:val="16"/>
          <w:szCs w:val="16"/>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F77C82" w:rsidP="00F66AB7">
      <w:pPr>
        <w:pStyle w:val="Heading2"/>
      </w:pPr>
      <w:bookmarkStart w:id="46" w:name="_Toc320354924"/>
      <w:r>
        <w:t>Unimolecular and Reverse ILTs</w:t>
      </w:r>
      <w:bookmarkEnd w:id="46"/>
    </w:p>
    <w:p w:rsidR="00F77C82" w:rsidRDefault="00F77C82">
      <w:r>
        <w:tab/>
        <w:t xml:space="preserve">As indicated above, MESMER includes two different ways for calculating the microcanonical rate coefficients – through the use of the RRKM expression, or the use of the ILT technique.  The ILT technique is particularly useful when there is no easily identifiable energetic barrier, such as often occurs in the case of radical-radical reactions or non-adiabatic reactions.  ILT offers a mathematical formalism for deriving </w:t>
      </w:r>
      <w:proofErr w:type="gramStart"/>
      <w:r>
        <w:rPr>
          <w:i/>
        </w:rPr>
        <w:t>k</w:t>
      </w:r>
      <w:r>
        <w:t>(</w:t>
      </w:r>
      <w:proofErr w:type="gramEnd"/>
      <w:r>
        <w:t xml:space="preserve">E)s from an Arrhenius fit to a set of </w:t>
      </w:r>
      <w:r>
        <w:rPr>
          <w:i/>
        </w:rPr>
        <w:t>k</w:t>
      </w:r>
      <w:r>
        <w:t xml:space="preserve">(T)s, which may be obtained from experiment or theory.  There are three possible uses of the ILT in MESMER: (1) for association reactions, where the Arrhenius expression is for the association reaction of one deficient reactant combining with one excess reactant to make a modelled molecule; (2) for isomerization reactions of one modelled molecule to another, where the Arrhenius expression is for the forward reaction; (3) for an irreversible reaction of one modelled molecule to one or two sink molecules, where the Arrhenius expression is for the forward reaction, and (4) for dissociation reactions of one modelled molecule to two sink molecules, where the Arrhenius expression is for the association of the two sink molecules.  </w:t>
      </w:r>
      <w:r>
        <w:lastRenderedPageBreak/>
        <w:t>Implementation (1), which is the most common, we call the standard ILT.  Implementations (2) and (3) are the unimolecular ILT, and (3) is the reverse ILT.  The test file for the acetyl + O</w:t>
      </w:r>
      <w:r>
        <w:rPr>
          <w:vertAlign w:val="subscript"/>
        </w:rPr>
        <w:t>2</w:t>
      </w:r>
      <w:r>
        <w:t xml:space="preserve"> reaction has examples of the standard ILT, so we do not discuss this here.  The unimolecular ILT is identical to the standard ILT, except that the reaction replaces the two reactants with a single modelled molecule.  Below, we provide syntax for the reverse ILT, which in this case corresponds to the dissociation of I</w:t>
      </w:r>
      <w:r>
        <w:rPr>
          <w:vertAlign w:val="subscript"/>
        </w:rPr>
        <w:t>2</w:t>
      </w:r>
      <w:r>
        <w:t>O</w:t>
      </w:r>
      <w:r>
        <w:rPr>
          <w:vertAlign w:val="subscript"/>
        </w:rPr>
        <w:t>2</w:t>
      </w:r>
      <w:r>
        <w:t xml:space="preserve"> to OIO + </w:t>
      </w:r>
      <w:proofErr w:type="gramStart"/>
      <w:r>
        <w:t>I</w:t>
      </w:r>
      <w:proofErr w:type="gramEnd"/>
      <w:r>
        <w: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reactant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me:MCRCMethod</w:t>
      </w:r>
      <w:r>
        <w:rPr>
          <w:rFonts w:ascii="Courier New" w:hAnsi="Courier New" w:cs="Courier New"/>
          <w:color w:val="0000FF"/>
          <w:sz w:val="18"/>
          <w:szCs w:val="18"/>
        </w:rPr>
        <w:t>&gt;</w:t>
      </w:r>
      <w:r>
        <w:rPr>
          <w:rFonts w:ascii="Courier New" w:hAnsi="Courier New" w:cs="Courier New"/>
          <w:sz w:val="18"/>
          <w:szCs w:val="18"/>
        </w:rPr>
        <w:t>MesmerILT</w:t>
      </w:r>
      <w:r>
        <w:rPr>
          <w:rFonts w:ascii="Courier New" w:hAnsi="Courier New" w:cs="Courier New"/>
          <w:color w:val="0000FF"/>
          <w:sz w:val="18"/>
          <w:szCs w:val="18"/>
        </w:rPr>
        <w:t>&lt;/</w:t>
      </w:r>
      <w:r>
        <w:rPr>
          <w:rFonts w:ascii="Courier New" w:hAnsi="Courier New" w:cs="Courier New"/>
          <w:color w:val="800000"/>
          <w:sz w:val="18"/>
          <w:szCs w:val="18"/>
        </w:rPr>
        <w:t>me:MCRCMethod</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kJ/mol</w:t>
      </w:r>
      <w:r>
        <w:rPr>
          <w:rFonts w:ascii="Courier New" w:hAnsi="Courier New" w:cs="Courier New"/>
          <w:sz w:val="18"/>
          <w:szCs w:val="18"/>
        </w:rPr>
        <w:t xml:space="preserve">" </w:t>
      </w:r>
      <w:proofErr w:type="gramStart"/>
      <w:r>
        <w:rPr>
          <w:rFonts w:ascii="Courier New" w:hAnsi="Courier New" w:cs="Courier New"/>
          <w:color w:val="FF0000"/>
          <w:sz w:val="18"/>
          <w:szCs w:val="18"/>
        </w:rPr>
        <w:t>reverse</w:t>
      </w:r>
      <w:proofErr w:type="gram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me:TInfinity</w:t>
      </w:r>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r>
        <w:rPr>
          <w:rFonts w:ascii="Courier New" w:hAnsi="Courier New" w:cs="Courier New"/>
          <w:color w:val="800000"/>
          <w:sz w:val="18"/>
          <w:szCs w:val="18"/>
        </w:rPr>
        <w:t>me:TInfinity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me:nInfinity</w:t>
      </w:r>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r>
        <w:rPr>
          <w:rFonts w:ascii="Courier New" w:hAnsi="Courier New" w:cs="Courier New"/>
          <w:color w:val="800000"/>
          <w:sz w:val="18"/>
          <w:szCs w:val="18"/>
        </w:rPr>
        <w:t>me:nInfinity</w:t>
      </w:r>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me:activationEnergy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is not required by MESMER (although names and ZPEs </w:t>
      </w:r>
      <w:r>
        <w:rPr>
          <w:i/>
        </w:rPr>
        <w:t>are</w:t>
      </w:r>
      <w:r>
        <w:t xml:space="preserve"> required if you want a nice diagram in Firefox, and it’s good for future bookkeeping of reaction data).  However, for a reverse ILT, product data of the sink molecules is essential, and the MESMER will terminate if it is not provided.  Finally, due to the mathematics of the ILT, it is necessary to point out that there are some constraints on: for the standard ILT, </w:t>
      </w:r>
      <w:r>
        <w:rPr>
          <w:i/>
        </w:rPr>
        <w:t>n</w:t>
      </w:r>
      <w:r>
        <w:rPr>
          <w:vertAlign w:val="superscript"/>
        </w:rPr>
        <w:t>∞</w:t>
      </w:r>
      <w:r>
        <w:t xml:space="preserve"> must be greater than -1.5, while for the unimolecular and reverse </w:t>
      </w:r>
      <w:proofErr w:type="gramStart"/>
      <w:r>
        <w:t>ILT,</w:t>
      </w:r>
      <w:proofErr w:type="gramEnd"/>
      <w:r>
        <w:t xml:space="preserve">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47" w:name="_Toc320354925"/>
      <w:r>
        <w:t>Secondary input files</w:t>
      </w:r>
      <w:bookmarkEnd w:id="47"/>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48" w:name="_Ref207690758"/>
      <w:bookmarkStart w:id="49" w:name="_Toc320354926"/>
      <w:r w:rsidRPr="00C05534">
        <w:lastRenderedPageBreak/>
        <w:t>MESMER files explained</w:t>
      </w:r>
      <w:bookmarkEnd w:id="48"/>
      <w:bookmarkEnd w:id="49"/>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0" w:name="_Toc320354927"/>
      <w:r w:rsidRPr="00246233">
        <w:t>MESMER output files</w:t>
      </w:r>
      <w:bookmarkEnd w:id="50"/>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51" w:name="_Toc320354928"/>
      <w:r>
        <w:t>mesmer.test</w:t>
      </w:r>
      <w:bookmarkEnd w:id="51"/>
    </w:p>
    <w:p w:rsidR="00F77C82" w:rsidRDefault="00F77C82">
      <w:r>
        <w:tab/>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52" w:name="_Ref313053442"/>
      <w:bookmarkStart w:id="53" w:name="_Toc320354929"/>
      <w:r>
        <w:t>Partition Functions and State Densities</w:t>
      </w:r>
      <w:bookmarkEnd w:id="52"/>
      <w:bookmarkEnd w:id="53"/>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54" w:name="_Toc320354930"/>
      <w:proofErr w:type="gramStart"/>
      <w:r>
        <w:lastRenderedPageBreak/>
        <w:t>k(</w:t>
      </w:r>
      <w:proofErr w:type="gramEnd"/>
      <w:r>
        <w:rPr>
          <w:i/>
        </w:rPr>
        <w:t>E</w:t>
      </w:r>
      <w:r>
        <w:t>)s &amp; Tunnelling Corrections</w:t>
      </w:r>
      <w:bookmarkEnd w:id="54"/>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F77C82" w:rsidRDefault="00F77C82">
      <w:pPr>
        <w:pStyle w:val="Heading4"/>
        <w:tabs>
          <w:tab w:val="left" w:pos="709"/>
        </w:tabs>
        <w:ind w:left="709" w:hanging="709"/>
      </w:pPr>
      <w:bookmarkStart w:id="55" w:name="_Toc320354931"/>
      <w:r>
        <w:t>Equilibrium Fractions</w:t>
      </w:r>
      <w:bookmarkEnd w:id="5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w:lastRenderedPageBreak/>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300D1D" w:rsidRPr="00300D1D" w:rsidRDefault="00300D1D" w:rsidP="00300D1D">
      <w:pPr>
        <w:pStyle w:val="MTDisplayEquation"/>
      </w:pPr>
      <m:oMathPara>
        <m:oMath>
          <m:r>
            <w:rPr>
              <w:rFonts w:ascii="Cambria Math" w:hAnsi="Cambria Math"/>
            </w:rPr>
            <m:t>A+B+C=1</m:t>
          </m:r>
        </m:oMath>
      </m:oMathPara>
    </w:p>
    <w:p w:rsidR="00F77C82" w:rsidRPr="00300D1D" w:rsidRDefault="00F77C82">
      <w:pPr>
        <w:pStyle w:val="MTDisplayEquation"/>
      </w:pPr>
    </w:p>
    <w:p w:rsidR="00F77C82" w:rsidRDefault="00F77C82">
      <w:pPr>
        <w:pStyle w:val="Equation"/>
      </w:pPr>
      <w:r>
        <w:t>Equation 4.1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4.2</w:t>
      </w:r>
    </w:p>
    <w:p w:rsidR="00F77C82" w:rsidRDefault="00F77C82">
      <w:r>
        <w:t>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Matrix.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56" w:name="_Toc320354932"/>
      <w:r>
        <w:t>Eigenvalues</w:t>
      </w:r>
      <w:bookmarkEnd w:id="56"/>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This section gives the eigenvalues of the reaction (system collision) operator, all of which should be less than or equal to zero.  Within the energy grained Master Equation, collisional energy transfer in the grained phase space and inter-conversion between species is described using a set of coupled differential equations:</w:t>
      </w:r>
    </w:p>
    <w:p w:rsidR="00F77C82" w:rsidRDefault="008D5638">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4.3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lastRenderedPageBreak/>
        <w:t>Equation 4.4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57" w:name="_Toc320354933"/>
      <w:r>
        <w:t>Species Profiles</w:t>
      </w:r>
      <w:bookmarkEnd w:id="57"/>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4.5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 xml:space="preserve">th well obtained from (4.4). </w:t>
      </w:r>
      <w:r w:rsidR="00F77C82">
        <w:t xml:space="preserve">If only one product channel is available, then (4.5)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proofErr w:type="gramStart"/>
      <w:r w:rsidR="00F77C82">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8D563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4.6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58" w:name="_Toc320354934"/>
      <w:r>
        <w:t>Phenomenological rate coefficients</w:t>
      </w:r>
      <w:bookmarkEnd w:id="5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xml:space="preserve">)) derived from an eigenvalue-eigenvector analysis of the solution to (E1).  The mathematical development of the Bartis -Widom technique implemented is MESMER is described by Robertson </w:t>
      </w:r>
      <w:r>
        <w:rPr>
          <w:i/>
        </w:rPr>
        <w:t>et al.</w:t>
      </w:r>
      <w:proofErr w:type="gramStart"/>
      <w:r>
        <w:t>,</w:t>
      </w:r>
      <w:r>
        <w:rPr>
          <w:vertAlign w:val="superscript"/>
        </w:rPr>
        <w:t>2</w:t>
      </w:r>
      <w:proofErr w:type="gramEnd"/>
      <w:r>
        <w:t xml:space="preserve"> and so will not be detailed here.  Briefly, the basic idea is as follows: the phenomenological rates for an arbitrary interconnected kinetic system may be described identically to (E2), with the primary difference being the absence of a description for collisional relaxation kinetics – i.e., all the rate coefficients correspond to interconversion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Pr>
          <w:i/>
        </w:rPr>
        <w:t>K</w:t>
      </w:r>
      <w:r>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w:t>
      </w:r>
      <w:r>
        <w:lastRenderedPageBreak/>
        <w:t xml:space="preserve">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59" w:name="_Toc320354935"/>
      <w:r>
        <w:t>mesmer.log</w:t>
      </w:r>
      <w:bookmarkEnd w:id="59"/>
    </w:p>
    <w:p w:rsidR="00F77C82" w:rsidRDefault="00F77C82">
      <w:r>
        <w:tab/>
        <w:t xml:space="preserve">This file contains information, warning and error messages generated during the calculation. Also, it records when default values of input parameters have been used and </w:t>
      </w:r>
      <w:r>
        <w:lastRenderedPageBreak/>
        <w:t xml:space="preserve">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0" w:name="_Toc320354936"/>
      <w:r>
        <w:t>XML output</w:t>
      </w:r>
      <w:bookmarkEnd w:id="60"/>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Default="00F77C82">
      <w:pPr>
        <w:numPr>
          <w:ilvl w:val="0"/>
          <w:numId w:val="5"/>
        </w:numPr>
        <w:rPr>
          <w:i/>
          <w:iCs/>
        </w:rPr>
      </w:pPr>
      <w:r>
        <w:t xml:space="preserve"> </w:t>
      </w:r>
      <w:proofErr w:type="gramStart"/>
      <w:r>
        <w:t>calculated</w:t>
      </w:r>
      <w:proofErr w:type="gramEnd"/>
      <w:r>
        <w:t xml:space="preserve"> Bartis-Widom rate coefficients. </w:t>
      </w:r>
      <w:r>
        <w:rPr>
          <w:i/>
          <w:iCs/>
        </w:rPr>
        <w:t xml:space="preserve">When viewed in Firefox, a simplified version of the data suitable for cutting and pasting into speadsheets, etc. </w:t>
      </w:r>
      <w:proofErr w:type="gramStart"/>
      <w:r>
        <w:rPr>
          <w:i/>
          <w:iCs/>
        </w:rPr>
        <w:t>is  available</w:t>
      </w:r>
      <w:proofErr w:type="gramEnd"/>
      <w:r>
        <w:rPr>
          <w:i/>
          <w:iCs/>
        </w:rPr>
        <w:t xml:space="preserve">. This can also be produced by applying the file punch.xsl tothe output XML file, see section 4.2.4. </w:t>
      </w:r>
    </w:p>
    <w:p w:rsidR="00F77C82" w:rsidRDefault="00F77C82">
      <w:pPr>
        <w:numPr>
          <w:ilvl w:val="0"/>
          <w:numId w:val="5"/>
        </w:numPr>
        <w:rPr>
          <w:i/>
          <w:iCs/>
        </w:rPr>
      </w:pPr>
      <w:r>
        <w:t xml:space="preserve"> </w:t>
      </w:r>
      <w:proofErr w:type="gramStart"/>
      <w:r>
        <w:t>calculated</w:t>
      </w:r>
      <w:proofErr w:type="gramEnd"/>
      <w:r>
        <w:t xml:space="preserve"> species/ time profiles. </w:t>
      </w:r>
      <w:r>
        <w:rPr>
          <w:i/>
          <w:iCs/>
        </w:rPr>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Pr>
          <w:rFonts w:ascii="Courier New" w:hAnsi="Courier New" w:cs="Courier New"/>
          <w:b/>
          <w:color w:val="0000FF"/>
          <w:sz w:val="16"/>
          <w:szCs w:val="16"/>
        </w:rPr>
        <w:t>&lt;analysis&gt;</w:t>
      </w:r>
      <w:r>
        <w:t xml:space="preserve"> under </w:t>
      </w:r>
      <w:r>
        <w:rPr>
          <w:rFonts w:ascii="Courier New" w:hAnsi="Courier New" w:cs="Courier New"/>
          <w:b/>
          <w:color w:val="0000FF"/>
          <w:sz w:val="16"/>
          <w:szCs w:val="16"/>
        </w:rPr>
        <w:t>&lt;mesmer</w:t>
      </w:r>
      <w:proofErr w:type="gramStart"/>
      <w:r>
        <w:rPr>
          <w:rFonts w:ascii="Courier New" w:hAnsi="Courier New" w:cs="Courier New"/>
          <w:b/>
          <w:color w:val="0000FF"/>
          <w:sz w:val="16"/>
          <w:szCs w:val="16"/>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C8628D">
        <w:fldChar w:fldCharType="begin"/>
      </w:r>
      <w:r w:rsidR="00C8628D">
        <w:instrText xml:space="preserve"> REF _Ref316227181 \r \h </w:instrText>
      </w:r>
      <w:r w:rsidR="00C8628D">
        <w:fldChar w:fldCharType="separate"/>
      </w:r>
      <w:r w:rsidR="00B52EF2">
        <w:t>8.1</w:t>
      </w:r>
      <w:r w:rsidR="00C8628D">
        <w:fldChar w:fldCharType="end"/>
      </w:r>
      <w:r>
        <w:t>.</w:t>
      </w:r>
    </w:p>
    <w:p w:rsidR="00F77C82" w:rsidRPr="00246233" w:rsidRDefault="00F77C82" w:rsidP="00F66AB7">
      <w:pPr>
        <w:pStyle w:val="Heading2"/>
      </w:pPr>
      <w:bookmarkStart w:id="61" w:name="_Toc320354937"/>
      <w:r w:rsidRPr="00246233">
        <w:t>Other files</w:t>
      </w:r>
      <w:bookmarkEnd w:id="61"/>
    </w:p>
    <w:p w:rsidR="00F77C82" w:rsidRDefault="00F77C82">
      <w:pPr>
        <w:pStyle w:val="Heading3"/>
        <w:tabs>
          <w:tab w:val="left" w:pos="567"/>
        </w:tabs>
        <w:ind w:left="426" w:hanging="426"/>
      </w:pPr>
      <w:bookmarkStart w:id="62" w:name="_Toc320354938"/>
      <w:r>
        <w:t>defaults.xml</w:t>
      </w:r>
      <w:bookmarkEnd w:id="62"/>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w:t>
      </w:r>
      <w:r>
        <w:lastRenderedPageBreak/>
        <w:t xml:space="preserve">making the entries in mesmer.log and the output XML file in uppercase letters. For instance, spinMultiplicity has a default value of 1, which is not flagged in uppercase, while the default value of </w:t>
      </w:r>
      <w:r>
        <w:rPr>
          <w:position w:val="-8"/>
        </w:rPr>
        <w:object w:dxaOrig="660" w:dyaOrig="400">
          <v:shape id="_x0000_i1028" type="#_x0000_t75" style="width:32.9pt;height:20.05pt" o:ole="" filled="t">
            <v:fill color2="black"/>
            <v:imagedata r:id="rId10" o:title=""/>
          </v:shape>
          <o:OLEObject Type="Embed" ProgID="Equation.3" ShapeID="_x0000_i1028" DrawAspect="Content" ObjectID="_1396598500" r:id="rId23"/>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F77C82"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63" w:name="_Toc320354939"/>
      <w:r>
        <w:t>librarymols.xml</w:t>
      </w:r>
      <w:bookmarkEnd w:id="63"/>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w:t>
      </w:r>
      <w:proofErr w:type="gramStart"/>
      <w:r>
        <w:t>a</w:t>
      </w:r>
      <w:proofErr w:type="gramEnd"/>
      <w:r>
        <w:t xml:space="preserve">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proofErr w:type="gramStart"/>
      <w:r>
        <w:t>for</w:t>
      </w:r>
      <w:proofErr w:type="gramEnd"/>
      <w:r>
        <w:t xml:space="preserve"> example:</w:t>
      </w:r>
    </w:p>
    <w:p w:rsidR="00F77C82" w:rsidRDefault="00F77C82">
      <w:pPr>
        <w:rPr>
          <w:rFonts w:ascii="Courier New" w:hAnsi="Courier New" w:cs="Courier New"/>
          <w:b/>
          <w:color w:val="0000FF"/>
          <w:sz w:val="16"/>
          <w:szCs w:val="16"/>
        </w:rPr>
      </w:pPr>
      <w:r>
        <w:rPr>
          <w:rFonts w:ascii="Courier New" w:hAnsi="Courier New" w:cs="Courier New"/>
          <w:b/>
          <w:color w:val="0000FF"/>
          <w:sz w:val="16"/>
          <w:szCs w:val="16"/>
        </w:rPr>
        <w:t>&lt;molecule</w:t>
      </w:r>
      <w:r>
        <w:rPr>
          <w:rFonts w:ascii="Courier New" w:hAnsi="Courier New" w:cs="Courier New"/>
          <w:b/>
          <w:sz w:val="16"/>
          <w:szCs w:val="16"/>
        </w:rPr>
        <w:t xml:space="preserve"> </w:t>
      </w:r>
      <w:r>
        <w:rPr>
          <w:rFonts w:ascii="Courier New" w:hAnsi="Courier New" w:cs="Courier New"/>
          <w:b/>
          <w:color w:val="FF0000"/>
          <w:sz w:val="16"/>
          <w:szCs w:val="16"/>
        </w:rPr>
        <w:t>id="oh"</w:t>
      </w:r>
      <w:r>
        <w:rPr>
          <w:rFonts w:ascii="Courier New" w:hAnsi="Courier New" w:cs="Courier New"/>
          <w:b/>
          <w:sz w:val="16"/>
          <w:szCs w:val="16"/>
        </w:rPr>
        <w:t xml:space="preserve"> </w:t>
      </w:r>
      <w:r>
        <w:rPr>
          <w:rFonts w:ascii="Courier New" w:hAnsi="Courier New" w:cs="Courier New"/>
          <w:b/>
          <w:color w:val="FF0000"/>
          <w:sz w:val="16"/>
          <w:szCs w:val="16"/>
        </w:rPr>
        <w:t>ref="OH"</w:t>
      </w:r>
      <w:r>
        <w:rPr>
          <w:rFonts w:ascii="Courier New" w:hAnsi="Courier New" w:cs="Courier New"/>
          <w:b/>
          <w:color w:val="0000FF"/>
          <w:sz w:val="16"/>
          <w:szCs w:val="16"/>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but with an id="oh", so that this name can continue to be used in the datafile.  It would have an additional attribute libId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F77C82" w:rsidRDefault="00F77C82">
      <w:pPr>
        <w:pStyle w:val="Heading3"/>
        <w:tabs>
          <w:tab w:val="left" w:pos="567"/>
        </w:tabs>
        <w:ind w:left="426" w:hanging="426"/>
      </w:pPr>
      <w:bookmarkStart w:id="64" w:name="_Toc320354940"/>
      <w:r>
        <w:t>Secondary input files</w:t>
      </w:r>
      <w:bookmarkEnd w:id="64"/>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pStyle w:val="Heading3"/>
        <w:tabs>
          <w:tab w:val="left" w:pos="567"/>
        </w:tabs>
        <w:ind w:left="426" w:hanging="426"/>
      </w:pPr>
      <w:bookmarkStart w:id="65" w:name="_Toc320354941"/>
      <w:proofErr w:type="gramStart"/>
      <w:r>
        <w:t>source.dot</w:t>
      </w:r>
      <w:proofErr w:type="gramEnd"/>
      <w:r>
        <w:t xml:space="preserve"> and source.ps</w:t>
      </w:r>
      <w:bookmarkEnd w:id="65"/>
    </w:p>
    <w:p w:rsidR="00F77C82" w:rsidRDefault="00F77C82">
      <w:r>
        <w:tab/>
        <w:t>These two files show the file dependency tree structure of the MESMER source code which is a guide for programmers to avoid repeated inclusion.  File source.dot is produced by a PERL script cinclude2dot.pl (</w:t>
      </w:r>
      <w:hyperlink r:id="rId24" w:history="1">
        <w:r>
          <w:rPr>
            <w:rStyle w:val="Hyperlink"/>
          </w:rPr>
          <w:t>http://flourish.org/cinclude2dot/</w:t>
        </w:r>
      </w:hyperlink>
      <w:r>
        <w:t>).</w:t>
      </w:r>
    </w:p>
    <w:p w:rsidR="00F77C82" w:rsidRDefault="00F77C82">
      <w:pPr>
        <w:pStyle w:val="Heading3"/>
        <w:tabs>
          <w:tab w:val="left" w:pos="567"/>
        </w:tabs>
        <w:ind w:left="426" w:hanging="426"/>
      </w:pPr>
      <w:bookmarkStart w:id="66" w:name="_Toc320354942"/>
      <w:r>
        <w:t>mesmer1.xsl, mesmerDiag.xsl, popDiag.xsl and switchcontent.xsl</w:t>
      </w:r>
      <w:bookmarkEnd w:id="66"/>
    </w:p>
    <w:p w:rsidR="00F77C82" w:rsidRDefault="00F77C82">
      <w:r>
        <w:tab/>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Default="00F77C82">
      <w:pPr>
        <w:rPr>
          <w:rFonts w:ascii="Courier New" w:hAnsi="Courier New" w:cs="Courier New"/>
          <w:b/>
          <w:color w:val="0000FF"/>
          <w:sz w:val="16"/>
          <w:szCs w:val="16"/>
        </w:rPr>
      </w:pPr>
      <w:proofErr w:type="gramStart"/>
      <w:r>
        <w:rPr>
          <w:rFonts w:ascii="Courier New" w:hAnsi="Courier New" w:cs="Courier New"/>
          <w:b/>
          <w:color w:val="0000FF"/>
          <w:sz w:val="16"/>
          <w:szCs w:val="16"/>
        </w:rPr>
        <w:t>&lt;?xml</w:t>
      </w:r>
      <w:proofErr w:type="gramEnd"/>
      <w:r>
        <w:rPr>
          <w:rFonts w:ascii="Courier New" w:hAnsi="Courier New" w:cs="Courier New"/>
          <w:b/>
          <w:color w:val="0000FF"/>
          <w:sz w:val="16"/>
          <w:szCs w:val="16"/>
        </w:rPr>
        <w:t>-stylesheet</w:t>
      </w:r>
      <w:r>
        <w:rPr>
          <w:rFonts w:ascii="Courier New" w:hAnsi="Courier New" w:cs="Courier New"/>
          <w:b/>
          <w:sz w:val="16"/>
          <w:szCs w:val="16"/>
        </w:rPr>
        <w:t xml:space="preserve"> </w:t>
      </w:r>
      <w:r>
        <w:rPr>
          <w:rFonts w:ascii="Courier New" w:hAnsi="Courier New" w:cs="Courier New"/>
          <w:b/>
          <w:color w:val="FF0000"/>
          <w:sz w:val="16"/>
          <w:szCs w:val="16"/>
        </w:rPr>
        <w:t>type=</w:t>
      </w:r>
      <w:r>
        <w:rPr>
          <w:rFonts w:ascii="Courier New" w:hAnsi="Courier New" w:cs="Courier New"/>
          <w:b/>
          <w:sz w:val="16"/>
          <w:szCs w:val="16"/>
        </w:rPr>
        <w:t xml:space="preserve">'text/xsl' </w:t>
      </w:r>
      <w:r>
        <w:rPr>
          <w:rFonts w:ascii="Courier New" w:hAnsi="Courier New" w:cs="Courier New"/>
          <w:b/>
          <w:color w:val="FF0000"/>
          <w:sz w:val="16"/>
          <w:szCs w:val="16"/>
        </w:rPr>
        <w:t>href=</w:t>
      </w:r>
      <w:r>
        <w:rPr>
          <w:rFonts w:ascii="Courier New" w:hAnsi="Courier New" w:cs="Courier New"/>
          <w:b/>
          <w:sz w:val="16"/>
          <w:szCs w:val="16"/>
        </w:rPr>
        <w:t>'../..</w:t>
      </w:r>
      <w:proofErr w:type="gramStart"/>
      <w:r>
        <w:rPr>
          <w:rFonts w:ascii="Courier New" w:hAnsi="Courier New" w:cs="Courier New"/>
          <w:b/>
          <w:sz w:val="16"/>
          <w:szCs w:val="16"/>
        </w:rPr>
        <w:t>/mesmer1.xsl'</w:t>
      </w:r>
      <w:r>
        <w:rPr>
          <w:rFonts w:ascii="Courier New" w:hAnsi="Courier New" w:cs="Courier New"/>
          <w:b/>
          <w:color w:val="0000FF"/>
          <w:sz w:val="16"/>
          <w:szCs w:val="16"/>
        </w:rPr>
        <w:t>?&gt;</w:t>
      </w:r>
      <w:proofErr w:type="gramEnd"/>
    </w:p>
    <w:p w:rsidR="00F77C82" w:rsidRDefault="00F77C82">
      <w:proofErr w:type="gramStart"/>
      <w:r>
        <w:t>so</w:t>
      </w:r>
      <w:proofErr w:type="gramEnd"/>
      <w:r>
        <w:t xml:space="preserve"> that it points to the correct location of the *.xsl files.</w:t>
      </w:r>
    </w:p>
    <w:p w:rsidR="00F77C82" w:rsidRDefault="00F77C82">
      <w:pPr>
        <w:pStyle w:val="Heading3"/>
        <w:tabs>
          <w:tab w:val="left" w:pos="567"/>
        </w:tabs>
        <w:ind w:left="426" w:hanging="426"/>
      </w:pPr>
      <w:bookmarkStart w:id="67" w:name="_Toc320354943"/>
      <w:r>
        <w:t>punch.xsl, punchout.bat</w:t>
      </w:r>
      <w:bookmarkEnd w:id="67"/>
    </w:p>
    <w:p w:rsidR="00F77C82" w:rsidRDefault="00F77C82">
      <w:r>
        <w:t>To make transfer of data to a spreadsheet (or other program) easier, the Bartis-Widom output data can be converted to a simplified comma-separated csv form. When viewed in Firefox the Bartis-Widom has a facility to display the data in this form so that it can be copied and pasted.</w:t>
      </w:r>
    </w:p>
    <w:p w:rsidR="00F77C82" w:rsidRDefault="00F77C82">
      <w:r>
        <w:t xml:space="preserve">Alternatively, the XSLT file punch.xsl can be applied to the output XML file in an external program, such as </w:t>
      </w:r>
      <w:proofErr w:type="gramStart"/>
      <w:r>
        <w:t>saxon</w:t>
      </w:r>
      <w:proofErr w:type="gramEnd"/>
      <w:r>
        <w:t xml:space="preserve"> or expat. For Windows systems, a batch file punchout.bat will run </w:t>
      </w:r>
      <w:r>
        <w:lastRenderedPageBreak/>
        <w:t>msxsl.exe, which can be downloaded from the Microsoft website. Adding a shortcut to punchout.bat to the SendTo folder allows it to be run from Windows Explorer without having to open a command window.</w:t>
      </w:r>
    </w:p>
    <w:p w:rsidR="00F77C82" w:rsidRPr="00C05534" w:rsidRDefault="00F77C82" w:rsidP="00C05534">
      <w:pPr>
        <w:pStyle w:val="Heading1"/>
      </w:pPr>
      <w:bookmarkStart w:id="68" w:name="_Ref206915297"/>
      <w:bookmarkStart w:id="69" w:name="_Toc320354944"/>
      <w:r w:rsidRPr="00C05534">
        <w:lastRenderedPageBreak/>
        <w:t>Test Suite</w:t>
      </w:r>
      <w:bookmarkEnd w:id="68"/>
      <w:bookmarkEnd w:id="6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r>
        <w:rPr>
          <w:rFonts w:ascii="Courier New" w:hAnsi="Courier New" w:cs="Courier New"/>
          <w:color w:val="FF0000"/>
          <w:szCs w:val="24"/>
        </w:rPr>
        <w:t>MesmerQA</w:t>
      </w:r>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0" w:name="_Ref316226934"/>
      <w:bookmarkStart w:id="71" w:name="_Toc320354945"/>
      <w:r w:rsidRPr="00246233">
        <w:t>MesmerQA</w:t>
      </w:r>
      <w:bookmarkEnd w:id="70"/>
      <w:bookmarkEnd w:id="7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F77C82" w:rsidP="00F66AB7">
      <w:pPr>
        <w:pStyle w:val="Heading3"/>
      </w:pPr>
      <w:bookmarkStart w:id="72" w:name="_Toc320354946"/>
      <w:r>
        <w:lastRenderedPageBreak/>
        <w:t>N-Pentyl Isomerization</w:t>
      </w:r>
      <w:bookmarkEnd w:id="72"/>
    </w:p>
    <w:p w:rsidR="00F77C82" w:rsidRDefault="00CE39BB">
      <w:pPr>
        <w:keepNext/>
        <w:jc w:val="center"/>
      </w:pPr>
      <w:r>
        <w:rPr>
          <w:noProof/>
          <w:lang w:eastAsia="en-GB"/>
        </w:rPr>
        <w:drawing>
          <wp:inline distT="0" distB="0" distL="0" distR="0" wp14:anchorId="73785F19" wp14:editId="6BE525F6">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52EF2">
        <w:rPr>
          <w:noProof/>
        </w:rPr>
        <w:t>2</w:t>
      </w:r>
      <w:r>
        <w:fldChar w:fldCharType="end"/>
      </w:r>
      <w:r>
        <w:t>: PES schematic for N-Pentyl Isomerization</w:t>
      </w:r>
    </w:p>
    <w:p w:rsidR="00F77C82" w:rsidRDefault="00F77C82"/>
    <w:p w:rsidR="00F77C82" w:rsidRDefault="00F77C82">
      <w:r>
        <w:tab/>
        <w:t>The input file for this job is pentyl_isomerization_test.xml.  This is a two well system for the isomerization of 2-pentyl over n-pentyl in an Argon bath gas using a standard RRKM treatment at the transition state.</w:t>
      </w:r>
    </w:p>
    <w:p w:rsidR="00F77C82" w:rsidRPr="00F66AB7" w:rsidRDefault="00F77C82" w:rsidP="00F66AB7">
      <w:pPr>
        <w:pStyle w:val="Heading3"/>
      </w:pPr>
      <w:bookmarkStart w:id="73" w:name="_Toc320354947"/>
      <w:r w:rsidRPr="00F66AB7">
        <w:t>Cyclopropene Isomerization + Reservoir State</w:t>
      </w:r>
      <w:bookmarkEnd w:id="73"/>
    </w:p>
    <w:p w:rsidR="00F77C82" w:rsidRDefault="00CE39BB">
      <w:pPr>
        <w:keepNext/>
        <w:jc w:val="center"/>
      </w:pPr>
      <w:r>
        <w:rPr>
          <w:noProof/>
          <w:lang w:eastAsia="en-GB"/>
        </w:rPr>
        <w:drawing>
          <wp:inline distT="0" distB="0" distL="0" distR="0" wp14:anchorId="50EE2D27" wp14:editId="5C470277">
            <wp:extent cx="2277110" cy="3046095"/>
            <wp:effectExtent l="0" t="0" r="889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l="391" t="32559" r="64984" b="20221"/>
                    <a:stretch>
                      <a:fillRect/>
                    </a:stretch>
                  </pic:blipFill>
                  <pic:spPr bwMode="auto">
                    <a:xfrm>
                      <a:off x="0" y="0"/>
                      <a:ext cx="2277110" cy="304609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52EF2">
        <w:rPr>
          <w:noProof/>
        </w:rPr>
        <w:t>3</w:t>
      </w:r>
      <w:r>
        <w:fldChar w:fldCharType="end"/>
      </w:r>
      <w:r>
        <w:t>: schematic of the PES used the cyclopropene isomerization test</w:t>
      </w:r>
    </w:p>
    <w:p w:rsidR="00F77C82" w:rsidRDefault="00F77C82"/>
    <w:p w:rsidR="00F77C82" w:rsidRDefault="00F77C82">
      <w:r>
        <w:lastRenderedPageBreak/>
        <w:tab/>
        <w:t>The Cyclopropene_isomerization_test.xml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The Cyclopropene_isomerization_reservoir_state_test.xml input file is located within the folder ‘cyclopropene isomerization reservoir state/’.  This is a three well system for the isomerization of allene, cyclopropene, and propyne in a He bath gas using a standard RRKM treatment at both transition states; however, it includes reservoir states for each isomer.</w:t>
      </w:r>
    </w:p>
    <w:p w:rsidR="00F77C82" w:rsidRPr="00F66AB7" w:rsidRDefault="00F77C82" w:rsidP="00F66AB7">
      <w:pPr>
        <w:pStyle w:val="Heading3"/>
      </w:pPr>
      <w:bookmarkStart w:id="74" w:name="_Toc320354948"/>
      <w:r w:rsidRPr="00F66AB7">
        <w:t>H + SO2</w:t>
      </w:r>
      <w:bookmarkEnd w:id="74"/>
    </w:p>
    <w:p w:rsidR="00F77C82" w:rsidRDefault="00CE39BB">
      <w:pPr>
        <w:keepNext/>
        <w:jc w:val="center"/>
      </w:pPr>
      <w:r>
        <w:rPr>
          <w:noProof/>
          <w:lang w:eastAsia="en-GB"/>
        </w:rPr>
        <w:drawing>
          <wp:inline distT="0" distB="0" distL="0" distR="0" wp14:anchorId="2B366C25" wp14:editId="61DF83E8">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52EF2">
        <w:rPr>
          <w:noProof/>
        </w:rPr>
        <w:t>4</w:t>
      </w:r>
      <w:r>
        <w:fldChar w:fldCharType="end"/>
      </w:r>
      <w:r>
        <w:t>: PES schematic for H + SO</w:t>
      </w:r>
      <w:r>
        <w:rPr>
          <w:vertAlign w:val="subscript"/>
        </w:rPr>
        <w:t>2</w:t>
      </w:r>
      <w:r>
        <w:t xml:space="preserve"> test system</w:t>
      </w:r>
    </w:p>
    <w:p w:rsidR="00F77C82" w:rsidRDefault="00F77C82"/>
    <w:p w:rsidR="00F77C82" w:rsidRDefault="00F77C82">
      <w:r>
        <w:tab/>
        <w:t>The HSO2_test.xml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75" w:name="_Toc320354949"/>
      <w:r w:rsidRPr="00F66AB7">
        <w:lastRenderedPageBreak/>
        <w:t>OH + C2H2</w:t>
      </w:r>
      <w:bookmarkEnd w:id="75"/>
    </w:p>
    <w:p w:rsidR="00F77C82" w:rsidRDefault="00CE39BB">
      <w:pPr>
        <w:keepNext/>
        <w:jc w:val="center"/>
      </w:pPr>
      <w:r>
        <w:rPr>
          <w:noProof/>
          <w:lang w:eastAsia="en-GB"/>
        </w:rPr>
        <w:drawing>
          <wp:inline distT="0" distB="0" distL="0" distR="0" wp14:anchorId="56D44B86" wp14:editId="29623144">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52EF2">
        <w:rPr>
          <w:noProof/>
        </w:rPr>
        <w:t>5</w:t>
      </w:r>
      <w:r>
        <w:fldChar w:fldCharType="end"/>
      </w:r>
      <w:r>
        <w:t>: PES for OH + C</w:t>
      </w:r>
      <w:r>
        <w:rPr>
          <w:vertAlign w:val="subscript"/>
        </w:rPr>
        <w:t>2</w:t>
      </w:r>
      <w:r>
        <w:t>H</w:t>
      </w:r>
      <w:r>
        <w:rPr>
          <w:vertAlign w:val="subscript"/>
        </w:rPr>
        <w:t>2</w:t>
      </w:r>
      <w:r>
        <w:t xml:space="preserve"> test job</w:t>
      </w:r>
    </w:p>
    <w:p w:rsidR="00F77C82" w:rsidRDefault="00F77C82"/>
    <w:p w:rsidR="00F77C82" w:rsidRDefault="00F77C82">
      <w:r>
        <w:tab/>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F77C82" w:rsidRPr="00F66AB7" w:rsidRDefault="00F77C82" w:rsidP="00F66AB7">
      <w:pPr>
        <w:pStyle w:val="Heading3"/>
      </w:pPr>
      <w:bookmarkStart w:id="76" w:name="_Toc320354950"/>
      <w:r w:rsidRPr="00F66AB7">
        <w:t>O2 + CH3CO</w:t>
      </w:r>
      <w:bookmarkEnd w:id="76"/>
    </w:p>
    <w:p w:rsidR="00F77C82" w:rsidRDefault="00F77C82"/>
    <w:p w:rsidR="00F77C82" w:rsidRDefault="00CE39BB">
      <w:pPr>
        <w:keepNext/>
        <w:jc w:val="center"/>
      </w:pPr>
      <w:r>
        <w:rPr>
          <w:noProof/>
          <w:lang w:eastAsia="en-GB"/>
        </w:rPr>
        <w:lastRenderedPageBreak/>
        <w:drawing>
          <wp:inline distT="0" distB="0" distL="0" distR="0" wp14:anchorId="3708D286" wp14:editId="688129D5">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52EF2">
        <w:rPr>
          <w:noProof/>
        </w:rPr>
        <w:t>6</w:t>
      </w:r>
      <w:r>
        <w:fldChar w:fldCharType="end"/>
      </w:r>
      <w:r>
        <w:t>: PES for O</w:t>
      </w:r>
      <w:r>
        <w:rPr>
          <w:vertAlign w:val="subscript"/>
        </w:rPr>
        <w:t>2</w:t>
      </w:r>
      <w:r>
        <w:t xml:space="preserve"> + CH</w:t>
      </w:r>
      <w:r>
        <w:rPr>
          <w:vertAlign w:val="subscript"/>
        </w:rPr>
        <w:t>3</w:t>
      </w:r>
      <w:r>
        <w:t>CO</w:t>
      </w:r>
    </w:p>
    <w:p w:rsidR="00F77C82" w:rsidRDefault="00F77C82"/>
    <w:p w:rsidR="00F77C82" w:rsidRDefault="00F77C82">
      <w:r>
        <w:tab/>
        <w:t xml:space="preserve">The Acetyl_O2_association.xml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 TSs with standard RRKM theory.</w:t>
      </w:r>
    </w:p>
    <w:p w:rsidR="00F77C82" w:rsidRDefault="00F77C82"/>
    <w:p w:rsidR="00F77C82" w:rsidRDefault="00F77C82">
      <w:pPr>
        <w:pStyle w:val="Heading3"/>
      </w:pPr>
      <w:bookmarkStart w:id="77" w:name="_Toc320354951"/>
      <w:proofErr w:type="gramStart"/>
      <w:r>
        <w:t>i-propyl</w:t>
      </w:r>
      <w:bookmarkEnd w:id="77"/>
      <w:proofErr w:type="gramEnd"/>
    </w:p>
    <w:p w:rsidR="00F77C82" w:rsidRDefault="00CE39BB">
      <w:pPr>
        <w:jc w:val="center"/>
      </w:pPr>
      <w:r>
        <w:rPr>
          <w:noProof/>
          <w:lang w:eastAsia="en-GB"/>
        </w:rPr>
        <w:drawing>
          <wp:inline distT="0" distB="0" distL="0" distR="0" wp14:anchorId="3E2EB156" wp14:editId="20560BBB">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52EF2">
        <w:rPr>
          <w:noProof/>
        </w:rPr>
        <w:t>7</w:t>
      </w:r>
      <w:r>
        <w:fldChar w:fldCharType="end"/>
      </w:r>
      <w:r>
        <w:t>: PES for i-propyl dissociation</w:t>
      </w:r>
    </w:p>
    <w:p w:rsidR="00F77C82" w:rsidRDefault="00F77C82"/>
    <w:p w:rsidR="00F77C82" w:rsidRDefault="00F77C82">
      <w:r>
        <w:lastRenderedPageBreak/>
        <w:tab/>
        <w:t xml:space="preserve">The ipropyl_test.xml input file is located within the folder ‘i-propyl/’.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12854" w:rsidRDefault="00212854" w:rsidP="00212854">
      <w:pPr>
        <w:pStyle w:val="Heading3"/>
      </w:pPr>
      <w:bookmarkStart w:id="78" w:name="_Toc320354952"/>
      <w:r>
        <w:t>Thermodynamic Table</w:t>
      </w:r>
      <w:bookmarkEnd w:id="78"/>
    </w:p>
    <w:p w:rsidR="00212854" w:rsidRDefault="00212854">
      <w:r>
        <w:t xml:space="preserve">The </w:t>
      </w:r>
      <w:r w:rsidRPr="00212854">
        <w:t>ThermodynamicTable.xml</w:t>
      </w:r>
      <w:r>
        <w:t xml:space="preserve"> input file in the folder ThermodynamicTable generates thermodynamics function date for the species involved in the reaction</w:t>
      </w:r>
      <w:r w:rsidRPr="00212854">
        <w:rPr>
          <w:position w:val="-6"/>
        </w:rPr>
        <w:object w:dxaOrig="2040" w:dyaOrig="279">
          <v:shape id="_x0000_i1029" type="#_x0000_t75" style="width:102.05pt;height:13.85pt" o:ole="">
            <v:imagedata r:id="rId31" o:title=""/>
          </v:shape>
          <o:OLEObject Type="Embed" ProgID="Equation.3" ShapeID="_x0000_i1029" DrawAspect="Content" ObjectID="_1396598501" r:id="rId32"/>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F77C82" w:rsidRPr="00246233" w:rsidRDefault="00F77C82" w:rsidP="00F66AB7">
      <w:pPr>
        <w:pStyle w:val="Heading2"/>
      </w:pPr>
      <w:bookmarkStart w:id="79" w:name="_Toc320354953"/>
      <w:r w:rsidRPr="00246233">
        <w:t>Examples</w:t>
      </w:r>
      <w:bookmarkEnd w:id="79"/>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80" w:name="_Toc320354954"/>
      <w:r>
        <w:t>Benzene-OH Oxidation</w:t>
      </w:r>
      <w:bookmarkEnd w:id="80"/>
    </w:p>
    <w:p w:rsidR="00F77C82" w:rsidRDefault="00CE39BB">
      <w:pPr>
        <w:jc w:val="center"/>
      </w:pPr>
      <w:r>
        <w:rPr>
          <w:noProof/>
          <w:lang w:eastAsia="en-GB"/>
        </w:rPr>
        <w:drawing>
          <wp:inline distT="0" distB="0" distL="0" distR="0" wp14:anchorId="200CD675" wp14:editId="278C11F5">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proofErr w:type="gramStart"/>
      <w:r>
        <w:t>Figure 6.</w:t>
      </w:r>
      <w:proofErr w:type="gramEnd"/>
      <w:r>
        <w:fldChar w:fldCharType="begin"/>
      </w:r>
      <w:r>
        <w:instrText xml:space="preserve"> SEQ "Figure" \*Arabic </w:instrText>
      </w:r>
      <w:r>
        <w:fldChar w:fldCharType="separate"/>
      </w:r>
      <w:r w:rsidR="00B52EF2">
        <w:rPr>
          <w:noProof/>
        </w:rPr>
        <w:t>8</w:t>
      </w:r>
      <w:r>
        <w:fldChar w:fldCharType="end"/>
      </w:r>
      <w:r>
        <w:t>: PES for benzene-OH + O</w:t>
      </w:r>
      <w:r>
        <w:rPr>
          <w:vertAlign w:val="subscript"/>
        </w:rPr>
        <w:t>2</w:t>
      </w:r>
    </w:p>
    <w:p w:rsidR="00F77C82" w:rsidRDefault="00F77C82">
      <w:pPr>
        <w:jc w:val="center"/>
      </w:pPr>
    </w:p>
    <w:p w:rsidR="00F77C82" w:rsidRDefault="00F77C82">
      <w:r>
        <w:tab/>
        <w:t>The benzene_oxidation_test.xml input file is located within the folder ‘benzene_oxidation/’.  This system includes a bimolecular source (I1 + O2), two wells (I2_c_ax and I2_t_eq), and four irreversible channels in N</w:t>
      </w:r>
      <w:r>
        <w:rPr>
          <w:vertAlign w:val="subscript"/>
        </w:rPr>
        <w:t>2</w:t>
      </w:r>
      <w:r>
        <w:t xml:space="preserve"> bath gas.  Two of the irreversible channels are unimolecular isomerizations (to I3t and I3c), one is a unimolecular dissociation </w:t>
      </w:r>
      <w:r>
        <w:lastRenderedPageBreak/>
        <w:t>(I2_t_eq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F77C82" w:rsidRDefault="00F77C82">
      <w:pPr>
        <w:pStyle w:val="Heading3"/>
      </w:pPr>
      <w:bookmarkStart w:id="81" w:name="_Toc320354955"/>
      <w:proofErr w:type="gramStart"/>
      <w:r>
        <w:t>i-propyl</w:t>
      </w:r>
      <w:bookmarkEnd w:id="81"/>
      <w:proofErr w:type="gramEnd"/>
    </w:p>
    <w:p w:rsidR="00F77C82" w:rsidRDefault="00F77C82">
      <w:r>
        <w:t>This example extends that the MesmerQA job of the same name so as to perform a fitting of the experimental data obtained by Seakins et al (</w:t>
      </w:r>
      <w:r>
        <w:rPr>
          <w:i/>
        </w:rPr>
        <w:t xml:space="preserve">J. Phys. Chem., </w:t>
      </w:r>
      <w:r>
        <w:rPr>
          <w:b/>
        </w:rPr>
        <w:t>97</w:t>
      </w:r>
      <w:r>
        <w:t>, 4450 (1993)).</w:t>
      </w:r>
    </w:p>
    <w:p w:rsidR="00F77C82" w:rsidRDefault="00F77C82" w:rsidP="00F66AB7">
      <w:pPr>
        <w:pStyle w:val="Heading3"/>
      </w:pPr>
      <w:bookmarkStart w:id="82" w:name="_Toc320354956"/>
      <w:r>
        <w:t>Spin Forbidden Test Systems</w:t>
      </w:r>
      <w:bookmarkEnd w:id="82"/>
    </w:p>
    <w:p w:rsidR="00F77C82" w:rsidRDefault="00F77C82">
      <w:r>
        <w:tab/>
        <w:t xml:space="preserve">Input files that show how to invoke spin forbidden RRKM theory are include in the folder ‘spin_forbidden_kinetics/’.  This folder includes two different input files, one of which invokes Landau Zener corrections (LZ_test.xml), and the other of which invokes WKB corrections (WKB_test.xml), as described in Harvey and Aschi, </w:t>
      </w:r>
      <w:r>
        <w:rPr>
          <w:i/>
        </w:rPr>
        <w:t>Faraday Discuss</w:t>
      </w:r>
      <w:r>
        <w:t>., 2003(124), 129-143.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83" w:name="_Toc320354957"/>
      <w:r w:rsidRPr="00C05534">
        <w:lastRenderedPageBreak/>
        <w:t>Adding Functionality to MESMER</w:t>
      </w:r>
      <w:bookmarkEnd w:id="83"/>
    </w:p>
    <w:p w:rsidR="00F77C82" w:rsidRDefault="00F77C82">
      <w:pPr>
        <w:rPr>
          <w:szCs w:val="24"/>
        </w:rPr>
      </w:pPr>
      <w:r>
        <w:rPr>
          <w:szCs w:val="24"/>
        </w:rPr>
        <w:tab/>
        <w:t xml:space="preserve">MESMER has been written in a manner than anticipates future developments, so that as the functionality of MESMER increases, it is expected that this portion of the manual to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has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w:t>
      </w:r>
      <w:proofErr w:type="gramStart"/>
      <w:r>
        <w:rPr>
          <w:szCs w:val="24"/>
        </w:rPr>
        <w:t>of  MESMER</w:t>
      </w:r>
      <w:proofErr w:type="gramEnd"/>
      <w:r>
        <w:rPr>
          <w:szCs w:val="24"/>
        </w:rPr>
        <w:t xml:space="preserve"> and derived class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in located in the files:</w:t>
      </w:r>
    </w:p>
    <w:p w:rsidR="00F77C82" w:rsidRDefault="00F77C82">
      <w:pPr>
        <w:numPr>
          <w:ilvl w:val="0"/>
          <w:numId w:val="4"/>
        </w:numPr>
        <w:rPr>
          <w:rFonts w:ascii="Courier New" w:hAnsi="Courier New" w:cs="Courier New"/>
          <w:sz w:val="20"/>
          <w:lang w:val="en-US"/>
        </w:rPr>
      </w:pPr>
      <w:r>
        <w:rPr>
          <w:szCs w:val="24"/>
        </w:rPr>
        <w:t xml:space="preserve"> </w:t>
      </w:r>
      <w:r>
        <w:rPr>
          <w:rFonts w:ascii="Courier New" w:hAnsi="Courier New" w:cs="Courier New"/>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F77C82">
      <w:pPr>
        <w:numPr>
          <w:ilvl w:val="0"/>
          <w:numId w:val="4"/>
        </w:numPr>
        <w:rPr>
          <w:szCs w:val="24"/>
        </w:rPr>
      </w:pPr>
      <w:r>
        <w:rPr>
          <w:rFonts w:ascii="Courier New" w:hAnsi="Courier New" w:cs="Courier New"/>
          <w:sz w:val="20"/>
          <w:lang w:val="en-US"/>
        </w:rPr>
        <w:t>...\src\plugins\ExponentialDown.cpp</w:t>
      </w:r>
      <w:r>
        <w:rPr>
          <w:szCs w:val="24"/>
        </w:rPr>
        <w:t xml:space="preserve">: contains the definition and the implementation of the </w:t>
      </w:r>
      <w:r>
        <w:rPr>
          <w:rFonts w:ascii="Courier New" w:hAnsi="Courier New" w:cs="Courier New"/>
          <w:sz w:val="20"/>
          <w:lang w:val="en-US"/>
        </w:rPr>
        <w:t>ExponentialDown</w:t>
      </w:r>
      <w:r>
        <w:rPr>
          <w:szCs w:val="24"/>
        </w:rPr>
        <w:t xml:space="preserve"> class, which calculates energy transfer probabilties based on the exponential down model.</w:t>
      </w:r>
    </w:p>
    <w:p w:rsidR="00F77C82" w:rsidRPr="00246233" w:rsidRDefault="00F77C82" w:rsidP="00F66AB7">
      <w:pPr>
        <w:pStyle w:val="Heading2"/>
      </w:pPr>
      <w:bookmarkStart w:id="84" w:name="_Toc320354958"/>
      <w:bookmarkStart w:id="85" w:name="_Ref277428806"/>
      <w:bookmarkStart w:id="86" w:name="_Ref277416966"/>
      <w:r w:rsidRPr="00246233">
        <w:t>Data Access</w:t>
      </w:r>
      <w:bookmarkEnd w:id="84"/>
    </w:p>
    <w:p w:rsidR="00F77C82" w:rsidRDefault="00F77C82">
      <w:pPr>
        <w:ind w:firstLine="539"/>
      </w:pPr>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is read into and stored in internal structures that reflect the data hierarchy set out in the input file. Access to and navigation through this data structure is via set of methods exposed on the pointer class of type </w:t>
      </w:r>
      <w:r>
        <w:rPr>
          <w:rFonts w:ascii="Courier New" w:hAnsi="Courier New" w:cs="Courier New"/>
          <w:sz w:val="20"/>
        </w:rPr>
        <w:t>PersistPtr</w:t>
      </w:r>
      <w:r>
        <w:t xml:space="preserve">. The set of methods are collected on an interface class </w:t>
      </w:r>
      <w:r>
        <w:rPr>
          <w:rFonts w:ascii="Courier New" w:hAnsi="Courier New" w:cs="Courier New"/>
          <w:sz w:val="20"/>
        </w:rPr>
        <w:t>IPersist</w:t>
      </w:r>
      <w:r>
        <w:t xml:space="preserve"> and documented in the header file </w:t>
      </w:r>
      <w:r>
        <w:rPr>
          <w:rFonts w:ascii="Courier New" w:hAnsi="Courier New" w:cs="Courier New"/>
          <w:sz w:val="20"/>
        </w:rPr>
        <w:t>Persistence.h</w:t>
      </w:r>
      <w:r>
        <w:t>. When reading data some the methods that may be useful are:</w:t>
      </w:r>
    </w:p>
    <w:p w:rsidR="00F77C82" w:rsidRDefault="00F77C82">
      <w:pPr>
        <w:pStyle w:val="Heading3"/>
        <w:tabs>
          <w:tab w:val="left" w:pos="567"/>
        </w:tabs>
        <w:ind w:left="426" w:hanging="426"/>
      </w:pPr>
      <w:bookmarkStart w:id="87" w:name="_Toc320354959"/>
      <w:r>
        <w:t>XmlMoveTo</w:t>
      </w:r>
      <w:bookmarkEnd w:id="87"/>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sz w:val="20"/>
        </w:rPr>
        <w:t xml:space="preserve">PersistPtr </w:t>
      </w:r>
      <w:proofErr w:type="gramStart"/>
      <w:r>
        <w:rPr>
          <w:rFonts w:ascii="Courier New" w:hAnsi="Courier New" w:cs="Courier New"/>
          <w:sz w:val="20"/>
        </w:rPr>
        <w:t>XmlMoveTo(</w:t>
      </w:r>
      <w:proofErr w:type="gramEnd"/>
      <w:r>
        <w:rPr>
          <w:rFonts w:ascii="Courier New" w:hAnsi="Courier New" w:cs="Courier New"/>
          <w:color w:val="0000FF"/>
          <w:sz w:val="20"/>
        </w:rPr>
        <w:t>const</w:t>
      </w:r>
      <w:r>
        <w:rPr>
          <w:rFonts w:ascii="Courier New" w:hAnsi="Courier New" w:cs="Courier New"/>
          <w:sz w:val="20"/>
        </w:rPr>
        <w:t xml:space="preserve"> std::string&amp; name)</w:t>
      </w:r>
      <w:r>
        <w:rPr>
          <w:rFonts w:ascii="Courier New" w:hAnsi="Courier New" w:cs="Courier New"/>
          <w:color w:val="0000FF"/>
          <w:sz w:val="20"/>
        </w:rPr>
        <w:t>const</w:t>
      </w:r>
      <w:r>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PersistPtr which can be used to read further down the input or output data. This method will try to locate the first child element with target name </w:t>
      </w:r>
      <w:r>
        <w:rPr>
          <w:rFonts w:ascii="Courier New" w:hAnsi="Courier New" w:cs="Courier New"/>
          <w:sz w:val="20"/>
        </w:rPr>
        <w:t>name</w:t>
      </w:r>
      <w:r>
        <w:t xml:space="preserve"> and if this fails it will look for the first sibling with this target name. If this fails it will return </w:t>
      </w:r>
      <w:r>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77C82" w:rsidRDefault="00F77C82">
      <w:pPr>
        <w:pStyle w:val="Heading3"/>
        <w:tabs>
          <w:tab w:val="left" w:pos="567"/>
        </w:tabs>
        <w:ind w:left="426" w:hanging="426"/>
      </w:pPr>
      <w:bookmarkStart w:id="88" w:name="_Toc320354960"/>
      <w:r>
        <w:t>XmlRead</w:t>
      </w:r>
      <w:bookmarkEnd w:id="8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Pr>
          <w:rFonts w:ascii="Courier New" w:hAnsi="Courier New" w:cs="Courier New"/>
          <w:sz w:val="20"/>
        </w:rPr>
        <w:t xml:space="preserve">NULL </w:t>
      </w:r>
      <w:r>
        <w:t>if it has no value.</w:t>
      </w:r>
    </w:p>
    <w:p w:rsidR="00F77C82" w:rsidRDefault="00F77C82">
      <w:pPr>
        <w:pStyle w:val="Heading3"/>
        <w:tabs>
          <w:tab w:val="left" w:pos="567"/>
        </w:tabs>
        <w:ind w:left="426" w:hanging="426"/>
      </w:pPr>
      <w:bookmarkStart w:id="89" w:name="_Toc320354961"/>
      <w:r>
        <w:t>XmlReadValue</w:t>
      </w:r>
      <w:bookmarkEnd w:id="89"/>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w:t>
      </w:r>
      <w:proofErr w:type="gramStart"/>
      <w:r>
        <w:t xml:space="preserve">If  </w:t>
      </w:r>
      <w:r>
        <w:rPr>
          <w:rFonts w:ascii="Courier New" w:hAnsi="Courier New" w:cs="Courier New"/>
          <w:sz w:val="20"/>
        </w:rPr>
        <w:t>MustBeThere</w:t>
      </w:r>
      <w:proofErr w:type="gramEnd"/>
      <w:r>
        <w:t xml:space="preserve"> is true(the default)  then this method will try to insert a default value from defaults.xml and return, otherwise it returns </w:t>
      </w:r>
      <w:r>
        <w:rPr>
          <w:rFonts w:ascii="Courier New" w:hAnsi="Courier New" w:cs="Courier New"/>
          <w:sz w:val="20"/>
        </w:rPr>
        <w:t>NULL</w:t>
      </w:r>
      <w:r>
        <w:t xml:space="preserve">. If </w:t>
      </w:r>
      <w:r>
        <w:rPr>
          <w:rFonts w:ascii="Courier New" w:hAnsi="Courier New" w:cs="Courier New"/>
          <w:sz w:val="20"/>
        </w:rPr>
        <w:t>name</w:t>
      </w:r>
      <w:r>
        <w:t xml:space="preserve"> is empty, returns </w:t>
      </w:r>
      <w:r>
        <w:rPr>
          <w:rFonts w:ascii="Courier New" w:hAnsi="Courier New" w:cs="Courier New"/>
          <w:sz w:val="20"/>
        </w:rPr>
        <w:t>NULL</w:t>
      </w:r>
      <w:r>
        <w:t xml:space="preserve"> if there are no children and an empty string if there are.</w:t>
      </w:r>
    </w:p>
    <w:p w:rsidR="00F77C82" w:rsidRDefault="00F77C82">
      <w:proofErr w:type="gramStart"/>
      <w:r>
        <w:rPr>
          <w:rFonts w:ascii="Courier New" w:hAnsi="Courier New" w:cs="Courier New"/>
          <w:sz w:val="20"/>
        </w:rPr>
        <w:t>name</w:t>
      </w:r>
      <w:proofErr w:type="gramEnd"/>
      <w:r>
        <w:t>: The name of the target element or attribute.</w:t>
      </w:r>
    </w:p>
    <w:p w:rsidR="00F77C82" w:rsidRDefault="00F77C82">
      <w:r>
        <w:rPr>
          <w:rFonts w:ascii="Courier New" w:hAnsi="Courier New" w:cs="Courier New"/>
          <w:sz w:val="20"/>
        </w:rPr>
        <w:t>MustBeThere</w:t>
      </w:r>
      <w:r>
        <w:t xml:space="preserve">: Optional argument indicating if the parameter is mandatory. The enum </w:t>
      </w:r>
      <w:r>
        <w:rPr>
          <w:rFonts w:ascii="Courier New" w:hAnsi="Courier New" w:cs="Courier New"/>
          <w:sz w:val="20"/>
        </w:rPr>
        <w:t>optional</w:t>
      </w:r>
      <w:r>
        <w:t xml:space="preserve"> is a synonym for </w:t>
      </w:r>
      <w:r>
        <w:rPr>
          <w:rFonts w:ascii="Courier New" w:hAnsi="Courier New" w:cs="Courier New"/>
          <w:color w:val="0000FF"/>
          <w:sz w:val="20"/>
        </w:rPr>
        <w:t>true</w:t>
      </w:r>
      <w:r>
        <w:t xml:space="preserve"> and its use makes the code more understandable. </w:t>
      </w:r>
    </w:p>
    <w:p w:rsidR="00F77C82" w:rsidRDefault="00F77C82">
      <w:pPr>
        <w:pStyle w:val="Heading3"/>
        <w:tabs>
          <w:tab w:val="left" w:pos="567"/>
        </w:tabs>
        <w:ind w:left="426" w:hanging="426"/>
      </w:pPr>
      <w:bookmarkStart w:id="90" w:name="_Toc320354962"/>
      <w:r>
        <w:t>XmlReadDouble</w:t>
      </w:r>
      <w:bookmarkEnd w:id="9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F77C82">
      <w:proofErr w:type="gramStart"/>
      <w:r>
        <w:rPr>
          <w:rFonts w:ascii="Courier New" w:hAnsi="Courier New" w:cs="Courier New"/>
          <w:sz w:val="20"/>
        </w:rPr>
        <w:t>name</w:t>
      </w:r>
      <w:proofErr w:type="gramEnd"/>
      <w:r>
        <w:t>: The name of the target element.</w:t>
      </w:r>
    </w:p>
    <w:p w:rsidR="00F77C82" w:rsidRDefault="00F77C82">
      <w:r>
        <w:rPr>
          <w:rFonts w:ascii="Courier New" w:hAnsi="Courier New" w:cs="Courier New"/>
          <w:sz w:val="20"/>
        </w:rPr>
        <w:t>MustBeThere</w:t>
      </w:r>
      <w:r>
        <w:t>: Optional argument indicating if the parameter is mandatory.</w:t>
      </w:r>
    </w:p>
    <w:p w:rsidR="00F77C82" w:rsidRDefault="00F77C82">
      <w:pPr>
        <w:pStyle w:val="Heading3"/>
        <w:tabs>
          <w:tab w:val="left" w:pos="567"/>
        </w:tabs>
        <w:ind w:left="426" w:hanging="426"/>
      </w:pPr>
      <w:bookmarkStart w:id="91" w:name="_Toc320354963"/>
      <w:r>
        <w:t>XmlReadInteger</w:t>
      </w:r>
      <w:bookmarkEnd w:id="9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F77C82">
      <w:proofErr w:type="gramStart"/>
      <w:r>
        <w:rPr>
          <w:rFonts w:ascii="Courier New" w:hAnsi="Courier New" w:cs="Courier New"/>
          <w:sz w:val="20"/>
        </w:rPr>
        <w:t>name</w:t>
      </w:r>
      <w:proofErr w:type="gramEnd"/>
      <w:r>
        <w:t>: The name of the target element.</w:t>
      </w:r>
    </w:p>
    <w:p w:rsidR="00F77C82" w:rsidRDefault="00F77C82">
      <w:r>
        <w:rPr>
          <w:rFonts w:ascii="Courier New" w:hAnsi="Courier New" w:cs="Courier New"/>
          <w:sz w:val="20"/>
        </w:rPr>
        <w:t>MustBeThere</w:t>
      </w:r>
      <w:r>
        <w:t>: Optional argument indicating if the parameter is mandatory.</w:t>
      </w:r>
    </w:p>
    <w:p w:rsidR="00F77C82" w:rsidRDefault="00F77C82">
      <w:pPr>
        <w:pStyle w:val="Heading3"/>
        <w:tabs>
          <w:tab w:val="left" w:pos="567"/>
        </w:tabs>
        <w:ind w:left="426" w:hanging="426"/>
      </w:pPr>
      <w:bookmarkStart w:id="92" w:name="_Toc320354964"/>
      <w:r>
        <w:t>XmlReadBoolean</w:t>
      </w:r>
      <w:bookmarkEnd w:id="92"/>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93" w:name="_Toc320354965"/>
      <w:r w:rsidRPr="00246233">
        <w:t>Plug-in Classes</w:t>
      </w:r>
      <w:bookmarkEnd w:id="93"/>
    </w:p>
    <w:p w:rsidR="00F77C82" w:rsidRDefault="00F77C82">
      <w:pPr>
        <w:pStyle w:val="Heading3"/>
        <w:tabs>
          <w:tab w:val="left" w:pos="567"/>
        </w:tabs>
        <w:ind w:left="426" w:hanging="426"/>
      </w:pPr>
      <w:bookmarkStart w:id="94" w:name="_Toc320354966"/>
      <w:r>
        <w:t>Calculation Methods</w:t>
      </w:r>
      <w:bookmarkEnd w:id="85"/>
      <w:bookmarkEnd w:id="94"/>
    </w:p>
    <w:p w:rsidR="00F77C82" w:rsidRDefault="00F77C82">
      <w:pPr>
        <w:ind w:firstLine="547"/>
        <w:rPr>
          <w:szCs w:val="24"/>
        </w:rPr>
      </w:pPr>
      <w:r>
        <w:rPr>
          <w:szCs w:val="24"/>
        </w:rPr>
        <w:t xml:space="preserve">The abstract base class for calculation methods is </w:t>
      </w:r>
      <w:r>
        <w:rPr>
          <w:rFonts w:ascii="Courier New" w:hAnsi="Courier New" w:cs="Courier New"/>
          <w:sz w:val="20"/>
          <w:lang w:val="en-US"/>
        </w:rPr>
        <w:t>CalcMethod</w:t>
      </w:r>
      <w:r>
        <w:rPr>
          <w:szCs w:val="24"/>
        </w:rPr>
        <w:t xml:space="preserve">, </w:t>
      </w:r>
      <w:r w:rsidR="001578F4">
        <w:rPr>
          <w:szCs w:val="24"/>
        </w:rPr>
        <w:t>and is defined</w:t>
      </w:r>
      <w:r>
        <w:rPr>
          <w:szCs w:val="24"/>
        </w:rPr>
        <w:t xml:space="preserve"> in </w:t>
      </w:r>
      <w:r>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Typically, data generated is plotted as a contour map to help located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r>
        <w:rPr>
          <w:rFonts w:ascii="Courier New" w:hAnsi="Courier New" w:cs="Courier New"/>
          <w:sz w:val="20"/>
          <w:lang w:val="en-US"/>
        </w:rPr>
        <w:t>stepsize</w:t>
      </w:r>
      <w:r>
        <w:t xml:space="preserve"> is ignored. The nature of the algorithm is iterative and the number of iterations are set via the parameter </w:t>
      </w:r>
      <w:r w:rsidRPr="00C75899">
        <w:rPr>
          <w:rFonts w:ascii="Courier New" w:hAnsi="Courier New" w:cs="Courier New"/>
          <w:color w:val="0000FF"/>
          <w:sz w:val="16"/>
          <w:szCs w:val="16"/>
          <w:lang w:val="en-US"/>
        </w:rPr>
        <w:t>&lt;</w:t>
      </w:r>
      <w:r w:rsidRPr="00C75899">
        <w:rPr>
          <w:rFonts w:ascii="Courier New" w:hAnsi="Courier New" w:cs="Courier New"/>
          <w:color w:val="A31515"/>
          <w:sz w:val="16"/>
          <w:szCs w:val="16"/>
          <w:lang w:val="en-US"/>
        </w:rPr>
        <w:t>me:fittingIterations</w:t>
      </w:r>
      <w:r w:rsidRPr="00C75899">
        <w:rPr>
          <w:rFonts w:ascii="Courier New" w:hAnsi="Courier New" w:cs="Courier New"/>
          <w:color w:val="0000FF"/>
          <w:sz w:val="16"/>
          <w:szCs w:val="16"/>
          <w:lang w:val="en-US"/>
        </w:rPr>
        <w:t>&gt;</w:t>
      </w:r>
      <w:r w:rsidRPr="00C75899">
        <w:rPr>
          <w:rFonts w:ascii="Courier New" w:hAnsi="Courier New" w:cs="Courier New"/>
          <w:sz w:val="16"/>
          <w:szCs w:val="16"/>
          <w:lang w:val="en-US"/>
        </w:rPr>
        <w:t>2</w:t>
      </w:r>
      <w:r w:rsidRPr="00C75899">
        <w:rPr>
          <w:rFonts w:ascii="Courier New" w:hAnsi="Courier New" w:cs="Courier New"/>
          <w:color w:val="0000FF"/>
          <w:sz w:val="16"/>
          <w:szCs w:val="16"/>
          <w:lang w:val="en-US"/>
        </w:rPr>
        <w:t>&lt;/</w:t>
      </w:r>
      <w:r w:rsidRPr="00C75899">
        <w:rPr>
          <w:rFonts w:ascii="Courier New" w:hAnsi="Courier New" w:cs="Courier New"/>
          <w:color w:val="A31515"/>
          <w:sz w:val="16"/>
          <w:szCs w:val="16"/>
          <w:lang w:val="en-US"/>
        </w:rPr>
        <w:t>me:fittingIterations</w:t>
      </w:r>
      <w:r w:rsidRPr="00C75899">
        <w:rPr>
          <w:rFonts w:ascii="Courier New" w:hAnsi="Courier New" w:cs="Courier New"/>
          <w:color w:val="0000FF"/>
          <w:sz w:val="16"/>
          <w:szCs w:val="16"/>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1.e-03</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sz w:val="16"/>
          <w:szCs w:val="16"/>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r>
        <w:rPr>
          <w:rFonts w:ascii="Courier New" w:hAnsi="Courier New" w:cs="Courier New"/>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20</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sidRPr="00C75899">
        <w:rPr>
          <w:rFonts w:ascii="Courier New" w:hAnsi="Courier New" w:cs="Courier New"/>
          <w:noProof/>
          <w:sz w:val="16"/>
          <w:szCs w:val="16"/>
          <w:lang w:eastAsia="en-GB"/>
        </w:rPr>
        <w:t>0.01</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is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w:t>
      </w:r>
      <w:r w:rsidR="00D054E4">
        <w:lastRenderedPageBreak/>
        <w:t>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C75899"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me:NumberOfTemp</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20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me:TempInterval</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100.0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me:Units</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kcal/Mol</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&gt;</w:t>
      </w:r>
      <w:r w:rsidR="00C75899">
        <w:rPr>
          <w:rFonts w:ascii="Courier New" w:hAnsi="Courier New" w:cs="Courier New"/>
          <w:noProof/>
          <w:color w:val="0000FF"/>
          <w:sz w:val="16"/>
          <w:szCs w:val="16"/>
          <w:lang w:eastAsia="en-GB"/>
        </w:rPr>
        <w:t xml:space="preserve"> </w:t>
      </w:r>
      <w:r w:rsidRPr="00C75899">
        <w:rPr>
          <w:rFonts w:ascii="Courier New" w:hAnsi="Courier New" w:cs="Courier New"/>
          <w:noProof/>
          <w:sz w:val="16"/>
          <w:szCs w:val="16"/>
          <w:lang w:eastAsia="en-GB"/>
        </w:rPr>
        <w:t>ThermodynamicTable</w:t>
      </w: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 xml:space="preserve">present the allowed units are kcal/Mol and kJ/Mol.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95" w:name="_Toc320354967"/>
      <w:r>
        <w:t>Collisional Energy Transfer Models</w:t>
      </w:r>
      <w:bookmarkEnd w:id="95"/>
    </w:p>
    <w:p w:rsidR="00F77C82" w:rsidRPr="0097132C" w:rsidRDefault="00F77C82">
      <w:pPr>
        <w:rPr>
          <w:szCs w:val="24"/>
        </w:rPr>
      </w:pPr>
      <w:r>
        <w:tab/>
      </w:r>
      <w:r>
        <w:rPr>
          <w:szCs w:val="24"/>
        </w:rPr>
        <w:t xml:space="preserve">The abstract base class for calculating energy transfer probabilities between grains is </w:t>
      </w:r>
      <w:r>
        <w:rPr>
          <w:rFonts w:ascii="Courier New" w:hAnsi="Courier New" w:cs="Courier New"/>
          <w:sz w:val="20"/>
          <w:lang w:val="en-US"/>
        </w:rPr>
        <w:t>EnergyTransferModel</w:t>
      </w:r>
      <w:r>
        <w:rPr>
          <w:szCs w:val="24"/>
        </w:rPr>
        <w:t xml:space="preserve">, which lives in </w:t>
      </w:r>
      <w:r>
        <w:rPr>
          <w:rFonts w:ascii="Courier New" w:hAnsi="Courier New" w:cs="Courier New"/>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8D5638"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bookmarkStart w:id="96" w:name="_GoBack"/>
      <w:bookmarkEnd w:id="96"/>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"me:deltaEDown"</w:t>
      </w:r>
      <w:r>
        <w:rPr>
          <w:rFonts w:ascii="Courier New" w:hAnsi="Courier New" w:cs="Courier New"/>
          <w:b/>
          <w:color w:val="0000FF"/>
          <w:sz w:val="16"/>
          <w:szCs w:val="16"/>
        </w:rPr>
        <w:t>&gt;</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B17EF3" w:rsidRPr="00B17EF3" w:rsidRDefault="00B17EF3" w:rsidP="0097132C">
      <w:pPr>
        <w:rPr>
          <w:rFonts w:ascii="Courier New" w:hAnsi="Courier New" w:cs="Courier New"/>
          <w:b/>
          <w:color w:val="0000FF"/>
          <w:sz w:val="16"/>
          <w:szCs w:val="16"/>
        </w:rPr>
      </w:pPr>
      <w:r>
        <w:rPr>
          <w:rFonts w:ascii="Courier New" w:hAnsi="Courier New" w:cs="Courier New"/>
          <w:b/>
          <w:color w:val="0000FF"/>
          <w:sz w:val="16"/>
          <w:szCs w:val="16"/>
        </w:rPr>
        <w:lastRenderedPageBreak/>
        <w:t>&lt;/property&gt;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w:t>
      </w:r>
      <w:r w:rsidR="00B17EF3" w:rsidRPr="0066515D">
        <w:rPr>
          <w:rFonts w:ascii="Courier New" w:hAnsi="Courier New" w:cs="Courier New"/>
          <w:b/>
          <w:sz w:val="16"/>
          <w:szCs w:val="16"/>
        </w:rPr>
        <w:t>deltaEDownTExponent</w:t>
      </w:r>
      <w:r w:rsidR="00B17EF3">
        <w:rPr>
          <w:rFonts w:ascii="Courier New" w:hAnsi="Courier New" w:cs="Courier New"/>
          <w:b/>
          <w:sz w:val="16"/>
          <w:szCs w:val="16"/>
        </w:rPr>
        <w:t xml:space="preserve"> </w:t>
      </w:r>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referenceTemperature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298</w:t>
      </w:r>
      <w:r>
        <w:rPr>
          <w:rFonts w:ascii="Courier New" w:hAnsi="Courier New" w:cs="Courier New"/>
          <w:b/>
          <w:sz w:val="16"/>
          <w:szCs w:val="16"/>
        </w:rPr>
        <w:t>" &gt;</w:t>
      </w:r>
      <w:r w:rsidR="008A0783">
        <w:rPr>
          <w:rFonts w:ascii="Courier New" w:hAnsi="Courier New" w:cs="Courier New"/>
          <w:b/>
          <w:color w:val="FF0000"/>
          <w:sz w:val="16"/>
          <w:szCs w:val="16"/>
        </w:rPr>
        <w:t>1.0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"me:deltaEDown"</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140.0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200.1</w:t>
      </w:r>
      <w:r>
        <w:rPr>
          <w:rFonts w:ascii="Courier New" w:hAnsi="Courier New" w:cs="Courier New"/>
          <w:b/>
          <w:sz w:val="16"/>
          <w:szCs w:val="16"/>
        </w:rPr>
        <w:t>" stepsize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10.0</w:t>
      </w:r>
      <w:r>
        <w:rPr>
          <w:rFonts w:ascii="Courier New" w:hAnsi="Courier New" w:cs="Courier New"/>
          <w:b/>
          <w:sz w:val="16"/>
          <w:szCs w:val="16"/>
        </w:rPr>
        <w:t>"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w:t>
      </w:r>
      <w:r w:rsidRPr="0066515D">
        <w:rPr>
          <w:rFonts w:ascii="Courier New" w:hAnsi="Courier New" w:cs="Courier New"/>
          <w:b/>
          <w:sz w:val="16"/>
          <w:szCs w:val="16"/>
        </w:rPr>
        <w:t>deltaEDownTExponent</w:t>
      </w:r>
      <w:r>
        <w:rPr>
          <w:rFonts w:ascii="Courier New" w:hAnsi="Courier New" w:cs="Courier New"/>
          <w:b/>
          <w:sz w:val="16"/>
          <w:szCs w:val="16"/>
        </w:rPr>
        <w:t>"</w:t>
      </w:r>
      <w:r>
        <w:rPr>
          <w:rFonts w:ascii="Courier New" w:hAnsi="Courier New" w:cs="Courier New"/>
          <w:b/>
          <w:color w:val="0000FF"/>
          <w:sz w:val="16"/>
          <w:szCs w:val="16"/>
        </w:rPr>
        <w:t>&gt;</w:t>
      </w:r>
    </w:p>
    <w:p w:rsidR="0066515D" w:rsidRPr="0066515D"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p>
    <w:p w:rsidR="0066515D" w:rsidRDefault="0066515D" w:rsidP="0066515D">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w:t>
      </w:r>
      <w:r>
        <w:rPr>
          <w:rFonts w:ascii="Courier New" w:hAnsi="Courier New" w:cs="Courier New"/>
          <w:b/>
          <w:sz w:val="16"/>
          <w:szCs w:val="16"/>
        </w:rPr>
        <w:t>" stepsize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0.01</w:t>
      </w:r>
      <w:r>
        <w:rPr>
          <w:rFonts w:ascii="Courier New" w:hAnsi="Courier New" w:cs="Courier New"/>
          <w:b/>
          <w:sz w:val="16"/>
          <w:szCs w:val="16"/>
        </w:rPr>
        <w:t>" &gt;</w:t>
      </w:r>
      <w:r>
        <w:rPr>
          <w:rFonts w:ascii="Courier New" w:hAnsi="Courier New" w:cs="Courier New"/>
          <w:b/>
          <w:color w:val="FF0000"/>
          <w:sz w:val="16"/>
          <w:szCs w:val="16"/>
        </w:rPr>
        <w:t>0.2</w:t>
      </w:r>
      <w:r>
        <w:rPr>
          <w:rFonts w:ascii="Courier New" w:hAnsi="Courier New" w:cs="Courier New"/>
          <w:b/>
          <w:color w:val="0000FF"/>
          <w:sz w:val="16"/>
          <w:szCs w:val="16"/>
        </w:rPr>
        <w:t>&lt;/scalar&gt;</w:t>
      </w:r>
    </w:p>
    <w:p w:rsidR="00F77C82" w:rsidRPr="0066515D" w:rsidRDefault="0066515D">
      <w:pPr>
        <w:rPr>
          <w:rFonts w:ascii="Courier New" w:hAnsi="Courier New" w:cs="Courier New"/>
          <w:b/>
          <w:color w:val="0000FF"/>
          <w:sz w:val="16"/>
          <w:szCs w:val="16"/>
        </w:rPr>
      </w:pPr>
      <w:r>
        <w:rPr>
          <w:rFonts w:ascii="Courier New" w:hAnsi="Courier New" w:cs="Courier New"/>
          <w:b/>
          <w:color w:val="0000FF"/>
          <w:sz w:val="16"/>
          <w:szCs w:val="16"/>
        </w:rPr>
        <w:t>&lt;/property&gt;</w:t>
      </w:r>
    </w:p>
    <w:p w:rsidR="00F77C82" w:rsidRDefault="00F77C82">
      <w:pPr>
        <w:pStyle w:val="Heading3"/>
        <w:tabs>
          <w:tab w:val="left" w:pos="567"/>
        </w:tabs>
        <w:ind w:left="426" w:hanging="426"/>
      </w:pPr>
      <w:bookmarkStart w:id="97" w:name="_Toc320354968"/>
      <w:r>
        <w:t>Density of States</w:t>
      </w:r>
      <w:bookmarkEnd w:id="86"/>
      <w:bookmarkEnd w:id="97"/>
    </w:p>
    <w:p w:rsidR="00F77C82" w:rsidRDefault="00F77C82">
      <w:pPr>
        <w:rPr>
          <w:szCs w:val="24"/>
        </w:rPr>
      </w:pPr>
      <w:r>
        <w:rPr>
          <w:szCs w:val="24"/>
        </w:rPr>
        <w:tab/>
      </w:r>
      <w:r>
        <w:rPr>
          <w:rFonts w:ascii="Courier New" w:hAnsi="Courier New" w:cs="Courier New"/>
          <w:sz w:val="20"/>
        </w:rPr>
        <w:t>DensityOfStatesCalculator</w:t>
      </w:r>
      <w:r>
        <w:rPr>
          <w:szCs w:val="24"/>
        </w:rPr>
        <w:t xml:space="preserve"> is the abstract base class for performing density of states calculations, and lives in </w:t>
      </w:r>
      <w:r>
        <w:rPr>
          <w:rFonts w:ascii="Courier New" w:hAnsi="Courier New" w:cs="Courier New"/>
          <w:sz w:val="20"/>
        </w:rPr>
        <w:t>DensityOfStates.h</w:t>
      </w:r>
      <w:r>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This is done by expressing the </w:t>
      </w:r>
      <w:proofErr w:type="gramStart"/>
      <w:r>
        <w:rPr>
          <w:szCs w:val="24"/>
        </w:rPr>
        <w:t>hamiltonian</w:t>
      </w:r>
      <w:proofErr w:type="gramEnd"/>
      <w:r>
        <w:rPr>
          <w:szCs w:val="24"/>
        </w:rPr>
        <w:t xml:space="preserve"> for a hindered one-dimensional rotor in a basis set of one-dimensional rotational functions and diagonalizing. The effective mass to be used is the reduced moment</w:t>
      </w:r>
      <w:r w:rsidR="00AF1548">
        <w:rPr>
          <w:szCs w:val="24"/>
        </w:rPr>
        <w:t xml:space="preserve"> of inertia </w:t>
      </w:r>
      <w:r>
        <w:rPr>
          <w:szCs w:val="24"/>
        </w:rPr>
        <w:t xml:space="preserve">about the bond that defines the internal rotation. This requires the bond to be idenitified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proofErr w:type="gramStart"/>
      <w:r>
        <w:rPr>
          <w:szCs w:val="24"/>
        </w:rPr>
        <w:t>fourier</w:t>
      </w:r>
      <w:proofErr w:type="gramEnd"/>
      <w:r>
        <w:rPr>
          <w:szCs w:val="24"/>
        </w:rPr>
        <w:t xml:space="preserve"> cosine expansion e.g. the simple potenti</w:t>
      </w:r>
      <w:r w:rsidR="00287E6B">
        <w:rPr>
          <w:szCs w:val="24"/>
        </w:rPr>
        <w:t>al (wh</w:t>
      </w:r>
      <w:r>
        <w:rPr>
          <w:szCs w:val="24"/>
        </w:rPr>
        <w:t>ich might be used to model the rotation of a methyl group.</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lastRenderedPageBreak/>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repesents the value of the non-zero coefficints in the cosine expansion and </w:t>
      </w:r>
      <w:r>
        <w:rPr>
          <w:rFonts w:ascii="Courier New" w:hAnsi="Courier New" w:cs="Courier New"/>
          <w:color w:val="FF0000"/>
          <w:sz w:val="20"/>
          <w:lang w:val="en-US"/>
        </w:rPr>
        <w:t>coefficient</w:t>
      </w:r>
      <w:r>
        <w:rPr>
          <w:szCs w:val="24"/>
        </w:rPr>
        <w:t xml:space="preserve"> the associated cosine expansion cofficient.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402612">
        <w:rPr>
          <w:szCs w:val="24"/>
        </w:rPr>
        <w:t xml:space="preserve">A full definition </w:t>
      </w:r>
      <w:proofErr w:type="gramStart"/>
      <w:r w:rsidR="00402612">
        <w:rPr>
          <w:szCs w:val="24"/>
        </w:rPr>
        <w:t>of  a</w:t>
      </w:r>
      <w:proofErr w:type="gramEnd"/>
      <w:r w:rsidR="00402612">
        <w:rPr>
          <w:szCs w:val="24"/>
        </w:rPr>
        <w:t xml:space="preserve"> numerical potential might look something like this:</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name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HinderedRotorQM1D</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r w:rsidRPr="007C7E97">
        <w:rPr>
          <w:rFonts w:ascii="Courier New" w:hAnsi="Courier New" w:cs="Courier New"/>
          <w:noProof/>
          <w:sz w:val="16"/>
          <w:szCs w:val="16"/>
          <w:lang w:eastAsia="en-GB"/>
        </w:rPr>
        <w:t>b8</w:t>
      </w:r>
      <w:r w:rsidRPr="007C7E97">
        <w:rPr>
          <w:rFonts w:ascii="Courier New" w:hAnsi="Courier New" w:cs="Courier New"/>
          <w:noProof/>
          <w:color w:val="0000FF"/>
          <w:sz w:val="16"/>
          <w:szCs w:val="16"/>
          <w:lang w:eastAsia="en-GB"/>
        </w:rPr>
        <w:t>&lt;/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format</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numerical</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units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Hartree</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expansionSize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UseSineTerms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yes</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-304.7521737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10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-304.7522079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20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-304.7524228</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7C7E97">
        <w:rPr>
          <w:rFonts w:ascii="Courier New" w:hAnsi="Courier New" w:cs="Courier New"/>
          <w:color w:val="0000FF"/>
          <w:sz w:val="16"/>
          <w:szCs w:val="16"/>
          <w:lang w:val="en-US"/>
        </w:rPr>
        <w:t xml:space="preserve">           ...</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330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-304.7530499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340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-304.7526519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350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-304.7523336</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&gt;</w:t>
      </w:r>
    </w:p>
    <w:p w:rsid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lastRenderedPageBreak/>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Pr="00FF7A4E" w:rsidRDefault="00FF7A4E">
      <w:pPr>
        <w:rPr>
          <w:szCs w:val="24"/>
        </w:rPr>
      </w:pPr>
      <w:r w:rsidRPr="00FF7A4E">
        <w:rPr>
          <w:rFonts w:ascii="Courier New" w:hAnsi="Courier New" w:cs="Courier New"/>
          <w:color w:val="FF0000"/>
        </w:rPr>
        <w:t>DefinedStatesRotors</w:t>
      </w:r>
      <w:r w:rsidRPr="00FF7A4E">
        <w:rPr>
          <w:szCs w:val="24"/>
        </w:rPr>
        <w:t>: There are occassionally situations where the density of states cannot be easily factored 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 For this reason MESMER provides a class that allows specific state manifolds </w:t>
      </w:r>
      <w:r w:rsidR="007101F6">
        <w:rPr>
          <w:szCs w:val="24"/>
        </w:rPr>
        <w:t>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rPr>
          <w:szCs w:val="24"/>
        </w:rPr>
        <w:t xml:space="preserve"> </w:t>
      </w:r>
      <w:r>
        <w:rPr>
          <w:rFonts w:ascii="Courier New" w:hAnsi="Courier New" w:cs="Courier New"/>
          <w:noProof/>
          <w:color w:val="A31515"/>
          <w:szCs w:val="24"/>
          <w:lang w:eastAsia="en-GB"/>
        </w:rPr>
        <w:t xml:space="preserve"> </w:t>
      </w:r>
    </w:p>
    <w:p w:rsidR="00F77C82" w:rsidRDefault="00F77C82">
      <w:pPr>
        <w:pStyle w:val="Heading3"/>
        <w:tabs>
          <w:tab w:val="left" w:pos="567"/>
        </w:tabs>
        <w:ind w:left="426" w:hanging="426"/>
      </w:pPr>
      <w:bookmarkStart w:id="98" w:name="_Toc320354969"/>
      <w:r>
        <w:t>Microcanonical Rates</w:t>
      </w:r>
      <w:bookmarkEnd w:id="98"/>
      <w:r>
        <w:t xml:space="preserve"> </w:t>
      </w:r>
    </w:p>
    <w:p w:rsidR="00F77C82" w:rsidRDefault="00F77C82">
      <w:pPr>
        <w:rPr>
          <w:szCs w:val="24"/>
        </w:rPr>
      </w:pPr>
      <w:r>
        <w:rPr>
          <w:szCs w:val="24"/>
        </w:rPr>
        <w:tab/>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which includes standard ILT, 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which 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p>
    <w:p w:rsidR="00F77C82" w:rsidRDefault="00F77C82">
      <w:pPr>
        <w:pStyle w:val="Heading3"/>
        <w:tabs>
          <w:tab w:val="left" w:pos="567"/>
        </w:tabs>
        <w:ind w:left="426" w:hanging="426"/>
      </w:pPr>
      <w:bookmarkStart w:id="99" w:name="_Toc320354970"/>
      <w:r>
        <w:t>Tunneling Corrections</w:t>
      </w:r>
      <w:bookmarkEnd w:id="99"/>
    </w:p>
    <w:p w:rsidR="00F77C82" w:rsidRDefault="00F77C82">
      <w:pPr>
        <w:rPr>
          <w:szCs w:val="24"/>
        </w:rPr>
      </w:pPr>
      <w:r>
        <w:rPr>
          <w:szCs w:val="24"/>
        </w:rPr>
        <w:tab/>
        <w:t xml:space="preserve">The abstract base class for tunnelling corrections is </w:t>
      </w:r>
      <w:r>
        <w:rPr>
          <w:rFonts w:ascii="Courier New" w:hAnsi="Courier New" w:cs="Courier New"/>
          <w:sz w:val="20"/>
        </w:rPr>
        <w:t>TunnelingCalculator</w:t>
      </w:r>
      <w:r>
        <w:rPr>
          <w:szCs w:val="24"/>
        </w:rPr>
        <w:t xml:space="preserve">, which lives in </w:t>
      </w:r>
      <w:r>
        <w:rPr>
          <w:rFonts w:ascii="Courier New" w:hAnsi="Courier New" w:cs="Courier New"/>
          <w:sz w:val="20"/>
        </w:rPr>
        <w:t>Tun</w:t>
      </w:r>
      <w:r w:rsidR="003A4E4A">
        <w:rPr>
          <w:rFonts w:ascii="Courier New" w:hAnsi="Courier New" w:cs="Courier New"/>
          <w:sz w:val="20"/>
        </w:rPr>
        <w:t>ne</w:t>
      </w:r>
      <w:r>
        <w:rPr>
          <w:rFonts w:ascii="Courier New" w:hAnsi="Courier New" w:cs="Courier New"/>
          <w:sz w:val="20"/>
        </w:rPr>
        <w:t>ling.h</w:t>
      </w:r>
      <w:r>
        <w:rPr>
          <w:szCs w:val="24"/>
        </w:rPr>
        <w:t>.  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reacion(s) to which tunneling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w:t>
      </w:r>
      <w:r w:rsidR="00095D39">
        <w:lastRenderedPageBreak/>
        <w:t xml:space="preserve">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r>
        <w:rPr>
          <w:rFonts w:ascii="Courier New" w:hAnsi="Courier New" w:cs="Courier New"/>
          <w:color w:val="FF0000"/>
        </w:rPr>
        <w:t>WKBTunnelling</w:t>
      </w:r>
      <w:r>
        <w:rPr>
          <w:szCs w:val="24"/>
        </w:rPr>
        <w:t xml:space="preserve">: </w:t>
      </w:r>
      <w:r w:rsidR="009C3F80">
        <w:rPr>
          <w:szCs w:val="24"/>
        </w:rPr>
        <w:t>this class</w:t>
      </w:r>
      <w:r>
        <w:rPr>
          <w:szCs w:val="24"/>
        </w:rPr>
        <w:t xml:space="preserve"> approximates tunnelling using a user defined potential according to a semiclassical WKB method. In order to implement this tunnelling correction the user is required to define a potential corresponding to the minimum energy path over the relevent transition state. This potential is then numericaly integrated to give the barrier penertration integral </w:t>
      </w:r>
      <w:r>
        <w:rPr>
          <w:rFonts w:ascii="Symbol" w:hAnsi="Symbol"/>
          <w:szCs w:val="24"/>
        </w:rPr>
        <w:t></w:t>
      </w:r>
      <w:r>
        <w:rPr>
          <w:rFonts w:ascii="Symbol" w:hAnsi="Symbol"/>
          <w:szCs w:val="24"/>
        </w:rPr>
        <w:t></w:t>
      </w:r>
      <w:r>
        <w:rPr>
          <w:szCs w:val="24"/>
        </w:rPr>
        <w:t xml:space="preserve">as described by </w:t>
      </w:r>
      <w:r>
        <w:t xml:space="preserve">Garrett and Truhlar,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r>
        <w:rPr>
          <w:rFonts w:ascii="Courier New" w:hAnsi="Courier New" w:cs="Courier New"/>
          <w:color w:val="A31515"/>
          <w:sz w:val="20"/>
        </w:rPr>
        <w:t>me:DOSCMethod</w:t>
      </w:r>
      <w:r>
        <w:rPr>
          <w:rFonts w:ascii="Courier New" w:hAnsi="Courier New" w:cs="Courier New"/>
          <w:color w:val="0000FF"/>
          <w:sz w:val="20"/>
        </w:rPr>
        <w:t>&gt;</w:t>
      </w:r>
      <w:r>
        <w:rPr>
          <w:szCs w:val="24"/>
        </w:rPr>
        <w:t xml:space="preserve"> element for the molecule and has the form below:</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me:IRCPotential</w:t>
      </w:r>
      <w:r>
        <w:rPr>
          <w:rFonts w:ascii="Courier New" w:hAnsi="Courier New" w:cs="Courier New"/>
          <w:color w:val="0000FF"/>
          <w:sz w:val="20"/>
        </w:rPr>
        <w:t xml:space="preserve"> </w:t>
      </w:r>
      <w:r>
        <w:rPr>
          <w:rFonts w:ascii="Courier New" w:hAnsi="Courier New" w:cs="Courier New"/>
          <w:color w:val="FF0000"/>
          <w:sz w:val="20"/>
        </w:rPr>
        <w:t>units</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kcal/mol</w:t>
      </w:r>
      <w:r>
        <w:rPr>
          <w:rFonts w:ascii="Courier New" w:hAnsi="Courier New" w:cs="Courier New"/>
          <w:sz w:val="20"/>
        </w:rPr>
        <w:t>"</w:t>
      </w:r>
      <w:r>
        <w:rPr>
          <w:rFonts w:ascii="Courier New" w:hAnsi="Courier New" w:cs="Courier New"/>
          <w:color w:val="0000FF"/>
          <w:sz w:val="20"/>
        </w:rPr>
        <w:t xml:space="preserve"> </w:t>
      </w:r>
      <w:r>
        <w:rPr>
          <w:rFonts w:ascii="Courier New" w:hAnsi="Courier New" w:cs="Courier New"/>
          <w:color w:val="FF0000"/>
          <w:sz w:val="20"/>
        </w:rPr>
        <w:t>ReducedMass</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0.679</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me:PotentialPoint</w:t>
      </w:r>
      <w:r>
        <w:rPr>
          <w:rFonts w:ascii="Courier New" w:hAnsi="Courier New" w:cs="Courier New"/>
          <w:color w:val="0000FF"/>
          <w:sz w:val="20"/>
        </w:rPr>
        <w:t xml:space="preserve"> </w:t>
      </w:r>
      <w:r>
        <w:rPr>
          <w:rFonts w:ascii="Courier New" w:hAnsi="Courier New" w:cs="Courier New"/>
          <w:color w:val="FF0000"/>
          <w:sz w:val="20"/>
        </w:rPr>
        <w:t>ReacCoord/m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-3.5E-10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1.47</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me:PotentialPoint</w:t>
      </w:r>
      <w:r>
        <w:rPr>
          <w:rFonts w:ascii="Courier New" w:hAnsi="Courier New" w:cs="Courier New"/>
          <w:color w:val="0000FF"/>
          <w:sz w:val="20"/>
        </w:rPr>
        <w:t xml:space="preserve"> </w:t>
      </w:r>
      <w:r>
        <w:rPr>
          <w:rFonts w:ascii="Courier New" w:hAnsi="Courier New" w:cs="Courier New"/>
          <w:color w:val="FF0000"/>
          <w:sz w:val="20"/>
        </w:rPr>
        <w:t>ReacCoord/m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-3.4E-10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1.51</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me:PotentialPoint</w:t>
      </w:r>
      <w:r>
        <w:rPr>
          <w:rFonts w:ascii="Courier New" w:hAnsi="Courier New" w:cs="Courier New"/>
          <w:color w:val="0000FF"/>
          <w:sz w:val="20"/>
        </w:rPr>
        <w:t xml:space="preserve"> </w:t>
      </w:r>
      <w:r>
        <w:rPr>
          <w:rFonts w:ascii="Courier New" w:hAnsi="Courier New" w:cs="Courier New"/>
          <w:color w:val="FF0000"/>
          <w:sz w:val="20"/>
        </w:rPr>
        <w:t>ReacCoord/m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-3.3E-10</w:t>
      </w:r>
      <w:r>
        <w:rPr>
          <w:rFonts w:ascii="Courier New" w:hAnsi="Courier New" w:cs="Courier New"/>
          <w:sz w:val="20"/>
        </w:rPr>
        <w:t>"</w:t>
      </w:r>
      <w:r>
        <w:rPr>
          <w:rFonts w:ascii="Courier New" w:hAnsi="Courier New" w:cs="Courier New"/>
          <w:color w:val="0000FF"/>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1.58</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F77C82" w:rsidRDefault="00F77C82">
      <w:pPr>
        <w:pStyle w:val="Heading3"/>
        <w:tabs>
          <w:tab w:val="left" w:pos="567"/>
        </w:tabs>
        <w:ind w:left="426" w:hanging="426"/>
      </w:pPr>
      <w:bookmarkStart w:id="100" w:name="_Toc320354971"/>
      <w:r>
        <w:t>Spin Forbidden RRKM theory</w:t>
      </w:r>
      <w:bookmarkEnd w:id="100"/>
    </w:p>
    <w:p w:rsidR="00F77C82" w:rsidRDefault="00F77C82">
      <w:pPr>
        <w:rPr>
          <w:szCs w:val="24"/>
        </w:rPr>
      </w:pPr>
      <w:r>
        <w:rPr>
          <w:szCs w:val="24"/>
        </w:rPr>
        <w:tab/>
        <w:t xml:space="preserve">The abstract base class for tunnelling corrections is </w:t>
      </w:r>
      <w:r>
        <w:rPr>
          <w:rFonts w:ascii="Courier New" w:hAnsi="Courier New" w:cs="Courier New"/>
          <w:sz w:val="20"/>
        </w:rPr>
        <w:t>CrossingCalculator</w:t>
      </w:r>
      <w:r>
        <w:rPr>
          <w:szCs w:val="24"/>
        </w:rPr>
        <w:t xml:space="preserve">, which lives in </w:t>
      </w:r>
      <w:r>
        <w:rPr>
          <w:rFonts w:ascii="Courier New" w:hAnsi="Courier New" w:cs="Courier New"/>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proofErr w:type="gramEnd"/>
    </w:p>
    <w:p w:rsidR="00F77C82"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proofErr w:type="gramEnd"/>
    </w:p>
    <w:p w:rsidR="00F77C82" w:rsidRDefault="00F77C82">
      <w:pPr>
        <w:pStyle w:val="Heading3"/>
        <w:tabs>
          <w:tab w:val="left" w:pos="567"/>
        </w:tabs>
        <w:ind w:left="426" w:hanging="426"/>
      </w:pPr>
      <w:bookmarkStart w:id="101" w:name="_Toc320354972"/>
      <w:r>
        <w:lastRenderedPageBreak/>
        <w:t>Distribution Calculator</w:t>
      </w:r>
      <w:bookmarkEnd w:id="101"/>
    </w:p>
    <w:p w:rsidR="00F77C82" w:rsidRDefault="00F77C82">
      <w:pPr>
        <w:rPr>
          <w:szCs w:val="24"/>
        </w:rPr>
      </w:pPr>
      <w:r>
        <w:rPr>
          <w:szCs w:val="24"/>
        </w:rPr>
        <w:tab/>
        <w:t xml:space="preserve">The abstract base class for calculating the initial distributions within the grains is </w:t>
      </w:r>
      <w:r>
        <w:rPr>
          <w:rFonts w:ascii="Courier New" w:hAnsi="Courier New" w:cs="Courier New"/>
          <w:sz w:val="20"/>
        </w:rPr>
        <w:t>DistributionCalculator</w:t>
      </w:r>
      <w:r>
        <w:rPr>
          <w:szCs w:val="24"/>
        </w:rPr>
        <w:t xml:space="preserve">, which lives in </w:t>
      </w:r>
      <w:r>
        <w:rPr>
          <w:rFonts w:ascii="Courier New" w:hAnsi="Courier New" w:cs="Courier New"/>
          <w:sz w:val="20"/>
        </w:rPr>
        <w:t>Distribution.h</w:t>
      </w:r>
      <w:r>
        <w:rPr>
          <w:szCs w:val="24"/>
        </w:rPr>
        <w:t>.  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BoltzmannDistribution</w:t>
      </w:r>
      <w:r>
        <w:rPr>
          <w:szCs w:val="24"/>
        </w:rPr>
        <w:t xml:space="preserve">: </w:t>
      </w:r>
      <w:proofErr w:type="gramStart"/>
      <w:r>
        <w:rPr>
          <w:szCs w:val="24"/>
        </w:rPr>
        <w:t>which uses a Boltzmann population for the initial grain distribution within a particular well</w:t>
      </w:r>
      <w:proofErr w:type="gramEnd"/>
    </w:p>
    <w:p w:rsidR="00F77C82" w:rsidRDefault="00F77C82">
      <w:pPr>
        <w:rPr>
          <w:szCs w:val="24"/>
        </w:rPr>
      </w:pPr>
      <w:r>
        <w:rPr>
          <w:szCs w:val="24"/>
        </w:rPr>
        <w:t>In the future, we hope to add a plug-in class that will calculate initial non-equilibrium grain distributions, based on energy partitioning models similar to the prior distribution.</w:t>
      </w:r>
    </w:p>
    <w:p w:rsidR="00F77C82" w:rsidRDefault="00F77C82"/>
    <w:p w:rsidR="00F77C82" w:rsidRDefault="00F77C82">
      <w:pPr>
        <w:ind w:firstLine="547"/>
      </w:pPr>
    </w:p>
    <w:p w:rsidR="00F77C82" w:rsidRPr="00C05534" w:rsidRDefault="00F77C82" w:rsidP="00C05534">
      <w:pPr>
        <w:pStyle w:val="Heading1"/>
      </w:pPr>
      <w:bookmarkStart w:id="102" w:name="_Toc320354973"/>
      <w:r w:rsidRPr="00C05534">
        <w:lastRenderedPageBreak/>
        <w:t>MESMER FAQs</w:t>
      </w:r>
      <w:bookmarkEnd w:id="102"/>
    </w:p>
    <w:p w:rsidR="00F77C82" w:rsidRDefault="00F77C82">
      <w:pPr>
        <w:rPr>
          <w:b/>
        </w:rPr>
      </w:pPr>
      <w:r>
        <w:rPr>
          <w:b/>
        </w:rPr>
        <w:t>Q. What is qtot? What is sumc? What is sumg?</w:t>
      </w:r>
    </w:p>
    <w:p w:rsidR="00F77C82" w:rsidRDefault="00F77C82">
      <w:r>
        <w:tab/>
        <w:t xml:space="preserve">This is discussed in section </w:t>
      </w:r>
      <w:r w:rsidR="00501A40">
        <w:fldChar w:fldCharType="begin"/>
      </w:r>
      <w:r w:rsidR="00501A40">
        <w:instrText xml:space="preserve"> REF _Ref313053442 \r \h </w:instrText>
      </w:r>
      <w:r w:rsidR="00501A40">
        <w:fldChar w:fldCharType="separate"/>
      </w:r>
      <w:r w:rsidR="00B52EF2">
        <w:t>10.1.1.1</w:t>
      </w:r>
      <w:r w:rsidR="00501A40">
        <w:fldChar w:fldCharType="end"/>
      </w:r>
    </w:p>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four 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F77C82" w:rsidRDefault="00F77C82"/>
    <w:p w:rsidR="00F77C82" w:rsidRDefault="00F77C82">
      <w:pPr>
        <w:rPr>
          <w:b/>
        </w:rPr>
      </w:pPr>
      <w:r>
        <w:rPr>
          <w:b/>
        </w:rPr>
        <w:t>Q. Do all the energies in a MESMER input file need to be in the same units?</w:t>
      </w:r>
    </w:p>
    <w:p w:rsidR="00F77C82" w:rsidRDefault="00F77C82">
      <w:r>
        <w:lastRenderedPageBreak/>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F77C82" w:rsidRDefault="00F77C82">
      <w:r>
        <w:tab/>
        <w:t xml:space="preserve">This is described in section </w:t>
      </w:r>
      <w:r w:rsidR="00AD2F89">
        <w:fldChar w:fldCharType="begin"/>
      </w:r>
      <w:r w:rsidR="00AD2F89">
        <w:instrText xml:space="preserve"> REF _Ref316227407 \r \h </w:instrText>
      </w:r>
      <w:r w:rsidR="00AD2F89">
        <w:fldChar w:fldCharType="separate"/>
      </w:r>
      <w:r w:rsidR="00B52EF2">
        <w:t>8</w:t>
      </w:r>
      <w:r w:rsidR="00AD2F89">
        <w:fldChar w:fldCharType="end"/>
      </w:r>
      <w:r>
        <w:t>.</w:t>
      </w:r>
    </w:p>
    <w:p w:rsidR="00F77C82" w:rsidRDefault="00F77C82"/>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r>
        <w:lastRenderedPageBreak/>
        <w:t>OpenBabel, and may offer useful functionality in the future (e.g., visualizing molecular structures in Firefox).</w:t>
      </w:r>
    </w:p>
    <w:p w:rsidR="00F77C82" w:rsidRDefault="00F77C82"/>
    <w:p w:rsidR="00F77C82" w:rsidRPr="00C05534" w:rsidRDefault="00F77C82" w:rsidP="00C05534">
      <w:pPr>
        <w:pStyle w:val="Heading1"/>
      </w:pPr>
      <w:bookmarkStart w:id="103" w:name="_Toc320354974"/>
      <w:r w:rsidRPr="00C05534">
        <w:lastRenderedPageBreak/>
        <w:t>Theoretical Background</w:t>
      </w:r>
      <w:bookmarkEnd w:id="103"/>
    </w:p>
    <w:p w:rsidR="00F77C82" w:rsidRDefault="00F77C82">
      <w:r>
        <w:tab/>
        <w:t>This section is not meant to be a thorough mathematical description of the Master Equation, but rather to provide broad overview of MESMER, and provide insight into some of the less straightforward details in MESMER.</w:t>
      </w:r>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et al.</w:t>
      </w:r>
      <w:r>
        <w:rPr>
          <w:vertAlign w:val="superscript"/>
        </w:rPr>
        <w:t>7</w:t>
      </w:r>
      <w:r>
        <w:t xml:space="preserve"> and references therein, and some discussion of the Standard ILT is found in Davies </w:t>
      </w:r>
      <w:r>
        <w:rPr>
          <w:i/>
        </w:rPr>
        <w:t>et al.</w:t>
      </w:r>
      <w:r>
        <w:rPr>
          <w:vertAlign w:val="superscript"/>
        </w:rPr>
        <w:t>8</w:t>
      </w:r>
    </w:p>
    <w:p w:rsidR="00F77C82" w:rsidRPr="00246233" w:rsidRDefault="00F77C82" w:rsidP="00F66AB7">
      <w:pPr>
        <w:pStyle w:val="Heading2"/>
      </w:pPr>
      <w:bookmarkStart w:id="104" w:name="_Toc320354975"/>
      <w:r w:rsidRPr="00246233">
        <w:t>Matrix Formulation of the EGME</w:t>
      </w:r>
      <w:bookmarkEnd w:id="104"/>
    </w:p>
    <w:p w:rsidR="00F77C82" w:rsidRDefault="00F77C82">
      <w:pPr>
        <w:rPr>
          <w:vertAlign w:val="superscript"/>
        </w:rPr>
      </w:pPr>
      <w:r>
        <w:tab/>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collisionless limit, or for a system that has a single isomer.</w:t>
      </w:r>
      <w:r>
        <w:rPr>
          <w:vertAlign w:val="superscript"/>
        </w:rPr>
        <w:t>9</w:t>
      </w:r>
      <w:proofErr w:type="gramStart"/>
      <w:r>
        <w:rPr>
          <w:vertAlign w:val="superscript"/>
        </w:rPr>
        <w:t>,10</w:t>
      </w:r>
      <w:proofErr w:type="gramEnd"/>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and the population in each grain</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p>
    <w:p w:rsidR="005A449C" w:rsidRDefault="008D5638">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Pr>
          <w:position w:val="-7"/>
        </w:rPr>
        <w:object w:dxaOrig="180" w:dyaOrig="340">
          <v:shape id="_x0000_i1030" type="#_x0000_t75" style="width:9.05pt;height:17.15pt" o:ole="" filled="t">
            <v:fill color2="black"/>
            <v:imagedata r:id="rId34" o:title=""/>
          </v:shape>
          <o:OLEObject Type="Embed" ProgID="Equation.3" ShapeID="_x0000_i1030" DrawAspect="Content" ObjectID="_1396598502" r:id="rId35"/>
        </w:objec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52EF2">
        <w:rPr>
          <w:noProof/>
        </w:rPr>
        <w:t>1</w:t>
      </w:r>
      <w:r>
        <w:fldChar w:fldCharType="end"/>
      </w:r>
    </w:p>
    <w:p w:rsidR="00F77C82" w:rsidRDefault="00F77C82">
      <w:r>
        <w:t xml:space="preserve">The first term in Eq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proofErr w:type="gramStart"/>
      <w:r>
        <w:rPr>
          <w:i/>
        </w:rPr>
        <w:t>ω</w:t>
      </w:r>
      <w:proofErr w:type="gramEnd"/>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E</w:t>
      </w:r>
      <w:r>
        <w:rPr>
          <w:vertAlign w:val="subscript"/>
        </w:rPr>
        <w:t>i</w:t>
      </w:r>
      <w:r>
        <w:t xml:space="preserve"> and 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Pr>
          <w:position w:val="-7"/>
        </w:rPr>
        <w:object w:dxaOrig="420" w:dyaOrig="380">
          <v:shape id="_x0000_i1031" type="#_x0000_t75" style="width:21pt;height:19.05pt" o:ole="" filled="t">
            <v:fill color2="black"/>
            <v:imagedata r:id="rId36" o:title=""/>
          </v:shape>
          <o:OLEObject Type="Embed" ProgID="Equation.3" ShapeID="_x0000_i1031" DrawAspect="Content" ObjectID="_1396598503" r:id="rId37"/>
        </w:object>
      </w:r>
      <w:r>
        <w:t xml:space="preserve"> is the equilibrium constant between isomer </w:t>
      </w:r>
      <w:r>
        <w:rPr>
          <w:i/>
        </w:rPr>
        <w:t>i</w:t>
      </w:r>
      <w:r>
        <w:t xml:space="preserve"> and the reactants.  </w:t>
      </w:r>
      <w:proofErr w:type="gramStart"/>
      <w:r>
        <w:rPr>
          <w:i/>
        </w:rPr>
        <w:t>Q</w:t>
      </w:r>
      <w:r>
        <w:rPr>
          <w:i/>
          <w:vertAlign w:val="subscript"/>
        </w:rPr>
        <w:t>i</w:t>
      </w:r>
      <w:r>
        <w:t>(</w:t>
      </w:r>
      <w:proofErr w:type="gramEnd"/>
      <w:r>
        <w:rPr>
          <w:i/>
        </w:rPr>
        <w:t>T</w:t>
      </w:r>
      <w:r>
        <w:t>) = ∑</w:t>
      </w:r>
      <w:r>
        <w:rPr>
          <w:i/>
        </w:rPr>
        <w:t xml:space="preserve"> ρ</w:t>
      </w:r>
      <w:r>
        <w:rPr>
          <w:i/>
          <w:vertAlign w:val="subscript"/>
        </w:rPr>
        <w:t>i</w:t>
      </w:r>
      <w:r>
        <w:t>(</w:t>
      </w:r>
      <w:r>
        <w:rPr>
          <w:i/>
        </w:rPr>
        <w:t>E</w:t>
      </w:r>
      <w:r>
        <w:rPr>
          <w:i/>
          <w:vertAlign w:val="subscript"/>
        </w:rPr>
        <w:t>i</w:t>
      </w:r>
      <w:r>
        <w:t>)</w:t>
      </w:r>
      <w:r>
        <w:rPr>
          <w:i/>
        </w:rPr>
        <w:t>e</w:t>
      </w:r>
      <w:r>
        <w:rPr>
          <w:i/>
          <w:vertAlign w:val="superscript"/>
        </w:rPr>
        <w:t>-βE</w:t>
      </w:r>
      <w:r>
        <w:t xml:space="preserve">, which is the rovibrational partition function for the molecular species corresponding to isomer </w:t>
      </w:r>
      <w:r>
        <w:rPr>
          <w:i/>
        </w:rPr>
        <w:t>i</w:t>
      </w:r>
      <w:r>
        <w:t xml:space="preserve">.  </w:t>
      </w:r>
    </w:p>
    <w:p w:rsidR="00F77C82" w:rsidRDefault="00CE39BB">
      <w:pPr>
        <w:pStyle w:val="Picture"/>
      </w:pPr>
      <w:r>
        <w:rPr>
          <w:noProof/>
          <w:lang w:eastAsia="en-GB"/>
        </w:rPr>
        <w:lastRenderedPageBreak/>
        <w:drawing>
          <wp:inline distT="0" distB="0" distL="0" distR="0">
            <wp:extent cx="6491605" cy="4741545"/>
            <wp:effectExtent l="0" t="0" r="444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l="41077" t="21140" r="5717" b="999"/>
                    <a:stretch>
                      <a:fillRect/>
                    </a:stretch>
                  </pic:blipFill>
                  <pic:spPr bwMode="auto">
                    <a:xfrm>
                      <a:off x="0" y="0"/>
                      <a:ext cx="6491605" cy="4741545"/>
                    </a:xfrm>
                    <a:prstGeom prst="rect">
                      <a:avLst/>
                    </a:prstGeom>
                    <a:solidFill>
                      <a:srgbClr val="FFFFFF"/>
                    </a:solidFill>
                    <a:ln>
                      <a:noFill/>
                    </a:ln>
                  </pic:spPr>
                </pic:pic>
              </a:graphicData>
            </a:graphic>
          </wp:inline>
        </w:drawing>
      </w:r>
    </w:p>
    <w:p w:rsidR="00F77C82" w:rsidRDefault="00F77C82">
      <w:pPr>
        <w:pStyle w:val="figurecaption"/>
      </w:pPr>
      <w:proofErr w:type="gramStart"/>
      <w:r>
        <w:t>Figure 9.</w:t>
      </w:r>
      <w:proofErr w:type="gramEnd"/>
      <w:r>
        <w:fldChar w:fldCharType="begin"/>
      </w:r>
      <w:r>
        <w:instrText xml:space="preserve"> SEQ "Figure" \*Arabic </w:instrText>
      </w:r>
      <w:r>
        <w:fldChar w:fldCharType="separate"/>
      </w:r>
      <w:r w:rsidR="00B52EF2">
        <w:rPr>
          <w:noProof/>
        </w:rPr>
        <w:t>9</w:t>
      </w:r>
      <w:r>
        <w:fldChar w:fldCharType="end"/>
      </w:r>
      <w:r>
        <w:t xml:space="preserve">: pictoral representation of Eq 1.9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1.9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52EF2">
        <w:rPr>
          <w:noProof/>
        </w:rPr>
        <w:t>2</w:t>
      </w:r>
      <w:r>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proofErr w:type="gramStart"/>
      <w:r>
        <w:t>,</w:t>
      </w:r>
      <w:r>
        <w:rPr>
          <w:vertAlign w:val="superscript"/>
        </w:rPr>
        <w:t>12</w:t>
      </w:r>
      <w:proofErr w:type="gramEnd"/>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w:t>
      </w:r>
      <w:r>
        <w:lastRenderedPageBreak/>
        <w:t xml:space="preserve">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tab/>
        <w:t>Eq. 9</w:t>
      </w:r>
      <w:r w:rsidR="00F77C82">
        <w:t xml:space="preserve">.2 is applicable for transition state dividing surfaces located at constrained geometry with a well 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F77C82">
        <w:rPr>
          <w:vertAlign w:val="superscript"/>
        </w:rPr>
        <w:t>8,13</w:t>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52EF2">
        <w:rPr>
          <w:noProof/>
        </w:rPr>
        <w:t>3</w:t>
      </w:r>
      <w:r>
        <w:fldChar w:fldCharType="end"/>
      </w:r>
    </w:p>
    <w:p w:rsidR="00F77C82" w:rsidRDefault="00F77C82">
      <w:proofErr w:type="gramStart"/>
      <w:r>
        <w:t>where</w:t>
      </w:r>
      <w:proofErr w:type="gramEnd"/>
      <w:r>
        <w:object w:dxaOrig="679" w:dyaOrig="260">
          <v:shape id="_x0000_i1032" type="#_x0000_t75" style="width:33.85pt;height:12.85pt" o:ole="" filled="t">
            <v:fill color2="black"/>
            <v:imagedata r:id="rId39" o:title=""/>
          </v:shape>
          <o:OLEObject Type="Embed" ProgID="Equation.3" ShapeID="_x0000_i1032" DrawAspect="Content" ObjectID="_1396598504" r:id="rId40"/>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w:t>
      </w:r>
      <w:r>
        <w:lastRenderedPageBreak/>
        <w:t xml:space="preserve">established.  Additionally, given the extensive use of the single exponential down model in the literature, a set of typical </w:t>
      </w:r>
      <w:r>
        <w:rPr>
          <w:position w:val="-8"/>
        </w:rPr>
        <w:object w:dxaOrig="639" w:dyaOrig="400">
          <v:shape id="_x0000_i1033" type="#_x0000_t75" style="width:31.95pt;height:20.05pt" o:ole="" filled="t">
            <v:fill color2="black"/>
            <v:imagedata r:id="rId21" o:title=""/>
          </v:shape>
          <o:OLEObject Type="Embed" ProgID="Equation.3" ShapeID="_x0000_i1033" DrawAspect="Content" ObjectID="_1396598505" r:id="rId41"/>
        </w:object>
      </w:r>
      <w:r>
        <w:t xml:space="preserve"> values has emerged.  For example, at room temperature </w:t>
      </w:r>
      <w:proofErr w:type="gramStart"/>
      <w:r>
        <w:t>He</w:t>
      </w:r>
      <w:proofErr w:type="gramEnd"/>
      <w:r>
        <w:t xml:space="preserve"> bath gas tends to have </w:t>
      </w:r>
      <w:r>
        <w:rPr>
          <w:position w:val="-8"/>
        </w:rPr>
        <w:object w:dxaOrig="639" w:dyaOrig="400">
          <v:shape id="_x0000_i1034" type="#_x0000_t75" style="width:31.95pt;height:20.05pt" o:ole="" filled="t">
            <v:fill color2="black"/>
            <v:imagedata r:id="rId21" o:title=""/>
          </v:shape>
          <o:OLEObject Type="Embed" ProgID="Equation.3" ShapeID="_x0000_i1034" DrawAspect="Content" ObjectID="_1396598506" r:id="rId42"/>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Pr>
          <w:position w:val="-8"/>
        </w:rPr>
        <w:object w:dxaOrig="639" w:dyaOrig="400">
          <v:shape id="_x0000_i1035" type="#_x0000_t75" style="width:31.95pt;height:20.05pt" o:ole="" filled="t">
            <v:fill color2="black"/>
            <v:imagedata r:id="rId21" o:title=""/>
          </v:shape>
          <o:OLEObject Type="Embed" ProgID="Equation.3" ShapeID="_x0000_i1035" DrawAspect="Content" ObjectID="_1396598507" r:id="rId43"/>
        </w:object>
      </w:r>
      <w:r>
        <w:t xml:space="preserve"> values of ~175-275 cm</w:t>
      </w:r>
      <w:r>
        <w:rPr>
          <w:vertAlign w:val="superscript"/>
        </w:rPr>
        <w:t>-1</w:t>
      </w:r>
      <w:r>
        <w:t xml:space="preserve">.  In general, </w:t>
      </w:r>
      <w:r>
        <w:rPr>
          <w:position w:val="-8"/>
        </w:rPr>
        <w:object w:dxaOrig="639" w:dyaOrig="400">
          <v:shape id="_x0000_i1036" type="#_x0000_t75" style="width:31.95pt;height:20.05pt" o:ole="" filled="t">
            <v:fill color2="black"/>
            <v:imagedata r:id="rId21" o:title=""/>
          </v:shape>
          <o:OLEObject Type="Embed" ProgID="Equation.3" ShapeID="_x0000_i1036" DrawAspect="Content" ObjectID="_1396598508" r:id="rId44"/>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w:t>
      </w:r>
      <w:proofErr w:type="gramStart"/>
      <w:r>
        <w:t>clear,</w:t>
      </w:r>
      <w:proofErr w:type="gramEnd"/>
      <w:r>
        <w:t xml:space="preserve"> although Miller suggested that this temperature dependence may correspond to rotational excitation.</w:t>
      </w:r>
      <w:r>
        <w:rPr>
          <w:vertAlign w:val="superscript"/>
        </w:rPr>
        <w:t>10</w:t>
      </w:r>
      <w:r>
        <w:t xml:space="preserve"> Classical Trajectory calculations have identified the dependence of </w:t>
      </w:r>
      <w:r>
        <w:rPr>
          <w:position w:val="-8"/>
        </w:rPr>
        <w:object w:dxaOrig="639" w:dyaOrig="400">
          <v:shape id="_x0000_i1037" type="#_x0000_t75" style="width:31.95pt;height:20.05pt" o:ole="" filled="t">
            <v:fill color2="black"/>
            <v:imagedata r:id="rId21" o:title=""/>
          </v:shape>
          <o:OLEObject Type="Embed" ProgID="Equation.3" ShapeID="_x0000_i1037" DrawAspect="Content" ObjectID="_1396598509" r:id="rId45"/>
        </w:object>
      </w:r>
      <w:r>
        <w:t xml:space="preserve"> on the angular momentum of the target molecule.  Experimentally, higher temperatures correspond to higher angular momentum states, and in the 1d ME, this is manifest as an effective increase in </w:t>
      </w:r>
      <w:r>
        <w:rPr>
          <w:position w:val="-8"/>
        </w:rPr>
        <w:object w:dxaOrig="639" w:dyaOrig="400">
          <v:shape id="_x0000_i1038" type="#_x0000_t75" style="width:31.95pt;height:20.05pt" o:ole="" filled="t">
            <v:fill color2="black"/>
            <v:imagedata r:id="rId21" o:title=""/>
          </v:shape>
          <o:OLEObject Type="Embed" ProgID="Equation.3" ShapeID="_x0000_i1038" DrawAspect="Content" ObjectID="_1396598510" r:id="rId46"/>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Pr>
          <w:vertAlign w:val="superscript"/>
        </w:rPr>
        <w:t>3</w:t>
      </w:r>
      <w:proofErr w:type="gramStart"/>
      <w:r>
        <w:rPr>
          <w:vertAlign w:val="superscript"/>
        </w:rPr>
        <w:t>,6</w:t>
      </w:r>
      <w:proofErr w:type="gramEnd"/>
    </w:p>
    <w:p w:rsidR="00F77C82" w:rsidRDefault="00F77C82">
      <w:r>
        <w:tab/>
        <w:t>The coupled stochastic differenti</w:t>
      </w:r>
      <w:r w:rsidR="005A1DA0">
        <w:t>al equations represented by Eq 9</w:t>
      </w:r>
      <w:r>
        <w:t>.1 may be reformulated as:</w:t>
      </w:r>
    </w:p>
    <w:p w:rsidR="00F77C82" w:rsidRDefault="008D5638"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52EF2">
        <w:rPr>
          <w:noProof/>
        </w:rPr>
        <w:t>4</w:t>
      </w:r>
      <w:r>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w:t>
      </w:r>
      <w:r>
        <w:lastRenderedPageBreak/>
        <w:t xml:space="preserve">each grain.  In the case where Eq 8.1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Approximating the time dependent grain populations as sums of exponential functions, and combining the eigenpair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52EF2">
        <w:rPr>
          <w:noProof/>
        </w:rPr>
        <w:t>5</w:t>
      </w:r>
      <w:r>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Pr>
          <w:vertAlign w:val="superscript"/>
        </w:rPr>
        <w:t>3,5</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w:t>
      </w:r>
      <w:proofErr w:type="gramStart"/>
      <w:r>
        <w:t xml:space="preserve">than </w:t>
      </w:r>
      <w:proofErr w:type="gramEnd"/>
      <w:r>
        <w:rPr>
          <w:position w:val="-8"/>
        </w:rPr>
        <w:object w:dxaOrig="639" w:dyaOrig="400">
          <v:shape id="_x0000_i1039" type="#_x0000_t75" style="width:31.95pt;height:20.05pt" o:ole="" filled="t">
            <v:fill color2="black"/>
            <v:imagedata r:id="rId21" o:title=""/>
          </v:shape>
          <o:OLEObject Type="Embed" ProgID="Equation.3" ShapeID="_x0000_i1039" DrawAspect="Content" ObjectID="_1396598511" r:id="rId47"/>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proofErr w:type="gramStart"/>
      <w:r>
        <w:t>,</w:t>
      </w:r>
      <w:r>
        <w:rPr>
          <w:vertAlign w:val="superscript"/>
        </w:rPr>
        <w:t>5</w:t>
      </w:r>
      <w:proofErr w:type="gramEnd"/>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Klippenstein and Miller</w:t>
      </w:r>
      <w:proofErr w:type="gramStart"/>
      <w:r>
        <w:t>,</w:t>
      </w:r>
      <w:r>
        <w:rPr>
          <w:vertAlign w:val="superscript"/>
        </w:rPr>
        <w:t>9</w:t>
      </w:r>
      <w:proofErr w:type="gramEnd"/>
      <w:r>
        <w:t xml:space="preserve"> and one by Bartis and Widom.</w:t>
      </w:r>
      <w:r>
        <w:rPr>
          <w:vertAlign w:val="superscript"/>
        </w:rPr>
        <w:t>2,17</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05" w:name="_Toc320354976"/>
      <w:r>
        <w:t>The Bimolecular Source Term</w:t>
      </w:r>
      <w:bookmarkEnd w:id="105"/>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8D5638"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8D5638"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8D5638"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8D5638"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8D5638"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8D5638"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06" w:name="_Toc320354977"/>
      <w:r w:rsidRPr="00246233">
        <w:t>Other Methods for solving the master equation</w:t>
      </w:r>
      <w:bookmarkEnd w:id="106"/>
    </w:p>
    <w:p w:rsidR="00F77C82" w:rsidRDefault="00F77C82">
      <w:pPr>
        <w:pStyle w:val="Heading3"/>
        <w:tabs>
          <w:tab w:val="left" w:pos="567"/>
        </w:tabs>
        <w:ind w:left="426" w:hanging="426"/>
      </w:pPr>
      <w:bookmarkStart w:id="107" w:name="_Toc320354978"/>
      <w:r>
        <w:t>The Reservoir State Approximation</w:t>
      </w:r>
      <w:bookmarkEnd w:id="107"/>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8D5638"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p w:rsidR="00122F37" w:rsidRDefault="008D563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8D5638"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on frequency.  Subsituting Eq. 9.14 into 9</w:t>
      </w:r>
      <w:r>
        <w:t>.13, we obtain:</w:t>
      </w:r>
    </w:p>
    <w:p w:rsidR="009B0E0F" w:rsidRDefault="008D5638"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lastRenderedPageBreak/>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r>
        <w:rPr>
          <w:i/>
        </w:rPr>
        <w:t>k</w:t>
      </w:r>
      <w:r>
        <w:rPr>
          <w:i/>
          <w:vertAlign w:val="subscript"/>
        </w:rPr>
        <w:t>a</w:t>
      </w:r>
      <w:r>
        <w:t xml:space="preserve"> may be obtained by rearranging Eq. </w:t>
      </w:r>
      <w:r w:rsidR="00422993">
        <w:t>9</w:t>
      </w:r>
      <w:r>
        <w:t>.18:</w:t>
      </w:r>
    </w:p>
    <w:p w:rsidR="00422993" w:rsidRDefault="008D5638"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08" w:name="_Toc320354979"/>
      <w:r>
        <w:t>The Contracted Basis Set Approach</w:t>
      </w:r>
      <w:bookmarkEnd w:id="108"/>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rPr>
          <w:vertAlign w:val="superscript"/>
        </w:rPr>
        <w:t>15</w:t>
      </w:r>
      <w:proofErr w:type="gramStart"/>
      <w:r>
        <w:rPr>
          <w:vertAlign w:val="superscript"/>
        </w:rPr>
        <w:t>,16</w:t>
      </w:r>
      <w:proofErr w:type="gramEnd"/>
      <w:r>
        <w:t>.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8D5638"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09" w:name="_Toc320354980"/>
      <w:r w:rsidRPr="00246233">
        <w:t>Inverse Laplace Transform</w:t>
      </w:r>
      <w:bookmarkEnd w:id="109"/>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10" w:name="_Toc320354981"/>
      <w:r>
        <w:t>Unimolecular ILT</w:t>
      </w:r>
      <w:bookmarkEnd w:id="110"/>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lastRenderedPageBreak/>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8D5638"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8D5638"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8D5638"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8D5638"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Pr>
          <w:position w:val="-4"/>
        </w:rPr>
        <w:object w:dxaOrig="580" w:dyaOrig="320">
          <v:shape id="_x0000_i1040" type="#_x0000_t75" style="width:29.1pt;height:16.2pt" o:ole="" filled="t">
            <v:fill color2="black"/>
            <v:imagedata r:id="rId48" o:title=""/>
          </v:shape>
          <o:OLEObject Type="Embed" ProgID="Equation.3" ShapeID="_x0000_i1040" DrawAspect="Content" ObjectID="_1396598512" r:id="rId49"/>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Pr>
          <w:position w:val="-6"/>
        </w:rPr>
        <w:object w:dxaOrig="300" w:dyaOrig="360">
          <v:shape id="_x0000_i1041" type="#_x0000_t75" style="width:14.8pt;height:18.1pt" o:ole="" filled="t">
            <v:fill color2="black"/>
            <v:imagedata r:id="rId50" o:title=""/>
          </v:shape>
          <o:OLEObject Type="Embed" ProgID="Equation.3" ShapeID="_x0000_i1041" DrawAspect="Content" ObjectID="_1396598513" r:id="rId51"/>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Pr="00B71696" w:rsidRDefault="008D5638" w:rsidP="00B71696">
      <w:pPr>
        <w:spacing w:line="480" w:lineRule="auto"/>
        <w:rPr>
          <w:vertAlign w:val="superscript"/>
        </w:rPr>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77C82" w:rsidRDefault="00F77C82">
      <w:pPr>
        <w:pStyle w:val="Heading3"/>
        <w:tabs>
          <w:tab w:val="left" w:pos="567"/>
        </w:tabs>
        <w:ind w:left="426" w:hanging="426"/>
      </w:pPr>
      <w:bookmarkStart w:id="111" w:name="_Toc320354982"/>
      <w:r>
        <w:t>The association ILT</w:t>
      </w:r>
      <w:bookmarkEnd w:id="111"/>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8D5638">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8D5638"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77C82" w:rsidRDefault="00F77C82">
      <w:pPr>
        <w:pStyle w:val="Equation"/>
      </w:pPr>
    </w:p>
    <w:p w:rsidR="00F77C82" w:rsidRDefault="00F77C82">
      <w:pPr>
        <w:pStyle w:val="Heading3"/>
        <w:tabs>
          <w:tab w:val="left" w:pos="567"/>
        </w:tabs>
        <w:ind w:left="426" w:hanging="426"/>
      </w:pPr>
      <w:bookmarkStart w:id="112" w:name="_Toc320354983"/>
      <w:r>
        <w:lastRenderedPageBreak/>
        <w:t>The C’ constant in MESMER ILT</w:t>
      </w:r>
      <w:bookmarkEnd w:id="112"/>
    </w:p>
    <w:p w:rsidR="00F77C82" w:rsidRDefault="00F77C82">
      <w:r>
        <w:t>The constant C’ that occurs in the MESMER implementation of ILT follows from the translational partition function,</w:t>
      </w:r>
    </w:p>
    <w:p w:rsidR="00F77C82" w:rsidRDefault="008D5638"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Pr>
          <w:position w:val="-6"/>
        </w:rPr>
        <w:object w:dxaOrig="279" w:dyaOrig="359">
          <v:shape id="_x0000_i1042" type="#_x0000_t75" style="width:14.3pt;height:18.1pt" o:ole="" filled="t">
            <v:fill color2="black"/>
            <v:imagedata r:id="rId52" o:title=""/>
          </v:shape>
          <o:OLEObject Type="Embed" ProgID="Equation.3" ShapeID="_x0000_i1042" DrawAspect="Content" ObjectID="_1396598514"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8D5638">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8D5638"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8D5638"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8D5638"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F77C82" w:rsidRDefault="00F77C82"/>
    <w:p w:rsidR="00F77C82" w:rsidRPr="00C05534" w:rsidRDefault="00F77C82" w:rsidP="00C05534">
      <w:pPr>
        <w:pStyle w:val="Heading1"/>
      </w:pPr>
      <w:bookmarkStart w:id="113" w:name="_Toc320354984"/>
      <w:r w:rsidRPr="00C05534">
        <w:lastRenderedPageBreak/>
        <w:t>References</w:t>
      </w:r>
      <w:bookmarkEnd w:id="113"/>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r>
        <w:t>Tunneling corrections to unimolecular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Robertson, S. H., Pilling, M. J., Jitariu, L. C., and Hillier, I. H.</w:t>
      </w:r>
      <w:r>
        <w:rPr>
          <w:sz w:val="20"/>
        </w:rPr>
        <w:t xml:space="preserve"> </w:t>
      </w:r>
      <w:r>
        <w:t>Master equation methods for multiple well systems: application to the 1-,2-pentyl system</w:t>
      </w:r>
      <w:r>
        <w:rPr>
          <w:sz w:val="20"/>
        </w:rPr>
        <w:t xml:space="preserve">, </w:t>
      </w:r>
      <w:r>
        <w:rPr>
          <w:i/>
        </w:rPr>
        <w:t xml:space="preserve">Phys Chem Chem Phys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r>
        <w:rPr>
          <w:i/>
        </w:rPr>
        <w:t>Unimolecular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r>
        <w:t>Klippenstein, S. J., and Miller, J. A.</w:t>
      </w:r>
      <w:r>
        <w:rPr>
          <w:sz w:val="20"/>
        </w:rPr>
        <w:t xml:space="preserve"> </w:t>
      </w:r>
      <w:proofErr w:type="gramStart"/>
      <w:r>
        <w:t>From the Time-Dependent, Multiple-Well Master Equation to Phenomenological Rate Coefficients</w:t>
      </w:r>
      <w:r>
        <w:rPr>
          <w:sz w:val="20"/>
        </w:rPr>
        <w:t xml:space="preserve">, </w:t>
      </w:r>
      <w:r>
        <w:rPr>
          <w:i/>
        </w:rPr>
        <w:t>J Phys Chem A</w:t>
      </w:r>
      <w:r>
        <w:rPr>
          <w:sz w:val="20"/>
        </w:rPr>
        <w:t xml:space="preserve">, </w:t>
      </w:r>
      <w:r>
        <w:t>106</w:t>
      </w:r>
      <w:r>
        <w:rPr>
          <w:sz w:val="20"/>
        </w:rPr>
        <w:t xml:space="preserve">, </w:t>
      </w:r>
      <w:r>
        <w:t>9267-9277</w:t>
      </w:r>
      <w:r>
        <w:rPr>
          <w:sz w:val="20"/>
        </w:rPr>
        <w:t xml:space="preserve">, </w:t>
      </w:r>
      <w:r>
        <w:t>2002</w:t>
      </w:r>
      <w:r>
        <w:rPr>
          <w:sz w:val="20"/>
        </w:rPr>
        <w:t>.</w:t>
      </w:r>
      <w:proofErr w:type="gramEnd"/>
    </w:p>
    <w:p w:rsidR="00F77C82" w:rsidRDefault="00F77C82">
      <w:pPr>
        <w:spacing w:after="0" w:line="240" w:lineRule="auto"/>
        <w:rPr>
          <w:sz w:val="20"/>
        </w:rPr>
      </w:pPr>
      <w:r>
        <w:rPr>
          <w:vertAlign w:val="superscript"/>
        </w:rPr>
        <w:t>6</w:t>
      </w:r>
      <w:r>
        <w:rPr>
          <w:vertAlign w:val="superscript"/>
        </w:rPr>
        <w:tab/>
      </w:r>
      <w:r>
        <w:t>Miller, J. A., and Klippenstein, S. J.</w:t>
      </w:r>
      <w:r>
        <w:rPr>
          <w:sz w:val="20"/>
        </w:rPr>
        <w:t xml:space="preserve"> </w:t>
      </w:r>
      <w:r>
        <w:t>Master Equation Methods in Gas Phase Chemical Kinetics</w:t>
      </w:r>
      <w:r>
        <w:rPr>
          <w:sz w:val="20"/>
        </w:rPr>
        <w:t xml:space="preserve">, </w:t>
      </w:r>
      <w:r>
        <w:rPr>
          <w:i/>
        </w:rPr>
        <w:t>J Phys Chem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Gannon, K. L., Glowacki, D. R., Blitz, M. A., Hughes, K. J., Pilling, M. J., and Seakins,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J Phys Chem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The testing of models for unimolecular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Miller, J. A., Klippenstein, S. J., and Raffy, C.</w:t>
      </w:r>
      <w:r>
        <w:rPr>
          <w:sz w:val="20"/>
        </w:rPr>
        <w:t xml:space="preserve"> </w:t>
      </w:r>
      <w:r>
        <w:t>Solution of Some One- and Two-Dimensional Master Equation Models for Thermal Dissociation: The Dissociation of Methane in the Low-Pressure Limit</w:t>
      </w:r>
      <w:r>
        <w:rPr>
          <w:sz w:val="20"/>
        </w:rPr>
        <w:t xml:space="preserve">, </w:t>
      </w:r>
      <w:r>
        <w:rPr>
          <w:i/>
        </w:rPr>
        <w:t>J Phys Chem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Theory of Unimolecular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Baer, T., and Hase, W. L.</w:t>
      </w:r>
      <w:r>
        <w:rPr>
          <w:sz w:val="20"/>
        </w:rPr>
        <w:t xml:space="preserve"> </w:t>
      </w:r>
      <w:r>
        <w:rPr>
          <w:i/>
        </w:rPr>
        <w:t>Unimolecular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Robertson, S. H., Pilling, M. J., Baulch,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Green, N. J. B., and Bhatti,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r>
        <w:t>Bartis, J. T., and Widom, B.</w:t>
      </w:r>
      <w:r>
        <w:rPr>
          <w:sz w:val="20"/>
        </w:rPr>
        <w:t xml:space="preserve"> </w:t>
      </w:r>
      <w:r>
        <w:t>Stochastic models of the interconversion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198" w:rsidRDefault="00CE6198">
      <w:pPr>
        <w:spacing w:after="0" w:line="240" w:lineRule="auto"/>
      </w:pPr>
      <w:r>
        <w:separator/>
      </w:r>
    </w:p>
  </w:endnote>
  <w:endnote w:type="continuationSeparator" w:id="0">
    <w:p w:rsidR="00CE6198" w:rsidRDefault="00CE6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638" w:rsidRDefault="008D5638">
    <w:pPr>
      <w:pStyle w:val="Footer"/>
      <w:jc w:val="center"/>
    </w:pPr>
    <w:r>
      <w:fldChar w:fldCharType="begin"/>
    </w:r>
    <w:r>
      <w:instrText xml:space="preserve"> PAGE   \* MERGEFORMAT </w:instrText>
    </w:r>
    <w:r>
      <w:fldChar w:fldCharType="separate"/>
    </w:r>
    <w:r w:rsidR="00B52EF2">
      <w:rPr>
        <w:noProof/>
      </w:rPr>
      <w:t>68</w:t>
    </w:r>
    <w:r>
      <w:fldChar w:fldCharType="end"/>
    </w:r>
  </w:p>
  <w:p w:rsidR="008D5638" w:rsidRDefault="008D563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198" w:rsidRDefault="00CE6198">
      <w:pPr>
        <w:spacing w:after="0" w:line="240" w:lineRule="auto"/>
      </w:pPr>
      <w:r>
        <w:separator/>
      </w:r>
    </w:p>
  </w:footnote>
  <w:footnote w:type="continuationSeparator" w:id="0">
    <w:p w:rsidR="00CE6198" w:rsidRDefault="00CE6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2"/>
  </w:num>
  <w:num w:numId="19">
    <w:abstractNumId w:val="21"/>
  </w:num>
  <w:num w:numId="20">
    <w:abstractNumId w:val="15"/>
  </w:num>
  <w:num w:numId="21">
    <w:abstractNumId w:val="16"/>
  </w:num>
  <w:num w:numId="22">
    <w:abstractNumId w:val="20"/>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82"/>
    <w:rsid w:val="00010614"/>
    <w:rsid w:val="00017E13"/>
    <w:rsid w:val="00026565"/>
    <w:rsid w:val="00027D2E"/>
    <w:rsid w:val="000464D2"/>
    <w:rsid w:val="00087B6E"/>
    <w:rsid w:val="000924F8"/>
    <w:rsid w:val="00095D39"/>
    <w:rsid w:val="000B6CF0"/>
    <w:rsid w:val="00122F37"/>
    <w:rsid w:val="001235ED"/>
    <w:rsid w:val="001578F4"/>
    <w:rsid w:val="0017255D"/>
    <w:rsid w:val="001943CB"/>
    <w:rsid w:val="001A0D52"/>
    <w:rsid w:val="001A498E"/>
    <w:rsid w:val="001B13F5"/>
    <w:rsid w:val="001C12F6"/>
    <w:rsid w:val="001C497D"/>
    <w:rsid w:val="001E0ECA"/>
    <w:rsid w:val="00205836"/>
    <w:rsid w:val="0021113E"/>
    <w:rsid w:val="00212854"/>
    <w:rsid w:val="00214872"/>
    <w:rsid w:val="00221731"/>
    <w:rsid w:val="00246233"/>
    <w:rsid w:val="0027039C"/>
    <w:rsid w:val="00287E6B"/>
    <w:rsid w:val="002D3D77"/>
    <w:rsid w:val="002F26A2"/>
    <w:rsid w:val="002F768F"/>
    <w:rsid w:val="00300D1D"/>
    <w:rsid w:val="0030259A"/>
    <w:rsid w:val="003078F8"/>
    <w:rsid w:val="003252EC"/>
    <w:rsid w:val="00340717"/>
    <w:rsid w:val="00352112"/>
    <w:rsid w:val="00386A56"/>
    <w:rsid w:val="003A4E4A"/>
    <w:rsid w:val="003B7B1C"/>
    <w:rsid w:val="003C4843"/>
    <w:rsid w:val="0040052E"/>
    <w:rsid w:val="00402612"/>
    <w:rsid w:val="00422993"/>
    <w:rsid w:val="004320C9"/>
    <w:rsid w:val="004335F4"/>
    <w:rsid w:val="004346A8"/>
    <w:rsid w:val="00434A2E"/>
    <w:rsid w:val="00442A34"/>
    <w:rsid w:val="00443A7F"/>
    <w:rsid w:val="00447BBD"/>
    <w:rsid w:val="0045154C"/>
    <w:rsid w:val="00474AAC"/>
    <w:rsid w:val="00477DDC"/>
    <w:rsid w:val="00497035"/>
    <w:rsid w:val="004C2B71"/>
    <w:rsid w:val="00501A40"/>
    <w:rsid w:val="00516143"/>
    <w:rsid w:val="005A1DA0"/>
    <w:rsid w:val="005A449C"/>
    <w:rsid w:val="005A60C1"/>
    <w:rsid w:val="005D4F98"/>
    <w:rsid w:val="005D50CD"/>
    <w:rsid w:val="005E02A9"/>
    <w:rsid w:val="005F79FF"/>
    <w:rsid w:val="00613AE5"/>
    <w:rsid w:val="006169C1"/>
    <w:rsid w:val="00632F57"/>
    <w:rsid w:val="006422AF"/>
    <w:rsid w:val="00660BF5"/>
    <w:rsid w:val="00663AFB"/>
    <w:rsid w:val="0066515D"/>
    <w:rsid w:val="00684CEF"/>
    <w:rsid w:val="006D48A8"/>
    <w:rsid w:val="006D63C2"/>
    <w:rsid w:val="006D776A"/>
    <w:rsid w:val="007101F6"/>
    <w:rsid w:val="00722ADA"/>
    <w:rsid w:val="00727400"/>
    <w:rsid w:val="00741A41"/>
    <w:rsid w:val="007601ED"/>
    <w:rsid w:val="007638D9"/>
    <w:rsid w:val="007800CB"/>
    <w:rsid w:val="007920C2"/>
    <w:rsid w:val="007927AE"/>
    <w:rsid w:val="007C4745"/>
    <w:rsid w:val="007C7E97"/>
    <w:rsid w:val="007D131B"/>
    <w:rsid w:val="007D1F59"/>
    <w:rsid w:val="007D4542"/>
    <w:rsid w:val="008012E2"/>
    <w:rsid w:val="00803927"/>
    <w:rsid w:val="0080488F"/>
    <w:rsid w:val="00805129"/>
    <w:rsid w:val="008053F7"/>
    <w:rsid w:val="008208AC"/>
    <w:rsid w:val="00824510"/>
    <w:rsid w:val="00827889"/>
    <w:rsid w:val="00836798"/>
    <w:rsid w:val="00841AF7"/>
    <w:rsid w:val="00842ED7"/>
    <w:rsid w:val="00856DF0"/>
    <w:rsid w:val="00892657"/>
    <w:rsid w:val="008A0783"/>
    <w:rsid w:val="008D2167"/>
    <w:rsid w:val="008D48D8"/>
    <w:rsid w:val="008D5638"/>
    <w:rsid w:val="008E3A8A"/>
    <w:rsid w:val="008E4EDA"/>
    <w:rsid w:val="00906F0C"/>
    <w:rsid w:val="00937259"/>
    <w:rsid w:val="009456D7"/>
    <w:rsid w:val="00957D75"/>
    <w:rsid w:val="0097132C"/>
    <w:rsid w:val="00975775"/>
    <w:rsid w:val="00977785"/>
    <w:rsid w:val="009B0E0F"/>
    <w:rsid w:val="009B542A"/>
    <w:rsid w:val="009C3F80"/>
    <w:rsid w:val="009F3CF0"/>
    <w:rsid w:val="00A200E0"/>
    <w:rsid w:val="00A2172F"/>
    <w:rsid w:val="00A22933"/>
    <w:rsid w:val="00A57585"/>
    <w:rsid w:val="00A61955"/>
    <w:rsid w:val="00A84A4B"/>
    <w:rsid w:val="00A85A40"/>
    <w:rsid w:val="00A901D0"/>
    <w:rsid w:val="00AA7B09"/>
    <w:rsid w:val="00AB6E94"/>
    <w:rsid w:val="00AB7DA3"/>
    <w:rsid w:val="00AD2F89"/>
    <w:rsid w:val="00AD393F"/>
    <w:rsid w:val="00AE137C"/>
    <w:rsid w:val="00AF1548"/>
    <w:rsid w:val="00B13E18"/>
    <w:rsid w:val="00B17EF3"/>
    <w:rsid w:val="00B20A6A"/>
    <w:rsid w:val="00B52EF2"/>
    <w:rsid w:val="00B71696"/>
    <w:rsid w:val="00B76DDE"/>
    <w:rsid w:val="00B95DAF"/>
    <w:rsid w:val="00BB00F5"/>
    <w:rsid w:val="00BC3B2E"/>
    <w:rsid w:val="00BD148F"/>
    <w:rsid w:val="00BE347D"/>
    <w:rsid w:val="00BF6674"/>
    <w:rsid w:val="00C05534"/>
    <w:rsid w:val="00C05B60"/>
    <w:rsid w:val="00C068DF"/>
    <w:rsid w:val="00C108A6"/>
    <w:rsid w:val="00C432DD"/>
    <w:rsid w:val="00C449D3"/>
    <w:rsid w:val="00C468E7"/>
    <w:rsid w:val="00C47473"/>
    <w:rsid w:val="00C75899"/>
    <w:rsid w:val="00C8628D"/>
    <w:rsid w:val="00CB190A"/>
    <w:rsid w:val="00CB34D3"/>
    <w:rsid w:val="00CC06FF"/>
    <w:rsid w:val="00CE39BB"/>
    <w:rsid w:val="00CE6198"/>
    <w:rsid w:val="00CF56B5"/>
    <w:rsid w:val="00D054E4"/>
    <w:rsid w:val="00D05AD3"/>
    <w:rsid w:val="00D2070E"/>
    <w:rsid w:val="00D405E1"/>
    <w:rsid w:val="00D42D0D"/>
    <w:rsid w:val="00D434D8"/>
    <w:rsid w:val="00D468C5"/>
    <w:rsid w:val="00D54CA1"/>
    <w:rsid w:val="00D81CBA"/>
    <w:rsid w:val="00D93E24"/>
    <w:rsid w:val="00DD0349"/>
    <w:rsid w:val="00DD637D"/>
    <w:rsid w:val="00DF40FB"/>
    <w:rsid w:val="00DF6120"/>
    <w:rsid w:val="00E06B9B"/>
    <w:rsid w:val="00E26934"/>
    <w:rsid w:val="00E270D3"/>
    <w:rsid w:val="00E33A21"/>
    <w:rsid w:val="00E41937"/>
    <w:rsid w:val="00E865FC"/>
    <w:rsid w:val="00E93FDE"/>
    <w:rsid w:val="00E94A1E"/>
    <w:rsid w:val="00ED54A9"/>
    <w:rsid w:val="00EE0E9B"/>
    <w:rsid w:val="00EE5FF8"/>
    <w:rsid w:val="00F03646"/>
    <w:rsid w:val="00F05E2E"/>
    <w:rsid w:val="00F15045"/>
    <w:rsid w:val="00F23CAD"/>
    <w:rsid w:val="00F23F98"/>
    <w:rsid w:val="00F300F1"/>
    <w:rsid w:val="00F40314"/>
    <w:rsid w:val="00F5367C"/>
    <w:rsid w:val="00F55D3B"/>
    <w:rsid w:val="00F66AB7"/>
    <w:rsid w:val="00F73850"/>
    <w:rsid w:val="00F77C82"/>
    <w:rsid w:val="00FB56A4"/>
    <w:rsid w:val="00FC0DA0"/>
    <w:rsid w:val="00FE064E"/>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smer.svn.sourceforge.net/viewvc/mesmer/trunk/" TargetMode="External"/><Relationship Id="rId18" Type="http://schemas.openxmlformats.org/officeDocument/2006/relationships/hyperlink" Target="http://sourceforge.net/project/showfiles.php?group_id=51361" TargetMode="External"/><Relationship Id="rId26" Type="http://schemas.openxmlformats.org/officeDocument/2006/relationships/image" Target="media/image6.png"/><Relationship Id="rId39" Type="http://schemas.openxmlformats.org/officeDocument/2006/relationships/image" Target="media/image16.wmf"/><Relationship Id="rId21" Type="http://schemas.openxmlformats.org/officeDocument/2006/relationships/image" Target="media/image4.wmf"/><Relationship Id="rId34" Type="http://schemas.openxmlformats.org/officeDocument/2006/relationships/image" Target="media/image13.wmf"/><Relationship Id="rId42" Type="http://schemas.openxmlformats.org/officeDocument/2006/relationships/oleObject" Target="embeddings/oleObject10.bin"/><Relationship Id="rId47" Type="http://schemas.openxmlformats.org/officeDocument/2006/relationships/oleObject" Target="embeddings/oleObject15.bin"/><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urceforge.net/projects/mesmer/" TargetMode="External"/><Relationship Id="rId17" Type="http://schemas.openxmlformats.org/officeDocument/2006/relationships/hyperlink" Target="http://sourceforge.net/projects/openbabel/"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5.emf"/><Relationship Id="rId46"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image" Target="media/image9.png"/><Relationship Id="rId41" Type="http://schemas.openxmlformats.org/officeDocument/2006/relationships/oleObject" Target="embeddings/oleObject9.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flourish.org/cinclude2dot/" TargetMode="External"/><Relationship Id="rId32" Type="http://schemas.openxmlformats.org/officeDocument/2006/relationships/oleObject" Target="embeddings/oleObject5.bin"/><Relationship Id="rId37" Type="http://schemas.openxmlformats.org/officeDocument/2006/relationships/oleObject" Target="embeddings/oleObject7.bin"/><Relationship Id="rId40" Type="http://schemas.openxmlformats.org/officeDocument/2006/relationships/oleObject" Target="embeddings/oleObject8.bin"/><Relationship Id="rId45" Type="http://schemas.openxmlformats.org/officeDocument/2006/relationships/oleObject" Target="embeddings/oleObject13.bin"/><Relationship Id="rId53" Type="http://schemas.openxmlformats.org/officeDocument/2006/relationships/oleObject" Target="embeddings/oleObject18.bin"/><Relationship Id="rId5" Type="http://schemas.openxmlformats.org/officeDocument/2006/relationships/settings" Target="settings.xml"/><Relationship Id="rId15" Type="http://schemas.openxmlformats.org/officeDocument/2006/relationships/hyperlink" Target="http://crd.lbl.gov/~dhbailey/mpdist/" TargetMode="External"/><Relationship Id="rId23" Type="http://schemas.openxmlformats.org/officeDocument/2006/relationships/oleObject" Target="embeddings/oleObject4.bin"/><Relationship Id="rId28" Type="http://schemas.openxmlformats.org/officeDocument/2006/relationships/image" Target="media/image8.png"/><Relationship Id="rId36" Type="http://schemas.openxmlformats.org/officeDocument/2006/relationships/image" Target="media/image14.wmf"/><Relationship Id="rId49" Type="http://schemas.openxmlformats.org/officeDocument/2006/relationships/oleObject" Target="embeddings/oleObject16.bin"/><Relationship Id="rId10" Type="http://schemas.openxmlformats.org/officeDocument/2006/relationships/image" Target="media/image1.wmf"/><Relationship Id="rId19" Type="http://schemas.openxmlformats.org/officeDocument/2006/relationships/image" Target="media/image3.wmf"/><Relationship Id="rId31" Type="http://schemas.openxmlformats.org/officeDocument/2006/relationships/image" Target="media/image11.wmf"/><Relationship Id="rId44" Type="http://schemas.openxmlformats.org/officeDocument/2006/relationships/oleObject" Target="embeddings/oleObject12.bin"/><Relationship Id="rId52" Type="http://schemas.openxmlformats.org/officeDocument/2006/relationships/image" Target="media/image19.w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mesmer.svn.sourceforge.net/viewvc/mesmer/tags/Release_1.0" TargetMode="Externa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17.wmf"/><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FD153-E341-42C1-8508-0D9B2EEE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740</TotalTime>
  <Pages>1</Pages>
  <Words>23158</Words>
  <Characters>132006</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TOSHIBA</Company>
  <LinksUpToDate>false</LinksUpToDate>
  <CharactersWithSpaces>154855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dave glowacki</dc:creator>
  <dc:description>For Word for Windows 6.0_x000d_
Uses styles to conform to Leeds University regulations.</dc:description>
  <cp:lastModifiedBy>Struan Robertson</cp:lastModifiedBy>
  <cp:revision>63</cp:revision>
  <cp:lastPrinted>2012-04-22T10:11:00Z</cp:lastPrinted>
  <dcterms:created xsi:type="dcterms:W3CDTF">2012-02-04T21:08:00Z</dcterms:created>
  <dcterms:modified xsi:type="dcterms:W3CDTF">2012-04-22T10:13:00Z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