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DC6703">
        <w:rPr>
          <w:noProof/>
        </w:rPr>
        <w:t>19 October 2014</w:t>
      </w:r>
      <w:r w:rsidR="007A15CE">
        <w:fldChar w:fldCharType="end"/>
      </w:r>
    </w:p>
    <w:p w:rsidR="00F77C82" w:rsidRPr="00C05534" w:rsidRDefault="00F77C82" w:rsidP="00C05534">
      <w:pPr>
        <w:pStyle w:val="Heading1"/>
      </w:pPr>
      <w:bookmarkStart w:id="1" w:name="_Toc381438813"/>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381438814"/>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381438815"/>
      <w:r w:rsidRPr="00C05534">
        <w:lastRenderedPageBreak/>
        <w:t>Contents</w:t>
      </w:r>
      <w:bookmarkEnd w:id="3"/>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DC6703">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DC6703">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DC6703">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DC6703">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DC6703">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DC6703">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DC6703">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DC6703">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DC6703">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DC6703">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DC6703">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DC6703">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DC6703">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DC6703">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DC6703">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DC6703">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DC6703">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DC6703">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DC6703">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DC6703">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DC6703">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DC6703">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DC6703">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DC6703">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DC6703">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DC6703">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DC6703">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DC6703">
        <w:rPr>
          <w:noProof/>
        </w:rPr>
        <w:t>38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DC6703">
        <w:rPr>
          <w:noProof/>
        </w:rPr>
        <w:t>39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DC6703">
        <w:rPr>
          <w:noProof/>
        </w:rPr>
        <w:t>43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DC6703">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DC6703">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DC6703">
        <w:rPr>
          <w:noProof/>
        </w:rPr>
        <w:t>46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DC6703">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DC6703">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DC6703">
        <w:rPr>
          <w:noProof/>
        </w:rPr>
        <w:t>49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DC6703">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DC6703">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DC6703">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DC6703">
        <w:rPr>
          <w:noProof/>
        </w:rPr>
        <w:t>53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DC6703">
        <w:rPr>
          <w:noProof/>
        </w:rPr>
        <w:t>55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DC6703">
        <w:rPr>
          <w:noProof/>
        </w:rPr>
        <w:t>55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DC6703">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DC6703">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DC6703">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DC6703">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DC6703">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DC6703">
        <w:rPr>
          <w:noProof/>
        </w:rPr>
        <w:t>58</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DC6703">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DC6703">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DC6703">
        <w:rPr>
          <w:noProof/>
        </w:rPr>
        <w:t>61</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DC6703">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DC6703">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DC6703">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DC6703">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DC6703">
        <w:rPr>
          <w:noProof/>
        </w:rPr>
        <w:t>65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DC6703">
        <w:rPr>
          <w:noProof/>
        </w:rPr>
        <w:t>65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DC6703">
        <w:rPr>
          <w:noProof/>
        </w:rPr>
        <w:t>66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DC6703">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DC6703">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DC6703">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DC6703">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DC6703">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DC6703">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DC6703">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DC6703">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DC6703">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DC6703">
        <w:rPr>
          <w:noProof/>
        </w:rPr>
        <w:t>72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DC6703">
        <w:rPr>
          <w:noProof/>
        </w:rPr>
        <w:t>73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DC6703">
        <w:rPr>
          <w:noProof/>
        </w:rPr>
        <w:t>76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DC6703">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DC6703">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DC6703">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DC6703">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DC6703">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DC6703">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DC6703">
        <w:rPr>
          <w:noProof/>
        </w:rPr>
        <w:t>78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DC6703">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DC6703">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DC6703">
        <w:rPr>
          <w:noProof/>
        </w:rPr>
        <w:t>81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DC6703">
        <w:rPr>
          <w:noProof/>
        </w:rPr>
        <w:t>83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DC6703">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DC6703">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DC6703">
        <w:rPr>
          <w:noProof/>
        </w:rPr>
        <w:t>89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DC6703">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DC6703">
        <w:rPr>
          <w:noProof/>
        </w:rPr>
        <w:t>91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DC6703">
        <w:rPr>
          <w:noProof/>
        </w:rPr>
        <w:t>94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DC6703">
        <w:rPr>
          <w:noProof/>
        </w:rPr>
        <w:t>94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DC6703">
        <w:rPr>
          <w:noProof/>
        </w:rPr>
        <w:t>100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DC6703">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DC6703">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DC6703">
        <w:rPr>
          <w:noProof/>
        </w:rPr>
        <w:t>104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DC6703">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DC6703">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DC6703">
        <w:rPr>
          <w:noProof/>
        </w:rPr>
        <w:t>107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DC6703">
        <w:rPr>
          <w:noProof/>
        </w:rPr>
        <w:t>107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DC6703">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DC6703">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DC6703">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DC6703">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DC6703">
        <w:rPr>
          <w:noProof/>
        </w:rPr>
        <w:t>110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DC6703">
        <w:rPr>
          <w:noProof/>
        </w:rPr>
        <w:t>110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DC6703">
        <w:rPr>
          <w:noProof/>
        </w:rPr>
        <w:t>111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81438816"/>
      <w:r w:rsidRPr="00C05534">
        <w:lastRenderedPageBreak/>
        <w:t xml:space="preserve">What’s New in MESMER </w:t>
      </w:r>
      <w:r w:rsidR="00F9060D">
        <w:t>4</w:t>
      </w:r>
      <w:r w:rsidRPr="00C05534">
        <w:t>.0</w:t>
      </w:r>
      <w:bookmarkEnd w:id="4"/>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DC6703">
        <w:t>11.2.3</w:t>
      </w:r>
      <w:r w:rsidR="00EF0793">
        <w:fldChar w:fldCharType="end"/>
      </w:r>
      <w:r>
        <w:t>).</w:t>
      </w:r>
    </w:p>
    <w:p w:rsidR="00CB4878" w:rsidRDefault="00CB4878" w:rsidP="00812945">
      <w:pPr>
        <w:numPr>
          <w:ilvl w:val="0"/>
          <w:numId w:val="3"/>
        </w:numPr>
        <w:ind w:left="357" w:firstLine="0"/>
      </w:pPr>
      <w:r>
        <w:t>Multiple control blocks.</w:t>
      </w:r>
    </w:p>
    <w:p w:rsidR="00C1136A" w:rsidRDefault="00C1136A" w:rsidP="00812945">
      <w:pPr>
        <w:numPr>
          <w:ilvl w:val="0"/>
          <w:numId w:val="3"/>
        </w:numPr>
        <w:ind w:left="357" w:firstLine="0"/>
      </w:pPr>
      <w:r>
        <w:t>New bimolecular reaction type.</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143881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143881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143881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0829DB"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381438820"/>
      <w:r>
        <w:t>Windows</w:t>
      </w:r>
      <w:bookmarkEnd w:id="8"/>
    </w:p>
    <w:p w:rsidR="00F77C82" w:rsidRDefault="00F77C82" w:rsidP="00C05534">
      <w:pPr>
        <w:pStyle w:val="Heading3"/>
      </w:pPr>
      <w:bookmarkStart w:id="9" w:name="_Toc38143882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1438822"/>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C6703">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0829DB">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0829DB">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143882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C6703">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143882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143882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143882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C6703">
        <w:t>7.3.1</w:t>
      </w:r>
      <w:r>
        <w:fldChar w:fldCharType="end"/>
      </w:r>
      <w:r>
        <w:t xml:space="preserve">. </w:t>
      </w:r>
    </w:p>
    <w:p w:rsidR="00F77C82" w:rsidRDefault="00F77C82" w:rsidP="00E41937">
      <w:pPr>
        <w:pStyle w:val="Heading3"/>
      </w:pPr>
      <w:bookmarkStart w:id="16" w:name="_Toc38143882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143882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143882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C6703">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143883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143883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38143883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1438833"/>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C6703" w:rsidRPr="00592261">
        <w:t>Figure 2</w:t>
      </w:r>
      <w:r w:rsidR="00DC6703" w:rsidRPr="00DC6703">
        <w:rPr>
          <w:b/>
        </w:rPr>
        <w:t>:</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1438834"/>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1438835"/>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1438836"/>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DC6703">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C6703">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C1136A">
            <w:pPr>
              <w:pStyle w:val="tabletext"/>
              <w:snapToGrid w:val="0"/>
              <w:rPr>
                <w:sz w:val="20"/>
                <w:szCs w:val="20"/>
              </w:rPr>
            </w:pPr>
            <w:r>
              <w:rPr>
                <w:sz w:val="20"/>
                <w:szCs w:val="20"/>
              </w:rPr>
              <w:t>cm-1</w:t>
            </w:r>
            <w:r w:rsidR="00C1136A">
              <w:rPr>
                <w:sz w:val="20"/>
                <w:szCs w:val="20"/>
              </w:rPr>
              <w:t xml:space="preserve"> </w:t>
            </w:r>
            <w:r w:rsidR="00C1136A" w:rsidRPr="00C1136A">
              <w:rPr>
                <w:rFonts w:ascii="Times New Roman" w:hAnsi="Times New Roman" w:cs="Times New Roman"/>
                <w:color w:val="auto"/>
                <w:sz w:val="20"/>
                <w:szCs w:val="20"/>
              </w:rPr>
              <w:t>or</w:t>
            </w:r>
            <w:r w:rsidR="00C1136A">
              <w:rPr>
                <w:sz w:val="20"/>
                <w:szCs w:val="20"/>
              </w:rPr>
              <w:t xml:space="preserve"> amuA^2</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C6703">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DC6703">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1438837"/>
      <w:r>
        <w:lastRenderedPageBreak/>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 name="TextBox 16"/>
                        <wps:cNvSpPr txBox="1"/>
                        <wps:spPr>
                          <a:xfrm>
                            <a:off x="2914657" y="1569492"/>
                            <a:ext cx="1070240" cy="525780"/>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36" name="TextBox 24"/>
                        <wps:cNvSpPr txBox="1"/>
                        <wps:spPr>
                          <a:xfrm>
                            <a:off x="1123953" y="4306108"/>
                            <a:ext cx="702310"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38" name="TextBox 26"/>
                        <wps:cNvSpPr txBox="1"/>
                        <wps:spPr>
                          <a:xfrm>
                            <a:off x="1631937" y="3817646"/>
                            <a:ext cx="687705"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0" name="TextBox 28"/>
                        <wps:cNvSpPr txBox="1"/>
                        <wps:spPr>
                          <a:xfrm>
                            <a:off x="2395820" y="3068296"/>
                            <a:ext cx="790575"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3" name="TextBox 32"/>
                        <wps:cNvSpPr txBox="1"/>
                        <wps:spPr>
                          <a:xfrm>
                            <a:off x="4499200" y="4362624"/>
                            <a:ext cx="751840"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7" name="TextBox 35"/>
                        <wps:cNvSpPr txBox="1"/>
                        <wps:spPr>
                          <a:xfrm>
                            <a:off x="5507708" y="3714890"/>
                            <a:ext cx="840105"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55C7C" w:rsidRDefault="00355C7C"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55C7C" w:rsidRDefault="00355C7C"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55C7C" w:rsidRDefault="00355C7C"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55C7C" w:rsidRDefault="00355C7C"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55C7C" w:rsidRDefault="00355C7C"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55C7C" w:rsidRDefault="00355C7C"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55C7C" w:rsidRDefault="00355C7C"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55C7C" w:rsidRDefault="00355C7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55C7C" w:rsidRDefault="00355C7C"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55C7C" w:rsidRDefault="00355C7C"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55C7C" w:rsidRDefault="00355C7C"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55C7C" w:rsidRDefault="00355C7C"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55C7C" w:rsidRDefault="00355C7C"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55C7C" w:rsidRDefault="00355C7C"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1438838"/>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0829DB"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8" w:name="_Ref313049784"/>
      <w:bookmarkStart w:id="39" w:name="_Toc381438839"/>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C6703">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w:t>
      </w:r>
      <w:r>
        <w:lastRenderedPageBreak/>
        <w:t>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1438840"/>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C6703">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w:t>
      </w:r>
      <w:r>
        <w:lastRenderedPageBreak/>
        <w:t xml:space="preserve">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1438841"/>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lastRenderedPageBreak/>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lastRenderedPageBreak/>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143884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0829DB">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143884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143884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143884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DC6703">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143884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C6703">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0829DB"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143884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143884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143884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1438850"/>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143885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0829DB"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0829DB"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0829DB"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0829DB"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0829DB">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0829DB"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0829DB">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1438852"/>
      <w:r>
        <w:lastRenderedPageBreak/>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C6703">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C6703">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C6703">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14388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14388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14388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14388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1438857"/>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14388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0829DB"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0829DB"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14388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0829DB"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14388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0829DB"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14388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143886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14388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C6703">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Currently, it is necessary to use Firefox 3.</w:t>
      </w:r>
      <w:r w:rsidR="00B42BCE">
        <w:t>,</w:t>
      </w:r>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DC6703">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0" w:name="_Toc38143886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38143886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143886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1438867"/>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143886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143886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143887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143887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1438872"/>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1438873"/>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C6703">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381438874"/>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143887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143887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1438878"/>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38143887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75253921"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143888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143888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143888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381438883"/>
      <w:bookmarkStart w:id="94" w:name="_Ref277428806"/>
      <w:bookmarkStart w:id="95" w:name="_Ref277416966"/>
      <w:r w:rsidRPr="00246233">
        <w:t>Data Access</w:t>
      </w:r>
      <w:bookmarkEnd w:id="9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143888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7" w:name="_Toc38143888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143888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143888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143888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143889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1438891"/>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DC6703">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1438892"/>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0829DB"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1438893"/>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B7529">
            <w:pPr>
              <w:rPr>
                <w:b/>
              </w:rPr>
            </w:pPr>
            <w:r>
              <w:t>(11.3)</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B7529">
            <w:pPr>
              <w:rPr>
                <w:b/>
              </w:rPr>
            </w:pPr>
            <w:r>
              <w:t>(11.</w:t>
            </w:r>
            <w:r w:rsidR="009B7529">
              <w:t>4</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B7529">
            <w:pPr>
              <w:rPr>
                <w:b/>
              </w:rPr>
            </w:pPr>
            <w:r>
              <w:t>(11.</w:t>
            </w:r>
            <w:r w:rsidR="009B7529">
              <w:t>5</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B7529">
            <w:pPr>
              <w:rPr>
                <w:b/>
              </w:rPr>
            </w:pPr>
            <w:r>
              <w:t>(11.</w:t>
            </w:r>
            <w:r w:rsidR="009B7529">
              <w:t>6</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B7529">
            <w:pPr>
              <w:rPr>
                <w:b/>
              </w:rPr>
            </w:pPr>
            <w:r>
              <w:t>(11.</w:t>
            </w:r>
            <w:r w:rsidR="009B7529">
              <w:t>7</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0829DB"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B7529">
            <w:pPr>
              <w:rPr>
                <w:b/>
              </w:rPr>
            </w:pPr>
            <w:r>
              <w:t>(11.</w:t>
            </w:r>
            <w:r w:rsidR="009B7529">
              <w:t>8</w:t>
            </w:r>
            <w:r>
              <w:t>)</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1438894"/>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1438895"/>
      <w:r>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1438896"/>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5" w:name="_Ref345774704"/>
      <w:bookmarkStart w:id="116" w:name="_Toc38143889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9B7529">
              <w:t>9</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0829DB"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B7529">
            <w:pPr>
              <w:rPr>
                <w:b/>
              </w:rPr>
            </w:pPr>
            <w:r>
              <w:t>(11.</w:t>
            </w:r>
            <w:r w:rsidR="009B7529">
              <w:t>10</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0829DB"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B7529">
            <w:pPr>
              <w:rPr>
                <w:b/>
              </w:rPr>
            </w:pPr>
            <w:r>
              <w:t>(11.</w:t>
            </w:r>
            <w:r w:rsidR="009B7529">
              <w:t>11</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C6703">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DC6703">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C6703">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75253922"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0829DB"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75253923"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8" type="#_x0000_t75" style="width:32.85pt;height:12.65pt" o:ole="" filled="t">
            <v:fill color2="black"/>
            <v:imagedata r:id="rId44" o:title=""/>
          </v:shape>
          <o:OLEObject Type="Embed" ProgID="Equation.3" ShapeID="_x0000_i1028" DrawAspect="Content" ObjectID="_1475253924"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0829DB"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0829DB"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0829DB"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0829DB"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0829DB">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0829DB"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75253925"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0829DB"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0829DB"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C6703">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C6703">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C6703">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C6703">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DC6703">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C6703">
        <w:t>7.3.1</w:t>
      </w:r>
      <w:r>
        <w:fldChar w:fldCharType="end"/>
      </w:r>
      <w:r>
        <w:fldChar w:fldCharType="begin"/>
      </w:r>
      <w:r>
        <w:instrText xml:space="preserve"> REF _Ref353724732 \r \h </w:instrText>
      </w:r>
      <w:r>
        <w:fldChar w:fldCharType="separate"/>
      </w:r>
      <w:r w:rsidR="00DC6703">
        <w:t>(5)</w:t>
      </w:r>
      <w:r>
        <w:fldChar w:fldCharType="end"/>
      </w:r>
      <w:r>
        <w:t xml:space="preserve"> and </w:t>
      </w:r>
      <w:r>
        <w:fldChar w:fldCharType="begin"/>
      </w:r>
      <w:r>
        <w:instrText xml:space="preserve"> REF _Ref345764698 \r \h </w:instrText>
      </w:r>
      <w:r>
        <w:fldChar w:fldCharType="separate"/>
      </w:r>
      <w:r w:rsidR="00DC6703">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C6703">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DC6703">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C6703">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9DB" w:rsidRDefault="000829DB">
      <w:pPr>
        <w:spacing w:after="0" w:line="240" w:lineRule="auto"/>
      </w:pPr>
      <w:r>
        <w:separator/>
      </w:r>
    </w:p>
  </w:endnote>
  <w:endnote w:type="continuationSeparator" w:id="0">
    <w:p w:rsidR="000829DB" w:rsidRDefault="0008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C7C" w:rsidRDefault="00355C7C">
    <w:pPr>
      <w:pStyle w:val="Footer"/>
      <w:jc w:val="center"/>
    </w:pPr>
    <w:r>
      <w:fldChar w:fldCharType="begin"/>
    </w:r>
    <w:r>
      <w:instrText xml:space="preserve"> PAGE   \* MERGEFORMAT </w:instrText>
    </w:r>
    <w:r>
      <w:fldChar w:fldCharType="separate"/>
    </w:r>
    <w:r w:rsidR="00DC6703">
      <w:rPr>
        <w:noProof/>
      </w:rPr>
      <w:t>22</w:t>
    </w:r>
    <w:r>
      <w:rPr>
        <w:noProof/>
      </w:rPr>
      <w:fldChar w:fldCharType="end"/>
    </w:r>
  </w:p>
  <w:p w:rsidR="00355C7C" w:rsidRDefault="00355C7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9DB" w:rsidRDefault="000829DB">
      <w:pPr>
        <w:spacing w:after="0" w:line="240" w:lineRule="auto"/>
      </w:pPr>
      <w:r>
        <w:separator/>
      </w:r>
    </w:p>
  </w:footnote>
  <w:footnote w:type="continuationSeparator" w:id="0">
    <w:p w:rsidR="000829DB" w:rsidRDefault="00082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0E27"/>
    <w:rsid w:val="000829DB"/>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55C7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7C07"/>
    <w:rsid w:val="00D93E24"/>
    <w:rsid w:val="00D95598"/>
    <w:rsid w:val="00DA3F63"/>
    <w:rsid w:val="00DB308F"/>
    <w:rsid w:val="00DB6341"/>
    <w:rsid w:val="00DC2416"/>
    <w:rsid w:val="00DC4045"/>
    <w:rsid w:val="00DC42E9"/>
    <w:rsid w:val="00DC6703"/>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57187-85BB-4FFF-B9FC-0385B371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345</TotalTime>
  <Pages>1</Pages>
  <Words>37408</Words>
  <Characters>213228</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250136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26</cp:revision>
  <cp:lastPrinted>2014-10-19T18:59:00Z</cp:lastPrinted>
  <dcterms:created xsi:type="dcterms:W3CDTF">2014-02-19T10:17:00Z</dcterms:created>
  <dcterms:modified xsi:type="dcterms:W3CDTF">2014-10-19T18:59:00Z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