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e0747pko5u5m" w:id="0"/>
      <w:bookmarkEnd w:id="0"/>
      <w:r w:rsidDel="00000000" w:rsidR="00000000" w:rsidRPr="00000000">
        <w:rPr>
          <w:rtl w:val="0"/>
        </w:rPr>
        <w:t xml:space="preserve">ARDC SeRP Project</w:t>
      </w:r>
    </w:p>
    <w:p w:rsidR="00000000" w:rsidDel="00000000" w:rsidP="00000000" w:rsidRDefault="00000000" w:rsidRPr="00000000" w14:paraId="00000002">
      <w:pPr>
        <w:jc w:val="center"/>
        <w:rPr>
          <w:rFonts w:ascii="Libre Franklin" w:cs="Libre Franklin" w:eastAsia="Libre Franklin" w:hAnsi="Libre Frankli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ibre Franklin" w:cs="Libre Franklin" w:eastAsia="Libre Franklin" w:hAnsi="Libre Franklin"/>
          <w:b w:val="1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0"/>
          <w:szCs w:val="20"/>
          <w:rtl w:val="0"/>
        </w:rPr>
        <w:t xml:space="preserve">Requirements Template  for Setting Up A New Project Environment</w:t>
      </w:r>
    </w:p>
    <w:p w:rsidR="00000000" w:rsidDel="00000000" w:rsidP="00000000" w:rsidRDefault="00000000" w:rsidRPr="00000000" w14:paraId="00000004">
      <w:pPr>
        <w:jc w:val="center"/>
        <w:rPr>
          <w:rFonts w:ascii="Libre Franklin" w:cs="Libre Franklin" w:eastAsia="Libre Franklin" w:hAnsi="Libre Franklin"/>
          <w:b w:val="1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0"/>
          <w:szCs w:val="20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jc w:val="center"/>
        <w:rPr>
          <w:rFonts w:ascii="Libre Franklin" w:cs="Libre Franklin" w:eastAsia="Libre Franklin" w:hAnsi="Libre Frankli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60"/>
        <w:tblGridChange w:id="0">
          <w:tblGrid>
            <w:gridCol w:w="10460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76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rtl w:val="0"/>
              </w:rPr>
              <w:t xml:space="preserve">Purpose:  </w:t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The purpose of this document is to provide a framework to ARDC SeRP project collaboration partners to capture  requirements from Data Custodians when setting up new projects on SeRP.</w:t>
            </w:r>
          </w:p>
          <w:p w:rsidR="00000000" w:rsidDel="00000000" w:rsidP="00000000" w:rsidRDefault="00000000" w:rsidRPr="00000000" w14:paraId="00000007">
            <w:pPr>
              <w:spacing w:after="0" w:line="276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76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rtl w:val="0"/>
              </w:rPr>
              <w:t xml:space="preserve">Intended Audience: </w:t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ARDC SeRP Collaboration Partners</w:t>
            </w:r>
          </w:p>
        </w:tc>
      </w:tr>
    </w:tbl>
    <w:p w:rsidR="00000000" w:rsidDel="00000000" w:rsidP="00000000" w:rsidRDefault="00000000" w:rsidRPr="00000000" w14:paraId="00000009">
      <w:pPr>
        <w:spacing w:after="0" w:line="276" w:lineRule="auto"/>
        <w:rPr>
          <w:rFonts w:ascii="Libre Franklin" w:cs="Libre Franklin" w:eastAsia="Libre Franklin" w:hAnsi="Libre Frankli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0"/>
        <w:gridCol w:w="6390"/>
        <w:tblGridChange w:id="0">
          <w:tblGrid>
            <w:gridCol w:w="4080"/>
            <w:gridCol w:w="6390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fc6dd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Libre Franklin" w:cs="Libre Franklin" w:eastAsia="Libre Franklin" w:hAnsi="Libre Frankli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rtl w:val="0"/>
              </w:rPr>
              <w:t xml:space="preserve">Project Details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Title of the Project: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Summary of the Project: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Objectives of the Project: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Number of study/datasets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Number of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Proposed folder structure for Project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Details of relevant compliance/regulations to be met (including funding bodies, partners, participants, etc):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Details of external collaborating organisations and their key contacts: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Does the Project hold identifiable or re-identifiable sensitive data?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Number of expected Users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Number of expected concurrent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Number of expected Virtual Machines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Analysis applications required: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Would you require the packages for the analysis applications to be updated automatically from external publishers?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Storage Requirement: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Please indicate your plans for publishing the results of the project: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Comments including if you require features such as linkage.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Data Custodian Information</w:t>
            </w:r>
          </w:p>
          <w:p w:rsidR="00000000" w:rsidDel="00000000" w:rsidP="00000000" w:rsidRDefault="00000000" w:rsidRPr="00000000" w14:paraId="00000035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36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37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Organisation</w:t>
            </w:r>
          </w:p>
          <w:p w:rsidR="00000000" w:rsidDel="00000000" w:rsidP="00000000" w:rsidRDefault="00000000" w:rsidRPr="00000000" w14:paraId="00000038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Additional Lead/Data Manager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Rule="auto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76" w:lineRule="auto"/>
        <w:rPr>
          <w:rFonts w:ascii="Libre Franklin" w:cs="Libre Franklin" w:eastAsia="Libre Franklin" w:hAnsi="Libre Frankli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0"/>
        <w:gridCol w:w="5230"/>
        <w:tblGridChange w:id="0">
          <w:tblGrid>
            <w:gridCol w:w="5230"/>
            <w:gridCol w:w="5230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fc6dd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Libre Franklin" w:cs="Libre Franklin" w:eastAsia="Libre Franklin" w:hAnsi="Libre Frankli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rtl w:val="0"/>
              </w:rPr>
              <w:t xml:space="preserve">Hardware requirements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i w:val="1"/>
                <w:sz w:val="20"/>
                <w:szCs w:val="20"/>
                <w:rtl w:val="0"/>
              </w:rPr>
              <w:t xml:space="preserve">Please review the </w:t>
            </w:r>
            <w:hyperlink r:id="rId6">
              <w:r w:rsidDel="00000000" w:rsidR="00000000" w:rsidRPr="00000000">
                <w:rPr>
                  <w:rFonts w:ascii="Libre Franklin" w:cs="Libre Franklin" w:eastAsia="Libre Franklin" w:hAnsi="Libre Franklin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ARDC Platforms Storage and Compute requirements survey</w:t>
              </w:r>
            </w:hyperlink>
            <w:r w:rsidDel="00000000" w:rsidR="00000000" w:rsidRPr="00000000">
              <w:rPr>
                <w:rFonts w:ascii="Libre Franklin" w:cs="Libre Franklin" w:eastAsia="Libre Franklin" w:hAnsi="Libre Franklin"/>
                <w:i w:val="1"/>
                <w:sz w:val="20"/>
                <w:szCs w:val="20"/>
                <w:rtl w:val="0"/>
              </w:rPr>
              <w:t xml:space="preserve"> and provide any additional or updated  information her</w:t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e. 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[Additional/updated hardware requirements]</w:t>
            </w:r>
          </w:p>
          <w:p w:rsidR="00000000" w:rsidDel="00000000" w:rsidP="00000000" w:rsidRDefault="00000000" w:rsidRPr="00000000" w14:paraId="00000040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Please review the </w:t>
            </w:r>
            <w:hyperlink r:id="rId7">
              <w:r w:rsidDel="00000000" w:rsidR="00000000" w:rsidRPr="00000000">
                <w:rPr>
                  <w:rFonts w:ascii="Libre Franklin" w:cs="Libre Franklin" w:eastAsia="Libre Franklin" w:hAnsi="Libre Franklin"/>
                  <w:color w:val="1155cc"/>
                  <w:sz w:val="20"/>
                  <w:szCs w:val="20"/>
                  <w:u w:val="single"/>
                  <w:rtl w:val="0"/>
                </w:rPr>
                <w:t xml:space="preserve">Soft </w:t>
              </w:r>
            </w:hyperlink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and </w:t>
            </w:r>
            <w:hyperlink r:id="rId8">
              <w:r w:rsidDel="00000000" w:rsidR="00000000" w:rsidRPr="00000000">
                <w:rPr>
                  <w:rFonts w:ascii="Libre Franklin" w:cs="Libre Franklin" w:eastAsia="Libre Franklin" w:hAnsi="Libre Franklin"/>
                  <w:color w:val="1155cc"/>
                  <w:sz w:val="20"/>
                  <w:szCs w:val="20"/>
                  <w:u w:val="single"/>
                  <w:rtl w:val="0"/>
                </w:rPr>
                <w:t xml:space="preserve">Hard </w:t>
              </w:r>
            </w:hyperlink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tenancy implementation plan for detailed infrastructure information.</w:t>
            </w:r>
          </w:p>
          <w:p w:rsidR="00000000" w:rsidDel="00000000" w:rsidP="00000000" w:rsidRDefault="00000000" w:rsidRPr="00000000" w14:paraId="00000041">
            <w:pPr>
              <w:rPr>
                <w:rFonts w:ascii="Libre Franklin" w:cs="Libre Franklin" w:eastAsia="Libre Franklin" w:hAnsi="Libre Frankli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76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0"/>
        <w:gridCol w:w="5230"/>
        <w:tblGridChange w:id="0">
          <w:tblGrid>
            <w:gridCol w:w="5230"/>
            <w:gridCol w:w="5230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fc6dd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Libre Franklin" w:cs="Libre Franklin" w:eastAsia="Libre Franklin" w:hAnsi="Libre Frankli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rtl w:val="0"/>
              </w:rPr>
              <w:t xml:space="preserve">Functional Requirements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Libre Franklin" w:cs="Libre Franklin" w:eastAsia="Libre Franklin" w:hAnsi="Libre Frankli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rtl w:val="0"/>
              </w:rPr>
              <w:t xml:space="preserve">User Roles</w:t>
            </w:r>
          </w:p>
          <w:p w:rsidR="00000000" w:rsidDel="00000000" w:rsidP="00000000" w:rsidRDefault="00000000" w:rsidRPr="00000000" w14:paraId="00000049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i w:val="1"/>
                <w:sz w:val="20"/>
                <w:szCs w:val="20"/>
                <w:rtl w:val="0"/>
              </w:rPr>
              <w:t xml:space="preserve">The following users have been identified to carry out the functions when using SeRP. Please list any additional user roles or add specific information relevant to your organisation.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0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75"/>
              <w:gridCol w:w="5925"/>
              <w:tblGridChange w:id="0">
                <w:tblGrid>
                  <w:gridCol w:w="3075"/>
                  <w:gridCol w:w="5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after="0" w:lineRule="auto"/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  <w:rtl w:val="0"/>
                    </w:rPr>
                    <w:t xml:space="preserve">User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after="0" w:lineRule="auto"/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cantSplit w:val="0"/>
                <w:trHeight w:val="469.98046875" w:hRule="atLeast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after="0" w:lineRule="auto"/>
                    <w:rPr>
                      <w:rFonts w:ascii="Libre Franklin" w:cs="Libre Franklin" w:eastAsia="Libre Franklin" w:hAnsi="Libre Frankli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sz w:val="20"/>
                      <w:szCs w:val="20"/>
                      <w:rtl w:val="0"/>
                    </w:rPr>
                    <w:t xml:space="preserve">Sub-Licensee Manager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after="0" w:lineRule="auto"/>
                    <w:rPr>
                      <w:rFonts w:ascii="Libre Franklin" w:cs="Libre Franklin" w:eastAsia="Libre Franklin" w:hAnsi="Libre Frankli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sz w:val="20"/>
                      <w:szCs w:val="20"/>
                      <w:rtl w:val="0"/>
                    </w:rPr>
                    <w:t xml:space="preserve">As the designated staff member at the partner organisation, the Sub-Licensee Manager is the primary contact for Monash University on projects and plays a key role in supporting the Data Custodian and End User.  See Glossary.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after="0" w:lineRule="auto"/>
                    <w:rPr>
                      <w:rFonts w:ascii="Libre Franklin" w:cs="Libre Franklin" w:eastAsia="Libre Franklin" w:hAnsi="Libre Frankli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sz w:val="20"/>
                      <w:szCs w:val="20"/>
                      <w:rtl w:val="0"/>
                    </w:rPr>
                    <w:t xml:space="preserve">Data Custodian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after="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sz w:val="20"/>
                      <w:szCs w:val="20"/>
                      <w:rtl w:val="0"/>
                    </w:rPr>
                    <w:t xml:space="preserve">Designated data owner of a specified project, set of sub-projects or dataset. Responsible for approving data access and data management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after="0" w:lineRule="auto"/>
                    <w:rPr>
                      <w:rFonts w:ascii="Libre Franklin" w:cs="Libre Franklin" w:eastAsia="Libre Franklin" w:hAnsi="Libre Frankli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sz w:val="20"/>
                      <w:szCs w:val="20"/>
                      <w:rtl w:val="0"/>
                    </w:rPr>
                    <w:t xml:space="preserve">End User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after="0" w:lineRule="auto"/>
                    <w:rPr>
                      <w:rFonts w:ascii="Libre Franklin" w:cs="Libre Franklin" w:eastAsia="Libre Franklin" w:hAnsi="Libre Frankli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sz w:val="20"/>
                      <w:szCs w:val="20"/>
                      <w:rtl w:val="0"/>
                    </w:rPr>
                    <w:t xml:space="preserve">The ultimate individual end users of Monash SeRP</w:t>
                  </w:r>
                </w:p>
              </w:tc>
            </w:tr>
            <w:tr>
              <w:trPr>
                <w:cantSplit w:val="0"/>
                <w:trHeight w:val="534.9609375" w:hRule="atLeast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after="0" w:lineRule="auto"/>
                    <w:rPr>
                      <w:rFonts w:ascii="Libre Franklin" w:cs="Libre Franklin" w:eastAsia="Libre Franklin" w:hAnsi="Libre Frankli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sz w:val="20"/>
                      <w:szCs w:val="20"/>
                      <w:rtl w:val="0"/>
                    </w:rPr>
                    <w:t xml:space="preserve">Monash SeRP Administrator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after="0" w:lineRule="auto"/>
                    <w:rPr>
                      <w:rFonts w:ascii="Libre Franklin" w:cs="Libre Franklin" w:eastAsia="Libre Franklin" w:hAnsi="Libre Frankli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sz w:val="20"/>
                      <w:szCs w:val="20"/>
                      <w:rtl w:val="0"/>
                    </w:rPr>
                    <w:t xml:space="preserve">Monash staff member(s)  who liaise with the Sub-Licensee manager to help set up projects and user accounts and provide support.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rPr>
                <w:rFonts w:ascii="Libre Franklin" w:cs="Libre Franklin" w:eastAsia="Libre Franklin" w:hAnsi="Libre Frankli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Libre Franklin" w:cs="Libre Franklin" w:eastAsia="Libre Franklin" w:hAnsi="Libre Frankli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0"/>
                <w:szCs w:val="20"/>
                <w:rtl w:val="0"/>
              </w:rPr>
              <w:t xml:space="preserve">User stories</w:t>
            </w:r>
          </w:p>
          <w:p w:rsidR="00000000" w:rsidDel="00000000" w:rsidP="00000000" w:rsidRDefault="00000000" w:rsidRPr="00000000" w14:paraId="00000056">
            <w:pPr>
              <w:rPr>
                <w:rFonts w:ascii="Libre Franklin" w:cs="Libre Franklin" w:eastAsia="Libre Franklin" w:hAnsi="Libre Frankli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i w:val="1"/>
                <w:sz w:val="20"/>
                <w:szCs w:val="20"/>
                <w:rtl w:val="0"/>
              </w:rPr>
              <w:t xml:space="preserve">ARDC SeRP functionality is captured as user stories.</w:t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Libre Franklin" w:cs="Libre Franklin" w:eastAsia="Libre Franklin" w:hAnsi="Libre Franklin"/>
                <w:i w:val="1"/>
                <w:sz w:val="20"/>
                <w:szCs w:val="20"/>
                <w:rtl w:val="0"/>
              </w:rPr>
              <w:t xml:space="preserve">Please review the User Stories document to view a list of standard Monash SeRP functionality and processes. </w:t>
            </w:r>
            <w:hyperlink r:id="rId9">
              <w:r w:rsidDel="00000000" w:rsidR="00000000" w:rsidRPr="00000000">
                <w:rPr>
                  <w:rFonts w:ascii="Libre Franklin" w:cs="Libre Franklin" w:eastAsia="Libre Franklin" w:hAnsi="Libre Franklin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 &lt;LINK&gt;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i w:val="1"/>
                <w:sz w:val="20"/>
                <w:szCs w:val="20"/>
                <w:rtl w:val="0"/>
              </w:rPr>
              <w:t xml:space="preserve">Please add any additional information or user requirements here. Use the table below as a guide.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5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80"/>
              <w:gridCol w:w="3405"/>
              <w:gridCol w:w="2010"/>
              <w:gridCol w:w="2175"/>
              <w:tblGridChange w:id="0">
                <w:tblGrid>
                  <w:gridCol w:w="1980"/>
                  <w:gridCol w:w="3405"/>
                  <w:gridCol w:w="2010"/>
                  <w:gridCol w:w="2175"/>
                </w:tblGrid>
              </w:tblGridChange>
            </w:tblGrid>
            <w:tr>
              <w:trPr>
                <w:cantSplit w:val="0"/>
                <w:trHeight w:val="94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  <w:rtl w:val="0"/>
                    </w:rPr>
                    <w:t xml:space="preserve">As a...</w:t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  <w:rtl w:val="0"/>
                    </w:rPr>
                    <w:t xml:space="preserve">(type of user)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  <w:rtl w:val="0"/>
                    </w:rPr>
                    <w:t xml:space="preserve">I want…</w:t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  <w:rtl w:val="0"/>
                    </w:rPr>
                    <w:t xml:space="preserve">(to perform a task or have the functionality)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  <w:rtl w:val="0"/>
                    </w:rPr>
                    <w:t xml:space="preserve">So that I can…</w:t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  <w:rtl w:val="0"/>
                    </w:rPr>
                    <w:t xml:space="preserve">(achieve a goal)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  <w:rtl w:val="0"/>
                    </w:rPr>
                    <w:t xml:space="preserve">Priority</w:t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  <w:rtl w:val="0"/>
                    </w:rPr>
                    <w:t xml:space="preserve">(Must have/Nice to Have)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4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4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after="0" w:line="276" w:lineRule="auto"/>
                    <w:rPr>
                      <w:rFonts w:ascii="Libre Franklin" w:cs="Libre Franklin" w:eastAsia="Libre Franklin" w:hAnsi="Libre Frankli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rPr>
                <w:rFonts w:ascii="Libre Franklin" w:cs="Libre Franklin" w:eastAsia="Libre Franklin" w:hAnsi="Libre Frankli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Libre Franklin" w:cs="Libre Franklin" w:eastAsia="Libre Franklin" w:hAnsi="Libre Frankli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57150</wp:posOffset>
          </wp:positionH>
          <wp:positionV relativeFrom="paragraph">
            <wp:posOffset>55624</wp:posOffset>
          </wp:positionV>
          <wp:extent cx="5072063" cy="808834"/>
          <wp:effectExtent b="0" l="0" r="0" t="0"/>
          <wp:wrapTopAndBottom distB="57150" distT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72063" cy="80883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4"/>
        <w:szCs w:val="24"/>
        <w:lang w:val="en_GB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Arial" w:cs="Arial" w:eastAsia="Arial" w:hAnsi="Arial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b w:val="0"/>
      <w:i w:val="0"/>
      <w:color w:val="000000"/>
      <w:sz w:val="22"/>
      <w:szCs w:val="22"/>
      <w:vertAlign w:val="baseline"/>
    </w:rPr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  <w:b w:val="0"/>
      <w:i w:val="0"/>
      <w:color w:val="000000"/>
      <w:sz w:val="22"/>
      <w:szCs w:val="22"/>
      <w:vertAlign w:val="baseline"/>
    </w:rPr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  <w:b w:val="0"/>
      <w:i w:val="0"/>
      <w:color w:val="000000"/>
      <w:sz w:val="22"/>
      <w:szCs w:val="22"/>
      <w:vertAlign w:val="baseline"/>
    </w:rPr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table" w:styleId="Table4">
    <w:basedOn w:val="TableNormal"/>
    <w:rPr>
      <w:rFonts w:ascii="Arial" w:cs="Arial" w:eastAsia="Arial" w:hAnsi="Arial"/>
      <w:b w:val="0"/>
      <w:i w:val="0"/>
      <w:color w:val="000000"/>
      <w:sz w:val="22"/>
      <w:szCs w:val="22"/>
      <w:vertAlign w:val="baseline"/>
    </w:rPr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14X5wm97PiF5AHTTWTHumgadsqd90qjM9OfTmr8jH0M/edit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8Aq74ZtOhemw1sYrzC_Liy6VGxjaW8xh20FXNlVWbUM/edit#gid=0" TargetMode="External"/><Relationship Id="rId7" Type="http://schemas.openxmlformats.org/officeDocument/2006/relationships/hyperlink" Target="https://docs.google.com/document/d/1k80ZDENnCE_XAUkPRz2Dn0QITyvKSB-5/edit?usp=sharing&amp;ouid=115801617236907245639&amp;rtpof=true&amp;sd=true" TargetMode="External"/><Relationship Id="rId8" Type="http://schemas.openxmlformats.org/officeDocument/2006/relationships/hyperlink" Target="https://docs.google.com/document/d/1_rppqY3eoKha-Gdd7ZcSPez0tUeg_nGF/edit?usp=sharing&amp;ouid=115801617236907245639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