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E00F1" w14:textId="77777777" w:rsidR="000D63D5" w:rsidRDefault="000D63D5" w:rsidP="000D63D5">
      <w:pPr>
        <w:spacing w:before="900"/>
        <w:jc w:val="center"/>
      </w:pPr>
      <w:r>
        <w:rPr>
          <w:b/>
          <w:color w:val="1F4E78"/>
          <w:sz w:val="60"/>
        </w:rPr>
        <w:t>UK TRAIN SERVICES</w:t>
      </w:r>
    </w:p>
    <w:p w14:paraId="29570C72" w14:textId="77777777" w:rsidR="000D63D5" w:rsidRDefault="000D63D5" w:rsidP="000D63D5">
      <w:pPr>
        <w:jc w:val="center"/>
      </w:pPr>
      <w:r>
        <w:rPr>
          <w:b/>
          <w:color w:val="4472C4"/>
          <w:sz w:val="40"/>
        </w:rPr>
        <w:t>EXECUTIVE PERFORMANCE REPORT</w:t>
      </w:r>
    </w:p>
    <w:p w14:paraId="7D2EF4D6" w14:textId="743E7567" w:rsidR="006C45F6" w:rsidRDefault="00000000">
      <w:pPr>
        <w:pStyle w:val="Heading1"/>
      </w:pPr>
      <w:r>
        <w:t>EXECUTIVE SUMMARY</w:t>
      </w:r>
    </w:p>
    <w:p w14:paraId="0D73C289" w14:textId="77777777" w:rsidR="006C45F6" w:rsidRDefault="00000000">
      <w:r>
        <w:t>This report evaluates 31,653 passenger journeys across UK train services between January and April 2026. The analysis combines service reliability, disruption causes, revenue, refund exposure, passenger demand, peak travel behaviour and route performance to identify the operational priorities with the greatest potential business impact.</w:t>
      </w:r>
    </w:p>
    <w:p w14:paraId="13FDE2A7" w14:textId="77777777" w:rsidR="000D63D5" w:rsidRDefault="000D63D5"/>
    <w:tbl>
      <w:tblPr>
        <w:tblW w:w="0" w:type="auto"/>
        <w:jc w:val="center"/>
        <w:tblLook w:val="04A0" w:firstRow="1" w:lastRow="0" w:firstColumn="1" w:lastColumn="0" w:noHBand="0" w:noVBand="1"/>
      </w:tblPr>
      <w:tblGrid>
        <w:gridCol w:w="2484"/>
        <w:gridCol w:w="2484"/>
        <w:gridCol w:w="2484"/>
        <w:gridCol w:w="2484"/>
      </w:tblGrid>
      <w:tr w:rsidR="000D63D5" w14:paraId="14D574A0" w14:textId="77777777" w:rsidTr="00911F53">
        <w:trPr>
          <w:jc w:val="center"/>
        </w:trPr>
        <w:tc>
          <w:tcPr>
            <w:tcW w:w="2484" w:type="dxa"/>
            <w:shd w:val="clear" w:color="auto" w:fill="F2F6FA"/>
          </w:tcPr>
          <w:p w14:paraId="2377E0E8" w14:textId="77777777" w:rsidR="000D63D5" w:rsidRDefault="000D63D5" w:rsidP="00911F53">
            <w:pPr>
              <w:jc w:val="center"/>
            </w:pPr>
            <w:r>
              <w:rPr>
                <w:b/>
                <w:color w:val="1F4E78"/>
                <w:sz w:val="32"/>
              </w:rPr>
              <w:t>31,653</w:t>
            </w:r>
            <w:r>
              <w:rPr>
                <w:b/>
                <w:color w:val="1F4E78"/>
                <w:sz w:val="32"/>
              </w:rPr>
              <w:br/>
            </w:r>
            <w:r>
              <w:rPr>
                <w:color w:val="646464"/>
                <w:sz w:val="16"/>
              </w:rPr>
              <w:t>Passenger journeys</w:t>
            </w:r>
          </w:p>
        </w:tc>
        <w:tc>
          <w:tcPr>
            <w:tcW w:w="2484" w:type="dxa"/>
            <w:shd w:val="clear" w:color="auto" w:fill="F2F6FA"/>
          </w:tcPr>
          <w:p w14:paraId="48FBD895" w14:textId="77777777" w:rsidR="000D63D5" w:rsidRDefault="000D63D5" w:rsidP="00911F53">
            <w:pPr>
              <w:jc w:val="center"/>
            </w:pPr>
            <w:r>
              <w:rPr>
                <w:b/>
                <w:color w:val="1F4E78"/>
                <w:sz w:val="32"/>
              </w:rPr>
              <w:t>£741,921</w:t>
            </w:r>
            <w:r>
              <w:rPr>
                <w:b/>
                <w:color w:val="1F4E78"/>
                <w:sz w:val="32"/>
              </w:rPr>
              <w:br/>
            </w:r>
            <w:r>
              <w:rPr>
                <w:color w:val="646464"/>
                <w:sz w:val="16"/>
              </w:rPr>
              <w:t>Gross revenue</w:t>
            </w:r>
          </w:p>
        </w:tc>
        <w:tc>
          <w:tcPr>
            <w:tcW w:w="2484" w:type="dxa"/>
            <w:shd w:val="clear" w:color="auto" w:fill="F2F6FA"/>
          </w:tcPr>
          <w:p w14:paraId="00B09DBB" w14:textId="77777777" w:rsidR="000D63D5" w:rsidRDefault="000D63D5" w:rsidP="00911F53">
            <w:pPr>
              <w:jc w:val="center"/>
            </w:pPr>
            <w:r>
              <w:rPr>
                <w:b/>
                <w:color w:val="1F4E78"/>
                <w:sz w:val="32"/>
              </w:rPr>
              <w:t>86.82%</w:t>
            </w:r>
            <w:r>
              <w:rPr>
                <w:b/>
                <w:color w:val="1F4E78"/>
                <w:sz w:val="32"/>
              </w:rPr>
              <w:br/>
            </w:r>
            <w:r>
              <w:rPr>
                <w:color w:val="646464"/>
                <w:sz w:val="16"/>
              </w:rPr>
              <w:t>On-time performance</w:t>
            </w:r>
          </w:p>
        </w:tc>
        <w:tc>
          <w:tcPr>
            <w:tcW w:w="2484" w:type="dxa"/>
            <w:shd w:val="clear" w:color="auto" w:fill="F2F6FA"/>
          </w:tcPr>
          <w:p w14:paraId="129FBAFF" w14:textId="77777777" w:rsidR="000D63D5" w:rsidRDefault="000D63D5" w:rsidP="00911F53">
            <w:pPr>
              <w:jc w:val="center"/>
            </w:pPr>
            <w:r>
              <w:rPr>
                <w:b/>
                <w:color w:val="1F4E78"/>
                <w:sz w:val="32"/>
              </w:rPr>
              <w:t>£38,702</w:t>
            </w:r>
            <w:r>
              <w:rPr>
                <w:b/>
                <w:color w:val="1F4E78"/>
                <w:sz w:val="32"/>
              </w:rPr>
              <w:br/>
            </w:r>
            <w:r>
              <w:rPr>
                <w:color w:val="646464"/>
                <w:sz w:val="16"/>
              </w:rPr>
              <w:t>Refund exposure</w:t>
            </w:r>
          </w:p>
        </w:tc>
      </w:tr>
    </w:tbl>
    <w:p w14:paraId="543F8255" w14:textId="77777777" w:rsidR="000D63D5" w:rsidRDefault="000D63D5"/>
    <w:p w14:paraId="2CFAC0F0" w14:textId="77777777" w:rsidR="006C45F6" w:rsidRDefault="00000000">
      <w:pPr>
        <w:pStyle w:val="Heading2"/>
      </w:pPr>
      <w:r>
        <w:t>Executive view</w:t>
      </w:r>
    </w:p>
    <w:p w14:paraId="10B0D931" w14:textId="77777777" w:rsidR="000D63D5" w:rsidRPr="000D63D5" w:rsidRDefault="000D63D5" w:rsidP="000D63D5">
      <w:pPr>
        <w:pStyle w:val="NoSpacing"/>
      </w:pPr>
    </w:p>
    <w:p w14:paraId="2AC86F63" w14:textId="77777777" w:rsidR="006C45F6" w:rsidRDefault="00000000">
      <w:r>
        <w:t>The network demonstrates a strong underlying level of service, with 86.82% of journeys recorded as on time. However, 13.18% experienced disruption through delays or cancellations. Weather is the largest individual contributor to delays, while the concentration of passenger volume on a small number of routes creates significant exposure to performance issues on high-demand corridors.</w:t>
      </w:r>
    </w:p>
    <w:tbl>
      <w:tblPr>
        <w:tblW w:w="0" w:type="auto"/>
        <w:jc w:val="center"/>
        <w:tblLook w:val="04A0" w:firstRow="1" w:lastRow="0" w:firstColumn="1" w:lastColumn="0" w:noHBand="0" w:noVBand="1"/>
      </w:tblPr>
      <w:tblGrid>
        <w:gridCol w:w="2484"/>
        <w:gridCol w:w="2484"/>
        <w:gridCol w:w="2484"/>
        <w:gridCol w:w="2484"/>
      </w:tblGrid>
      <w:tr w:rsidR="006C45F6" w14:paraId="21F4E371" w14:textId="77777777">
        <w:trPr>
          <w:jc w:val="center"/>
        </w:trPr>
        <w:tc>
          <w:tcPr>
            <w:tcW w:w="2484" w:type="dxa"/>
            <w:shd w:val="clear" w:color="auto" w:fill="F2F6FA"/>
          </w:tcPr>
          <w:p w14:paraId="6665E548" w14:textId="77777777" w:rsidR="006C45F6" w:rsidRDefault="00000000">
            <w:pPr>
              <w:jc w:val="center"/>
            </w:pPr>
            <w:r>
              <w:rPr>
                <w:b/>
                <w:color w:val="1F4E78"/>
                <w:sz w:val="32"/>
              </w:rPr>
              <w:t>86.82%</w:t>
            </w:r>
            <w:r>
              <w:rPr>
                <w:b/>
                <w:color w:val="1F4E78"/>
                <w:sz w:val="32"/>
              </w:rPr>
              <w:br/>
            </w:r>
            <w:r>
              <w:rPr>
                <w:color w:val="646464"/>
                <w:sz w:val="16"/>
              </w:rPr>
              <w:t>On time</w:t>
            </w:r>
          </w:p>
        </w:tc>
        <w:tc>
          <w:tcPr>
            <w:tcW w:w="2484" w:type="dxa"/>
            <w:shd w:val="clear" w:color="auto" w:fill="F2F6FA"/>
          </w:tcPr>
          <w:p w14:paraId="6E19DD76" w14:textId="77777777" w:rsidR="006C45F6" w:rsidRDefault="00000000">
            <w:pPr>
              <w:jc w:val="center"/>
            </w:pPr>
            <w:r>
              <w:rPr>
                <w:b/>
                <w:color w:val="1F4E78"/>
                <w:sz w:val="32"/>
              </w:rPr>
              <w:t>7.24%</w:t>
            </w:r>
            <w:r>
              <w:rPr>
                <w:b/>
                <w:color w:val="1F4E78"/>
                <w:sz w:val="32"/>
              </w:rPr>
              <w:br/>
            </w:r>
            <w:r>
              <w:rPr>
                <w:color w:val="646464"/>
                <w:sz w:val="16"/>
              </w:rPr>
              <w:t>Delayed</w:t>
            </w:r>
          </w:p>
        </w:tc>
        <w:tc>
          <w:tcPr>
            <w:tcW w:w="2484" w:type="dxa"/>
            <w:shd w:val="clear" w:color="auto" w:fill="F2F6FA"/>
          </w:tcPr>
          <w:p w14:paraId="7151DDB1" w14:textId="77777777" w:rsidR="006C45F6" w:rsidRDefault="00000000">
            <w:pPr>
              <w:jc w:val="center"/>
            </w:pPr>
            <w:r>
              <w:rPr>
                <w:b/>
                <w:color w:val="1F4E78"/>
                <w:sz w:val="32"/>
              </w:rPr>
              <w:t>5.94%</w:t>
            </w:r>
            <w:r>
              <w:rPr>
                <w:b/>
                <w:color w:val="1F4E78"/>
                <w:sz w:val="32"/>
              </w:rPr>
              <w:br/>
            </w:r>
            <w:r>
              <w:rPr>
                <w:color w:val="646464"/>
                <w:sz w:val="16"/>
              </w:rPr>
              <w:t>Cancelled</w:t>
            </w:r>
          </w:p>
        </w:tc>
        <w:tc>
          <w:tcPr>
            <w:tcW w:w="2484" w:type="dxa"/>
            <w:shd w:val="clear" w:color="auto" w:fill="F2F6FA"/>
          </w:tcPr>
          <w:p w14:paraId="6CB2C9CE" w14:textId="77777777" w:rsidR="006C45F6" w:rsidRDefault="00000000">
            <w:pPr>
              <w:jc w:val="center"/>
            </w:pPr>
            <w:r>
              <w:rPr>
                <w:b/>
                <w:color w:val="1F4E78"/>
                <w:sz w:val="32"/>
              </w:rPr>
              <w:t>93.9%</w:t>
            </w:r>
            <w:r>
              <w:rPr>
                <w:b/>
                <w:color w:val="1F4E78"/>
                <w:sz w:val="32"/>
              </w:rPr>
              <w:br/>
            </w:r>
            <w:r>
              <w:rPr>
                <w:color w:val="646464"/>
                <w:sz w:val="16"/>
              </w:rPr>
              <w:t>Revenue retained</w:t>
            </w:r>
          </w:p>
        </w:tc>
      </w:tr>
    </w:tbl>
    <w:p w14:paraId="4AC6266A" w14:textId="77777777" w:rsidR="006C45F6" w:rsidRDefault="006C45F6"/>
    <w:p w14:paraId="2EBC8B79" w14:textId="77777777" w:rsidR="006C45F6" w:rsidRDefault="00000000">
      <w:pPr>
        <w:pStyle w:val="Heading2"/>
      </w:pPr>
      <w:r>
        <w:t>Five priorities for management</w:t>
      </w:r>
    </w:p>
    <w:p w14:paraId="123F6811" w14:textId="77777777" w:rsidR="006C45F6" w:rsidRDefault="00000000">
      <w:pPr>
        <w:pStyle w:val="ListBullet"/>
        <w:spacing w:after="60"/>
      </w:pPr>
      <w:r>
        <w:t>Strengthen weather-readiness and contingency planning, given that weather accounts for 40.45% of delays.</w:t>
      </w:r>
    </w:p>
    <w:p w14:paraId="2588161D" w14:textId="77777777" w:rsidR="006C45F6" w:rsidRDefault="00000000">
      <w:pPr>
        <w:pStyle w:val="ListBullet"/>
        <w:spacing w:after="60"/>
      </w:pPr>
      <w:r>
        <w:t>Prioritise reliability improvements on high-volume corridors where disruption affects a large passenger base.</w:t>
      </w:r>
    </w:p>
    <w:p w14:paraId="70C52A61" w14:textId="77777777" w:rsidR="006C45F6" w:rsidRDefault="00000000">
      <w:pPr>
        <w:pStyle w:val="ListBullet"/>
        <w:spacing w:after="60"/>
      </w:pPr>
      <w:r>
        <w:t>Reduce refund exposure by targeting delay management and passenger communication, since delays account for 67.6% of refund value.</w:t>
      </w:r>
    </w:p>
    <w:p w14:paraId="56F7AEE4" w14:textId="77777777" w:rsidR="006C45F6" w:rsidRDefault="00000000">
      <w:pPr>
        <w:pStyle w:val="ListBullet"/>
        <w:spacing w:after="60"/>
      </w:pPr>
      <w:r>
        <w:t>Use peak-hour demand data to improve capacity planning and resource deployment, particularly around the 8:00 AM peak.</w:t>
      </w:r>
    </w:p>
    <w:p w14:paraId="76FD50FE" w14:textId="77777777" w:rsidR="006C45F6" w:rsidRDefault="00000000">
      <w:pPr>
        <w:pStyle w:val="ListBullet"/>
        <w:spacing w:after="60"/>
      </w:pPr>
      <w:r>
        <w:t>Investigate the improvement seen in April to identify operational practices that can be replicated across the network.</w:t>
      </w:r>
    </w:p>
    <w:p w14:paraId="6F191D40" w14:textId="77777777" w:rsidR="006C45F6" w:rsidRDefault="00000000">
      <w:r>
        <w:br w:type="page"/>
      </w:r>
    </w:p>
    <w:p w14:paraId="31841F8E" w14:textId="77777777" w:rsidR="006C45F6" w:rsidRDefault="00000000">
      <w:pPr>
        <w:pStyle w:val="Heading1"/>
      </w:pPr>
      <w:r>
        <w:lastRenderedPageBreak/>
        <w:t>1. BUSINESS CONTEXT &amp; ANALYTICAL SCOPE</w:t>
      </w:r>
    </w:p>
    <w:p w14:paraId="34BB5571" w14:textId="77777777" w:rsidR="006C45F6" w:rsidRDefault="00000000">
      <w:pPr>
        <w:pStyle w:val="Heading2"/>
      </w:pPr>
      <w:r>
        <w:t>1.1 Objectives</w:t>
      </w:r>
    </w:p>
    <w:p w14:paraId="11C99523" w14:textId="77777777" w:rsidR="006C45F6" w:rsidRDefault="00000000">
      <w:pPr>
        <w:pStyle w:val="ListBullet"/>
        <w:spacing w:after="60"/>
      </w:pPr>
      <w:r>
        <w:t>Evaluate operational performance and identify service reliability patterns.</w:t>
      </w:r>
    </w:p>
    <w:p w14:paraId="7D6B2552" w14:textId="77777777" w:rsidR="006C45F6" w:rsidRDefault="00000000">
      <w:pPr>
        <w:pStyle w:val="ListBullet"/>
        <w:spacing w:after="60"/>
      </w:pPr>
      <w:r>
        <w:t>Analyse revenue performance and financial exposure associated with disruption and refunds.</w:t>
      </w:r>
    </w:p>
    <w:p w14:paraId="1283B12E" w14:textId="77777777" w:rsidR="006C45F6" w:rsidRDefault="00000000">
      <w:pPr>
        <w:pStyle w:val="ListBullet"/>
        <w:spacing w:after="60"/>
      </w:pPr>
      <w:r>
        <w:t>Understand passenger behaviour, demand concentration and peak travel patterns.</w:t>
      </w:r>
    </w:p>
    <w:p w14:paraId="6130E4E3" w14:textId="77777777" w:rsidR="006C45F6" w:rsidRDefault="00000000">
      <w:pPr>
        <w:pStyle w:val="ListBullet"/>
        <w:spacing w:after="60"/>
      </w:pPr>
      <w:r>
        <w:t>Identify routes and stations requiring operational attention.</w:t>
      </w:r>
    </w:p>
    <w:p w14:paraId="2BC9B4A1" w14:textId="77777777" w:rsidR="006C45F6" w:rsidRDefault="00000000">
      <w:pPr>
        <w:pStyle w:val="ListBullet"/>
        <w:spacing w:after="60"/>
      </w:pPr>
      <w:r>
        <w:t>Translate analytical findings into practical management actions and measurable KPIs.</w:t>
      </w:r>
    </w:p>
    <w:p w14:paraId="742347FF" w14:textId="77777777" w:rsidR="006C45F6" w:rsidRDefault="00000000">
      <w:pPr>
        <w:pStyle w:val="Heading2"/>
      </w:pPr>
      <w:r>
        <w:t>1.2 Data scope</w:t>
      </w:r>
    </w:p>
    <w:tbl>
      <w:tblPr>
        <w:tblW w:w="0" w:type="auto"/>
        <w:jc w:val="center"/>
        <w:tblLook w:val="04A0" w:firstRow="1" w:lastRow="0" w:firstColumn="1" w:lastColumn="0" w:noHBand="0" w:noVBand="1"/>
      </w:tblPr>
      <w:tblGrid>
        <w:gridCol w:w="4968"/>
        <w:gridCol w:w="4968"/>
      </w:tblGrid>
      <w:tr w:rsidR="006C45F6" w14:paraId="14F656D2" w14:textId="77777777">
        <w:trPr>
          <w:jc w:val="center"/>
        </w:trPr>
        <w:tc>
          <w:tcPr>
            <w:tcW w:w="4968" w:type="dxa"/>
            <w:shd w:val="clear" w:color="auto" w:fill="1F4E78"/>
            <w:vAlign w:val="center"/>
          </w:tcPr>
          <w:p w14:paraId="088DF4BB" w14:textId="77777777" w:rsidR="006C45F6" w:rsidRDefault="00000000">
            <w:r>
              <w:rPr>
                <w:b/>
                <w:color w:val="FFFFFF"/>
                <w:sz w:val="18"/>
              </w:rPr>
              <w:t>Dimension</w:t>
            </w:r>
          </w:p>
        </w:tc>
        <w:tc>
          <w:tcPr>
            <w:tcW w:w="4968" w:type="dxa"/>
            <w:shd w:val="clear" w:color="auto" w:fill="1F4E78"/>
            <w:vAlign w:val="center"/>
          </w:tcPr>
          <w:p w14:paraId="48F25D69" w14:textId="77777777" w:rsidR="006C45F6" w:rsidRDefault="00000000">
            <w:r>
              <w:rPr>
                <w:b/>
                <w:color w:val="FFFFFF"/>
                <w:sz w:val="18"/>
              </w:rPr>
              <w:t>Scope</w:t>
            </w:r>
          </w:p>
        </w:tc>
      </w:tr>
      <w:tr w:rsidR="006C45F6" w14:paraId="6B67D06B" w14:textId="77777777">
        <w:trPr>
          <w:jc w:val="center"/>
        </w:trPr>
        <w:tc>
          <w:tcPr>
            <w:tcW w:w="4968" w:type="dxa"/>
            <w:vAlign w:val="center"/>
          </w:tcPr>
          <w:p w14:paraId="496D6951" w14:textId="77777777" w:rsidR="006C45F6" w:rsidRDefault="00000000">
            <w:r>
              <w:rPr>
                <w:b/>
                <w:sz w:val="18"/>
              </w:rPr>
              <w:t>Analysis period</w:t>
            </w:r>
          </w:p>
        </w:tc>
        <w:tc>
          <w:tcPr>
            <w:tcW w:w="4968" w:type="dxa"/>
            <w:vAlign w:val="center"/>
          </w:tcPr>
          <w:p w14:paraId="056E16A8" w14:textId="77777777" w:rsidR="006C45F6" w:rsidRDefault="00000000">
            <w:r>
              <w:rPr>
                <w:sz w:val="18"/>
              </w:rPr>
              <w:t>January – April 2026</w:t>
            </w:r>
          </w:p>
        </w:tc>
      </w:tr>
      <w:tr w:rsidR="006C45F6" w14:paraId="26253E05" w14:textId="77777777">
        <w:trPr>
          <w:jc w:val="center"/>
        </w:trPr>
        <w:tc>
          <w:tcPr>
            <w:tcW w:w="4968" w:type="dxa"/>
            <w:vAlign w:val="center"/>
          </w:tcPr>
          <w:p w14:paraId="08B38B37" w14:textId="77777777" w:rsidR="006C45F6" w:rsidRDefault="00000000">
            <w:r>
              <w:rPr>
                <w:b/>
                <w:sz w:val="18"/>
              </w:rPr>
              <w:t>Records analysed</w:t>
            </w:r>
          </w:p>
        </w:tc>
        <w:tc>
          <w:tcPr>
            <w:tcW w:w="4968" w:type="dxa"/>
            <w:vAlign w:val="center"/>
          </w:tcPr>
          <w:p w14:paraId="6AF0777F" w14:textId="77777777" w:rsidR="006C45F6" w:rsidRDefault="00000000">
            <w:r>
              <w:rPr>
                <w:sz w:val="18"/>
              </w:rPr>
              <w:t>31,653 passenger journeys</w:t>
            </w:r>
          </w:p>
        </w:tc>
      </w:tr>
      <w:tr w:rsidR="006C45F6" w14:paraId="5C0E45E7" w14:textId="77777777">
        <w:trPr>
          <w:jc w:val="center"/>
        </w:trPr>
        <w:tc>
          <w:tcPr>
            <w:tcW w:w="4968" w:type="dxa"/>
            <w:vAlign w:val="center"/>
          </w:tcPr>
          <w:p w14:paraId="7DC91B75" w14:textId="77777777" w:rsidR="006C45F6" w:rsidRDefault="00000000">
            <w:r>
              <w:rPr>
                <w:b/>
                <w:sz w:val="18"/>
              </w:rPr>
              <w:t>Operational dimensions</w:t>
            </w:r>
          </w:p>
        </w:tc>
        <w:tc>
          <w:tcPr>
            <w:tcW w:w="4968" w:type="dxa"/>
            <w:vAlign w:val="center"/>
          </w:tcPr>
          <w:p w14:paraId="272F48F2" w14:textId="77777777" w:rsidR="006C45F6" w:rsidRDefault="00000000">
            <w:r>
              <w:rPr>
                <w:sz w:val="18"/>
              </w:rPr>
              <w:t>Routes, stations, journey status, timestamps and disruption reasons</w:t>
            </w:r>
          </w:p>
        </w:tc>
      </w:tr>
      <w:tr w:rsidR="006C45F6" w14:paraId="599F00C6" w14:textId="77777777">
        <w:trPr>
          <w:jc w:val="center"/>
        </w:trPr>
        <w:tc>
          <w:tcPr>
            <w:tcW w:w="4968" w:type="dxa"/>
            <w:vAlign w:val="center"/>
          </w:tcPr>
          <w:p w14:paraId="2A9C8E87" w14:textId="77777777" w:rsidR="006C45F6" w:rsidRDefault="00000000">
            <w:r>
              <w:rPr>
                <w:b/>
                <w:sz w:val="18"/>
              </w:rPr>
              <w:t>Commercial dimensions</w:t>
            </w:r>
          </w:p>
        </w:tc>
        <w:tc>
          <w:tcPr>
            <w:tcW w:w="4968" w:type="dxa"/>
            <w:vAlign w:val="center"/>
          </w:tcPr>
          <w:p w14:paraId="5314A231" w14:textId="77777777" w:rsidR="006C45F6" w:rsidRDefault="00000000">
            <w:r>
              <w:rPr>
                <w:sz w:val="18"/>
              </w:rPr>
              <w:t>Revenue, ticket type, railcard usage and refunds</w:t>
            </w:r>
          </w:p>
        </w:tc>
      </w:tr>
      <w:tr w:rsidR="006C45F6" w14:paraId="41532867" w14:textId="77777777">
        <w:trPr>
          <w:jc w:val="center"/>
        </w:trPr>
        <w:tc>
          <w:tcPr>
            <w:tcW w:w="4968" w:type="dxa"/>
            <w:vAlign w:val="center"/>
          </w:tcPr>
          <w:p w14:paraId="43ED9701" w14:textId="77777777" w:rsidR="006C45F6" w:rsidRDefault="00000000">
            <w:r>
              <w:rPr>
                <w:b/>
                <w:sz w:val="18"/>
              </w:rPr>
              <w:t>Performance measures</w:t>
            </w:r>
          </w:p>
        </w:tc>
        <w:tc>
          <w:tcPr>
            <w:tcW w:w="4968" w:type="dxa"/>
            <w:vAlign w:val="center"/>
          </w:tcPr>
          <w:p w14:paraId="0CC6CA7F" w14:textId="77777777" w:rsidR="006C45F6" w:rsidRDefault="00000000">
            <w:r>
              <w:rPr>
                <w:sz w:val="18"/>
              </w:rPr>
              <w:t>On-time %, delays, cancellations and route reliability</w:t>
            </w:r>
          </w:p>
        </w:tc>
      </w:tr>
    </w:tbl>
    <w:p w14:paraId="2E41CF16" w14:textId="77777777" w:rsidR="006C45F6" w:rsidRDefault="00000000">
      <w:pPr>
        <w:pStyle w:val="Heading2"/>
      </w:pPr>
      <w:r>
        <w:t>1.3 Analytical approach</w:t>
      </w:r>
    </w:p>
    <w:p w14:paraId="2DB24666" w14:textId="77777777" w:rsidR="006C45F6" w:rsidRDefault="00000000">
      <w:pPr>
        <w:pStyle w:val="ListBullet"/>
        <w:spacing w:after="60"/>
      </w:pPr>
      <w:r>
        <w:t>SQL-based aggregation, time-series analysis and ranking.</w:t>
      </w:r>
    </w:p>
    <w:p w14:paraId="2B4394DE" w14:textId="77777777" w:rsidR="006C45F6" w:rsidRDefault="00000000">
      <w:pPr>
        <w:pStyle w:val="ListBullet"/>
        <w:spacing w:after="60"/>
      </w:pPr>
      <w:r>
        <w:t>Categorical standardisation and validation of operational fields.</w:t>
      </w:r>
    </w:p>
    <w:p w14:paraId="5AB2CC02" w14:textId="77777777" w:rsidR="006C45F6" w:rsidRDefault="00000000">
      <w:pPr>
        <w:pStyle w:val="ListBullet"/>
        <w:spacing w:after="60"/>
      </w:pPr>
      <w:r>
        <w:t>Time parsing for AM/PM timestamps and hour-based demand analysis.</w:t>
      </w:r>
    </w:p>
    <w:p w14:paraId="18494DE2" w14:textId="77777777" w:rsidR="006C45F6" w:rsidRDefault="00000000">
      <w:pPr>
        <w:pStyle w:val="ListBullet"/>
        <w:spacing w:after="60"/>
      </w:pPr>
      <w:r>
        <w:t>Cross-dimensional analysis linking operational performance with revenue and customer impact.</w:t>
      </w:r>
    </w:p>
    <w:p w14:paraId="4F3D92D2" w14:textId="77777777" w:rsidR="006C45F6" w:rsidRDefault="00000000">
      <w:pPr>
        <w:pStyle w:val="Heading1"/>
      </w:pPr>
      <w:r>
        <w:t>2. DATA QUALITY &amp; PREPARATION</w:t>
      </w:r>
    </w:p>
    <w:p w14:paraId="08365337" w14:textId="77777777" w:rsidR="006C45F6" w:rsidRDefault="00000000">
      <w:pPr>
        <w:pStyle w:val="Heading2"/>
      </w:pPr>
      <w:r>
        <w:t>2.1 Data quality challenges</w:t>
      </w:r>
    </w:p>
    <w:p w14:paraId="27231F0D" w14:textId="77777777" w:rsidR="006C45F6" w:rsidRDefault="00000000">
      <w:pPr>
        <w:pStyle w:val="ListBullet"/>
        <w:spacing w:after="60"/>
      </w:pPr>
      <w:r>
        <w:t>Inconsistent categorisation in disruption-reason fields, including variations in capitalisation and naming.</w:t>
      </w:r>
    </w:p>
    <w:p w14:paraId="096B06CC" w14:textId="77777777" w:rsidR="006C45F6" w:rsidRDefault="00000000">
      <w:pPr>
        <w:pStyle w:val="ListBullet"/>
        <w:spacing w:after="60"/>
      </w:pPr>
      <w:r>
        <w:t>12-hour AM/PM time formats requiring parsing for hourly analysis.</w:t>
      </w:r>
    </w:p>
    <w:p w14:paraId="69F0881D" w14:textId="77777777" w:rsidR="006C45F6" w:rsidRDefault="00000000">
      <w:pPr>
        <w:pStyle w:val="ListBullet"/>
        <w:spacing w:after="60"/>
      </w:pPr>
      <w:r>
        <w:t>Journey duration and timestamp calculations requiring validation.</w:t>
      </w:r>
    </w:p>
    <w:p w14:paraId="4BA2AFBA" w14:textId="77777777" w:rsidR="006C45F6" w:rsidRDefault="00000000">
      <w:pPr>
        <w:pStyle w:val="ListBullet"/>
        <w:spacing w:after="60"/>
      </w:pPr>
      <w:r>
        <w:t>Database/table qualification issues resolved through fully qualified table references.</w:t>
      </w:r>
    </w:p>
    <w:p w14:paraId="3B3C61B1" w14:textId="77777777" w:rsidR="006C45F6" w:rsidRDefault="00000000">
      <w:pPr>
        <w:pStyle w:val="Heading2"/>
      </w:pPr>
      <w:r>
        <w:t>2.2 Quality controls applied</w:t>
      </w:r>
    </w:p>
    <w:p w14:paraId="167C8517" w14:textId="77777777" w:rsidR="006C45F6" w:rsidRDefault="00000000">
      <w:pPr>
        <w:pStyle w:val="ListBullet"/>
        <w:spacing w:after="60"/>
      </w:pPr>
      <w:r>
        <w:t>Standardised categorical values and station/reason naming conventions.</w:t>
      </w:r>
    </w:p>
    <w:p w14:paraId="420A8944" w14:textId="77777777" w:rsidR="006C45F6" w:rsidRDefault="00000000">
      <w:pPr>
        <w:pStyle w:val="ListBullet"/>
        <w:spacing w:after="60"/>
      </w:pPr>
      <w:r>
        <w:t>Validated journey totals, revenue totals and journey-status distributions.</w:t>
      </w:r>
    </w:p>
    <w:p w14:paraId="2940BB3D" w14:textId="77777777" w:rsidR="006C45F6" w:rsidRDefault="00000000">
      <w:pPr>
        <w:pStyle w:val="ListBullet"/>
        <w:spacing w:after="60"/>
      </w:pPr>
      <w:r>
        <w:t>Validated time calculations against sample records.</w:t>
      </w:r>
    </w:p>
    <w:p w14:paraId="335BDC37" w14:textId="77777777" w:rsidR="006C45F6" w:rsidRDefault="00000000">
      <w:pPr>
        <w:pStyle w:val="ListBullet"/>
        <w:spacing w:after="60"/>
      </w:pPr>
      <w:r>
        <w:t>Retained 100% of records following preparation and validation.</w:t>
      </w:r>
    </w:p>
    <w:p w14:paraId="661C07A4" w14:textId="77777777" w:rsidR="006C45F6" w:rsidRDefault="00000000">
      <w:r>
        <w:br w:type="page"/>
      </w:r>
    </w:p>
    <w:p w14:paraId="5C5DFA5D" w14:textId="77777777" w:rsidR="006C45F6" w:rsidRDefault="00000000">
      <w:pPr>
        <w:pStyle w:val="Heading1"/>
      </w:pPr>
      <w:r>
        <w:lastRenderedPageBreak/>
        <w:t>3. KEY PERFORMANCE FINDINGS</w:t>
      </w:r>
    </w:p>
    <w:p w14:paraId="1C5AAF2F" w14:textId="77777777" w:rsidR="006C45F6" w:rsidRDefault="00000000">
      <w:pPr>
        <w:pStyle w:val="Heading2"/>
      </w:pPr>
      <w:r>
        <w:t>3.1 Passenger demand &amp; usage</w:t>
      </w:r>
    </w:p>
    <w:tbl>
      <w:tblPr>
        <w:tblW w:w="0" w:type="auto"/>
        <w:jc w:val="center"/>
        <w:tblLook w:val="04A0" w:firstRow="1" w:lastRow="0" w:firstColumn="1" w:lastColumn="0" w:noHBand="0" w:noVBand="1"/>
      </w:tblPr>
      <w:tblGrid>
        <w:gridCol w:w="2484"/>
        <w:gridCol w:w="2484"/>
        <w:gridCol w:w="2484"/>
        <w:gridCol w:w="2484"/>
      </w:tblGrid>
      <w:tr w:rsidR="006C45F6" w14:paraId="5E89BEB6" w14:textId="77777777">
        <w:trPr>
          <w:jc w:val="center"/>
        </w:trPr>
        <w:tc>
          <w:tcPr>
            <w:tcW w:w="2484" w:type="dxa"/>
            <w:shd w:val="clear" w:color="auto" w:fill="F2F6FA"/>
          </w:tcPr>
          <w:p w14:paraId="5DFF590B" w14:textId="77777777" w:rsidR="006C45F6" w:rsidRDefault="00000000">
            <w:pPr>
              <w:jc w:val="center"/>
            </w:pPr>
            <w:r>
              <w:rPr>
                <w:b/>
                <w:color w:val="1F4E78"/>
                <w:sz w:val="32"/>
              </w:rPr>
              <w:t>8,111</w:t>
            </w:r>
            <w:r>
              <w:rPr>
                <w:b/>
                <w:color w:val="1F4E78"/>
                <w:sz w:val="32"/>
              </w:rPr>
              <w:br/>
            </w:r>
            <w:r>
              <w:rPr>
                <w:color w:val="646464"/>
                <w:sz w:val="16"/>
              </w:rPr>
              <w:t>January journeys</w:t>
            </w:r>
          </w:p>
        </w:tc>
        <w:tc>
          <w:tcPr>
            <w:tcW w:w="2484" w:type="dxa"/>
            <w:shd w:val="clear" w:color="auto" w:fill="F2F6FA"/>
          </w:tcPr>
          <w:p w14:paraId="2807D2F7" w14:textId="77777777" w:rsidR="006C45F6" w:rsidRDefault="00000000">
            <w:pPr>
              <w:jc w:val="center"/>
            </w:pPr>
            <w:r>
              <w:rPr>
                <w:b/>
                <w:color w:val="1F4E78"/>
                <w:sz w:val="32"/>
              </w:rPr>
              <w:t>7,644</w:t>
            </w:r>
            <w:r>
              <w:rPr>
                <w:b/>
                <w:color w:val="1F4E78"/>
                <w:sz w:val="32"/>
              </w:rPr>
              <w:br/>
            </w:r>
            <w:r>
              <w:rPr>
                <w:color w:val="646464"/>
                <w:sz w:val="16"/>
              </w:rPr>
              <w:t>February</w:t>
            </w:r>
          </w:p>
        </w:tc>
        <w:tc>
          <w:tcPr>
            <w:tcW w:w="2484" w:type="dxa"/>
            <w:shd w:val="clear" w:color="auto" w:fill="F2F6FA"/>
          </w:tcPr>
          <w:p w14:paraId="4F350AA6" w14:textId="77777777" w:rsidR="006C45F6" w:rsidRDefault="00000000">
            <w:pPr>
              <w:jc w:val="center"/>
            </w:pPr>
            <w:r>
              <w:rPr>
                <w:b/>
                <w:color w:val="1F4E78"/>
                <w:sz w:val="32"/>
              </w:rPr>
              <w:t>8,117</w:t>
            </w:r>
            <w:r>
              <w:rPr>
                <w:b/>
                <w:color w:val="1F4E78"/>
                <w:sz w:val="32"/>
              </w:rPr>
              <w:br/>
            </w:r>
            <w:r>
              <w:rPr>
                <w:color w:val="646464"/>
                <w:sz w:val="16"/>
              </w:rPr>
              <w:t>March</w:t>
            </w:r>
          </w:p>
        </w:tc>
        <w:tc>
          <w:tcPr>
            <w:tcW w:w="2484" w:type="dxa"/>
            <w:shd w:val="clear" w:color="auto" w:fill="F2F6FA"/>
          </w:tcPr>
          <w:p w14:paraId="40E64FA2" w14:textId="77777777" w:rsidR="006C45F6" w:rsidRDefault="00000000">
            <w:pPr>
              <w:jc w:val="center"/>
            </w:pPr>
            <w:r>
              <w:rPr>
                <w:b/>
                <w:color w:val="1F4E78"/>
                <w:sz w:val="32"/>
              </w:rPr>
              <w:t>7,781</w:t>
            </w:r>
            <w:r>
              <w:rPr>
                <w:b/>
                <w:color w:val="1F4E78"/>
                <w:sz w:val="32"/>
              </w:rPr>
              <w:br/>
            </w:r>
            <w:r>
              <w:rPr>
                <w:color w:val="646464"/>
                <w:sz w:val="16"/>
              </w:rPr>
              <w:t>April</w:t>
            </w:r>
          </w:p>
        </w:tc>
      </w:tr>
    </w:tbl>
    <w:p w14:paraId="6566232F" w14:textId="77777777" w:rsidR="006C45F6" w:rsidRDefault="006C45F6"/>
    <w:p w14:paraId="1A609E77" w14:textId="77777777" w:rsidR="006C45F6" w:rsidRDefault="00000000">
      <w:r>
        <w:t>Passenger demand remained relatively stable across the four-month period. February recorded the lowest volume, while March produced the highest. The movement is consistent with normal calendar effects and indicates resilient underlying demand.</w:t>
      </w:r>
    </w:p>
    <w:p w14:paraId="074CCA22" w14:textId="39D5714C" w:rsidR="00E96908" w:rsidRDefault="00E96908">
      <w:r>
        <w:rPr>
          <w:noProof/>
        </w:rPr>
        <w:drawing>
          <wp:inline distT="0" distB="0" distL="0" distR="0" wp14:anchorId="4C6840A2" wp14:editId="62FF263F">
            <wp:extent cx="6309360" cy="2371090"/>
            <wp:effectExtent l="0" t="0" r="2540" b="3810"/>
            <wp:docPr id="14954022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02296" name="Picture 1495402296"/>
                    <pic:cNvPicPr/>
                  </pic:nvPicPr>
                  <pic:blipFill>
                    <a:blip r:embed="rId8"/>
                    <a:stretch>
                      <a:fillRect/>
                    </a:stretch>
                  </pic:blipFill>
                  <pic:spPr>
                    <a:xfrm>
                      <a:off x="0" y="0"/>
                      <a:ext cx="6309360" cy="2371090"/>
                    </a:xfrm>
                    <a:prstGeom prst="rect">
                      <a:avLst/>
                    </a:prstGeom>
                  </pic:spPr>
                </pic:pic>
              </a:graphicData>
            </a:graphic>
          </wp:inline>
        </w:drawing>
      </w:r>
    </w:p>
    <w:p w14:paraId="34A0693E" w14:textId="77777777" w:rsidR="00E96908" w:rsidRDefault="00E96908"/>
    <w:p w14:paraId="51E4073B" w14:textId="77777777" w:rsidR="00E96908" w:rsidRDefault="00E96908"/>
    <w:p w14:paraId="07ABED49" w14:textId="77777777" w:rsidR="006C45F6" w:rsidRDefault="00000000">
      <w:pPr>
        <w:pStyle w:val="Heading3"/>
      </w:pPr>
      <w:r>
        <w:t>Railcard penetration</w:t>
      </w:r>
    </w:p>
    <w:p w14:paraId="69BAC9E1" w14:textId="41F4511A" w:rsidR="006C45F6" w:rsidRDefault="00000000">
      <w:r>
        <w:t xml:space="preserve">Railcard holders represent </w:t>
      </w:r>
      <w:r w:rsidR="00E96908">
        <w:t>6</w:t>
      </w:r>
      <w:r>
        <w:t>6.5% of passengers, while non-</w:t>
      </w:r>
      <w:proofErr w:type="spellStart"/>
      <w:r>
        <w:t>railcard</w:t>
      </w:r>
      <w:proofErr w:type="spellEnd"/>
      <w:r>
        <w:t xml:space="preserve"> passengers represent </w:t>
      </w:r>
      <w:r w:rsidR="00E96908">
        <w:t>3</w:t>
      </w:r>
      <w:r>
        <w:t>3.5%. This indicates that discount programmes are relevant to more than one-third of the customer base and should be considered when evaluating pricing, loyalty and revenue strategies.</w:t>
      </w:r>
    </w:p>
    <w:p w14:paraId="7E0CECBF" w14:textId="33F6548D" w:rsidR="00E96908" w:rsidRDefault="00E96908">
      <w:r>
        <w:rPr>
          <w:noProof/>
        </w:rPr>
        <w:drawing>
          <wp:inline distT="0" distB="0" distL="0" distR="0" wp14:anchorId="55D1B95F" wp14:editId="14009973">
            <wp:extent cx="6309360" cy="2493010"/>
            <wp:effectExtent l="0" t="0" r="2540" b="0"/>
            <wp:docPr id="2131629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29639" name="Picture 2131629639"/>
                    <pic:cNvPicPr/>
                  </pic:nvPicPr>
                  <pic:blipFill>
                    <a:blip r:embed="rId9"/>
                    <a:stretch>
                      <a:fillRect/>
                    </a:stretch>
                  </pic:blipFill>
                  <pic:spPr>
                    <a:xfrm>
                      <a:off x="0" y="0"/>
                      <a:ext cx="6309360" cy="2493010"/>
                    </a:xfrm>
                    <a:prstGeom prst="rect">
                      <a:avLst/>
                    </a:prstGeom>
                  </pic:spPr>
                </pic:pic>
              </a:graphicData>
            </a:graphic>
          </wp:inline>
        </w:drawing>
      </w:r>
    </w:p>
    <w:p w14:paraId="3DDFBE11" w14:textId="77777777" w:rsidR="006C45F6" w:rsidRDefault="00000000">
      <w:pPr>
        <w:pStyle w:val="Heading3"/>
      </w:pPr>
      <w:r>
        <w:lastRenderedPageBreak/>
        <w:t>Peak travel</w:t>
      </w:r>
    </w:p>
    <w:p w14:paraId="4B8B5948" w14:textId="77777777" w:rsidR="006C45F6" w:rsidRDefault="00000000">
      <w:r>
        <w:t>The 6:00–9:00 AM window is the key commuter period, with 8:00 AM identified as the busiest hour. The leading AM stations are Manchester Piccadilly, London Euston, Liverpool Lime Street, Birmingham New Street and London Kings Cross.</w:t>
      </w:r>
    </w:p>
    <w:p w14:paraId="1AA0925B" w14:textId="3D883E3E" w:rsidR="00E96908" w:rsidRDefault="00E96908" w:rsidP="0077591A">
      <w:pPr>
        <w:jc w:val="center"/>
      </w:pPr>
      <w:r>
        <w:rPr>
          <w:noProof/>
        </w:rPr>
        <w:drawing>
          <wp:inline distT="0" distB="0" distL="0" distR="0" wp14:anchorId="2EC89276" wp14:editId="105BB615">
            <wp:extent cx="5387926" cy="2284554"/>
            <wp:effectExtent l="0" t="0" r="0" b="1905"/>
            <wp:docPr id="20771229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22939" name="Picture 2077122939"/>
                    <pic:cNvPicPr/>
                  </pic:nvPicPr>
                  <pic:blipFill>
                    <a:blip r:embed="rId10"/>
                    <a:stretch>
                      <a:fillRect/>
                    </a:stretch>
                  </pic:blipFill>
                  <pic:spPr>
                    <a:xfrm>
                      <a:off x="0" y="0"/>
                      <a:ext cx="5418469" cy="2297505"/>
                    </a:xfrm>
                    <a:prstGeom prst="rect">
                      <a:avLst/>
                    </a:prstGeom>
                  </pic:spPr>
                </pic:pic>
              </a:graphicData>
            </a:graphic>
          </wp:inline>
        </w:drawing>
      </w:r>
    </w:p>
    <w:p w14:paraId="5576FB4E" w14:textId="77777777" w:rsidR="00E96908" w:rsidRDefault="00E96908"/>
    <w:p w14:paraId="3BED0775" w14:textId="77777777" w:rsidR="006C45F6" w:rsidRDefault="00000000">
      <w:pPr>
        <w:pStyle w:val="Heading3"/>
      </w:pPr>
      <w:r>
        <w:t>Ticket mix</w:t>
      </w:r>
    </w:p>
    <w:p w14:paraId="0F43E75A" w14:textId="77777777" w:rsidR="006C45F6" w:rsidRDefault="00000000">
      <w:pPr>
        <w:pStyle w:val="ListBullet"/>
        <w:spacing w:after="60"/>
      </w:pPr>
      <w:r>
        <w:t>Advance tickets: £289,896 (39.1% of revenue)</w:t>
      </w:r>
    </w:p>
    <w:p w14:paraId="3B0F24FD" w14:textId="77777777" w:rsidR="006C45F6" w:rsidRDefault="00000000">
      <w:pPr>
        <w:pStyle w:val="ListBullet"/>
        <w:spacing w:after="60"/>
      </w:pPr>
      <w:r>
        <w:t>Off-Peak tickets: £241,614 (32.6%)</w:t>
      </w:r>
    </w:p>
    <w:p w14:paraId="4F0AC7B7" w14:textId="77777777" w:rsidR="006C45F6" w:rsidRDefault="00000000">
      <w:pPr>
        <w:pStyle w:val="ListBullet"/>
        <w:spacing w:after="60"/>
      </w:pPr>
      <w:r>
        <w:t>Anytime tickets: £209,455 (28.3%)</w:t>
      </w:r>
    </w:p>
    <w:p w14:paraId="26913212" w14:textId="77777777" w:rsidR="004C646D" w:rsidRDefault="004C646D" w:rsidP="004C646D">
      <w:pPr>
        <w:pStyle w:val="ListBullet"/>
        <w:numPr>
          <w:ilvl w:val="0"/>
          <w:numId w:val="0"/>
        </w:numPr>
        <w:spacing w:after="60"/>
        <w:ind w:left="360" w:hanging="360"/>
      </w:pPr>
    </w:p>
    <w:p w14:paraId="48809959" w14:textId="5A1A2C5F" w:rsidR="0077591A" w:rsidRDefault="0077591A" w:rsidP="0077591A">
      <w:pPr>
        <w:pStyle w:val="ListBullet"/>
        <w:numPr>
          <w:ilvl w:val="0"/>
          <w:numId w:val="0"/>
        </w:numPr>
        <w:spacing w:after="60"/>
        <w:ind w:left="360" w:hanging="360"/>
        <w:jc w:val="center"/>
      </w:pPr>
      <w:r>
        <w:rPr>
          <w:noProof/>
        </w:rPr>
        <w:drawing>
          <wp:inline distT="0" distB="0" distL="0" distR="0" wp14:anchorId="39252D67" wp14:editId="4258BD99">
            <wp:extent cx="2841674" cy="2746151"/>
            <wp:effectExtent l="0" t="0" r="3175" b="0"/>
            <wp:docPr id="463482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8277" name="Picture 46348277"/>
                    <pic:cNvPicPr/>
                  </pic:nvPicPr>
                  <pic:blipFill>
                    <a:blip r:embed="rId11"/>
                    <a:stretch>
                      <a:fillRect/>
                    </a:stretch>
                  </pic:blipFill>
                  <pic:spPr>
                    <a:xfrm>
                      <a:off x="0" y="0"/>
                      <a:ext cx="2856532" cy="2760509"/>
                    </a:xfrm>
                    <a:prstGeom prst="rect">
                      <a:avLst/>
                    </a:prstGeom>
                  </pic:spPr>
                </pic:pic>
              </a:graphicData>
            </a:graphic>
          </wp:inline>
        </w:drawing>
      </w:r>
    </w:p>
    <w:p w14:paraId="335BFD99" w14:textId="77777777" w:rsidR="00E96908" w:rsidRDefault="00E96908" w:rsidP="00E96908">
      <w:pPr>
        <w:pStyle w:val="ListBullet"/>
        <w:numPr>
          <w:ilvl w:val="0"/>
          <w:numId w:val="0"/>
        </w:numPr>
        <w:spacing w:after="60"/>
        <w:ind w:left="360" w:hanging="360"/>
      </w:pPr>
    </w:p>
    <w:p w14:paraId="18DD0F3A" w14:textId="77777777" w:rsidR="00E96908" w:rsidRDefault="00E96908" w:rsidP="00E96908">
      <w:pPr>
        <w:pStyle w:val="ListBullet"/>
        <w:numPr>
          <w:ilvl w:val="0"/>
          <w:numId w:val="0"/>
        </w:numPr>
        <w:spacing w:after="60"/>
        <w:ind w:left="360" w:hanging="360"/>
      </w:pPr>
    </w:p>
    <w:p w14:paraId="099C64F3" w14:textId="77777777" w:rsidR="00E96908" w:rsidRDefault="00E96908" w:rsidP="00E96908">
      <w:pPr>
        <w:pStyle w:val="ListBullet"/>
        <w:numPr>
          <w:ilvl w:val="0"/>
          <w:numId w:val="0"/>
        </w:numPr>
        <w:spacing w:after="60"/>
        <w:ind w:left="360" w:hanging="360"/>
      </w:pPr>
    </w:p>
    <w:p w14:paraId="63021563" w14:textId="77777777" w:rsidR="00E96908" w:rsidRDefault="00E96908" w:rsidP="00E96908">
      <w:pPr>
        <w:pStyle w:val="ListBullet"/>
        <w:numPr>
          <w:ilvl w:val="0"/>
          <w:numId w:val="0"/>
        </w:numPr>
        <w:spacing w:after="60"/>
        <w:ind w:left="360" w:hanging="360"/>
      </w:pPr>
    </w:p>
    <w:p w14:paraId="5D35C389" w14:textId="77777777" w:rsidR="0077591A" w:rsidRDefault="0077591A" w:rsidP="00E96908">
      <w:pPr>
        <w:pStyle w:val="ListBullet"/>
        <w:numPr>
          <w:ilvl w:val="0"/>
          <w:numId w:val="0"/>
        </w:numPr>
        <w:spacing w:after="60"/>
        <w:ind w:left="360" w:hanging="360"/>
      </w:pPr>
    </w:p>
    <w:p w14:paraId="05EC8BBF" w14:textId="77777777" w:rsidR="00E96908" w:rsidRDefault="00E96908" w:rsidP="00E96908">
      <w:pPr>
        <w:pStyle w:val="ListBullet"/>
        <w:numPr>
          <w:ilvl w:val="0"/>
          <w:numId w:val="0"/>
        </w:numPr>
        <w:spacing w:after="60"/>
        <w:ind w:left="360" w:hanging="360"/>
      </w:pPr>
    </w:p>
    <w:p w14:paraId="6B9C8E18" w14:textId="77777777" w:rsidR="006C45F6" w:rsidRDefault="00000000">
      <w:pPr>
        <w:pStyle w:val="Heading2"/>
      </w:pPr>
      <w:r>
        <w:lastRenderedPageBreak/>
        <w:t>3.2 Service reliability</w:t>
      </w:r>
    </w:p>
    <w:tbl>
      <w:tblPr>
        <w:tblW w:w="0" w:type="auto"/>
        <w:jc w:val="center"/>
        <w:tblLook w:val="04A0" w:firstRow="1" w:lastRow="0" w:firstColumn="1" w:lastColumn="0" w:noHBand="0" w:noVBand="1"/>
      </w:tblPr>
      <w:tblGrid>
        <w:gridCol w:w="2484"/>
        <w:gridCol w:w="2484"/>
        <w:gridCol w:w="2484"/>
        <w:gridCol w:w="2484"/>
      </w:tblGrid>
      <w:tr w:rsidR="006C45F6" w14:paraId="582B12E8" w14:textId="77777777">
        <w:trPr>
          <w:jc w:val="center"/>
        </w:trPr>
        <w:tc>
          <w:tcPr>
            <w:tcW w:w="2484" w:type="dxa"/>
            <w:shd w:val="clear" w:color="auto" w:fill="F2F6FA"/>
          </w:tcPr>
          <w:p w14:paraId="70042E05" w14:textId="77777777" w:rsidR="006C45F6" w:rsidRDefault="00000000">
            <w:pPr>
              <w:jc w:val="center"/>
            </w:pPr>
            <w:r>
              <w:rPr>
                <w:b/>
                <w:color w:val="1F4E78"/>
                <w:sz w:val="32"/>
              </w:rPr>
              <w:t>27,481</w:t>
            </w:r>
            <w:r>
              <w:rPr>
                <w:b/>
                <w:color w:val="1F4E78"/>
                <w:sz w:val="32"/>
              </w:rPr>
              <w:br/>
            </w:r>
            <w:r>
              <w:rPr>
                <w:color w:val="646464"/>
                <w:sz w:val="16"/>
              </w:rPr>
              <w:t>On time</w:t>
            </w:r>
          </w:p>
        </w:tc>
        <w:tc>
          <w:tcPr>
            <w:tcW w:w="2484" w:type="dxa"/>
            <w:shd w:val="clear" w:color="auto" w:fill="F2F6FA"/>
          </w:tcPr>
          <w:p w14:paraId="6B666708" w14:textId="77777777" w:rsidR="006C45F6" w:rsidRDefault="00000000">
            <w:pPr>
              <w:jc w:val="center"/>
            </w:pPr>
            <w:r>
              <w:rPr>
                <w:b/>
                <w:color w:val="1F4E78"/>
                <w:sz w:val="32"/>
              </w:rPr>
              <w:t>2,292</w:t>
            </w:r>
            <w:r>
              <w:rPr>
                <w:b/>
                <w:color w:val="1F4E78"/>
                <w:sz w:val="32"/>
              </w:rPr>
              <w:br/>
            </w:r>
            <w:r>
              <w:rPr>
                <w:color w:val="646464"/>
                <w:sz w:val="16"/>
              </w:rPr>
              <w:t>Delayed</w:t>
            </w:r>
          </w:p>
        </w:tc>
        <w:tc>
          <w:tcPr>
            <w:tcW w:w="2484" w:type="dxa"/>
            <w:shd w:val="clear" w:color="auto" w:fill="F2F6FA"/>
          </w:tcPr>
          <w:p w14:paraId="528B896D" w14:textId="77777777" w:rsidR="006C45F6" w:rsidRDefault="00000000">
            <w:pPr>
              <w:jc w:val="center"/>
            </w:pPr>
            <w:r>
              <w:rPr>
                <w:b/>
                <w:color w:val="1F4E78"/>
                <w:sz w:val="32"/>
              </w:rPr>
              <w:t>1,880</w:t>
            </w:r>
            <w:r>
              <w:rPr>
                <w:b/>
                <w:color w:val="1F4E78"/>
                <w:sz w:val="32"/>
              </w:rPr>
              <w:br/>
            </w:r>
            <w:r>
              <w:rPr>
                <w:color w:val="646464"/>
                <w:sz w:val="16"/>
              </w:rPr>
              <w:t>Cancelled</w:t>
            </w:r>
          </w:p>
        </w:tc>
        <w:tc>
          <w:tcPr>
            <w:tcW w:w="2484" w:type="dxa"/>
            <w:shd w:val="clear" w:color="auto" w:fill="F2F6FA"/>
          </w:tcPr>
          <w:p w14:paraId="4E240D9D" w14:textId="77777777" w:rsidR="006C45F6" w:rsidRDefault="00000000">
            <w:pPr>
              <w:jc w:val="center"/>
            </w:pPr>
            <w:r>
              <w:rPr>
                <w:b/>
                <w:color w:val="1F4E78"/>
                <w:sz w:val="32"/>
              </w:rPr>
              <w:t>13.18%</w:t>
            </w:r>
            <w:r>
              <w:rPr>
                <w:b/>
                <w:color w:val="1F4E78"/>
                <w:sz w:val="32"/>
              </w:rPr>
              <w:br/>
            </w:r>
            <w:r>
              <w:rPr>
                <w:color w:val="646464"/>
                <w:sz w:val="16"/>
              </w:rPr>
              <w:t>Total disruption</w:t>
            </w:r>
          </w:p>
        </w:tc>
      </w:tr>
    </w:tbl>
    <w:p w14:paraId="07812414" w14:textId="77777777" w:rsidR="006C45F6" w:rsidRDefault="006C45F6"/>
    <w:p w14:paraId="0051C5EC" w14:textId="77777777" w:rsidR="006C45F6" w:rsidRDefault="00000000">
      <w:r>
        <w:t>Overall reliability is positive but leaves a material opportunity for improvement. Approximately one in every eight journeys experienced either a delay or cancellation.</w:t>
      </w:r>
    </w:p>
    <w:p w14:paraId="5C229A1E" w14:textId="77777777" w:rsidR="006C45F6" w:rsidRDefault="00000000">
      <w:pPr>
        <w:pStyle w:val="Heading3"/>
      </w:pPr>
      <w:r>
        <w:t>Delay root causes</w:t>
      </w:r>
    </w:p>
    <w:tbl>
      <w:tblPr>
        <w:tblW w:w="0" w:type="auto"/>
        <w:jc w:val="center"/>
        <w:tblLook w:val="04A0" w:firstRow="1" w:lastRow="0" w:firstColumn="1" w:lastColumn="0" w:noHBand="0" w:noVBand="1"/>
      </w:tblPr>
      <w:tblGrid>
        <w:gridCol w:w="3312"/>
        <w:gridCol w:w="3312"/>
        <w:gridCol w:w="3312"/>
      </w:tblGrid>
      <w:tr w:rsidR="006C45F6" w14:paraId="229305F1" w14:textId="77777777">
        <w:trPr>
          <w:jc w:val="center"/>
        </w:trPr>
        <w:tc>
          <w:tcPr>
            <w:tcW w:w="3312" w:type="dxa"/>
            <w:shd w:val="clear" w:color="auto" w:fill="1F4E78"/>
            <w:vAlign w:val="center"/>
          </w:tcPr>
          <w:p w14:paraId="367F5142" w14:textId="77777777" w:rsidR="006C45F6" w:rsidRDefault="00000000">
            <w:r>
              <w:rPr>
                <w:b/>
                <w:color w:val="FFFFFF"/>
                <w:sz w:val="18"/>
              </w:rPr>
              <w:t>Cause</w:t>
            </w:r>
          </w:p>
        </w:tc>
        <w:tc>
          <w:tcPr>
            <w:tcW w:w="3312" w:type="dxa"/>
            <w:shd w:val="clear" w:color="auto" w:fill="1F4E78"/>
            <w:vAlign w:val="center"/>
          </w:tcPr>
          <w:p w14:paraId="4D5D2977" w14:textId="77777777" w:rsidR="006C45F6" w:rsidRDefault="00000000">
            <w:r>
              <w:rPr>
                <w:b/>
                <w:color w:val="FFFFFF"/>
                <w:sz w:val="18"/>
              </w:rPr>
              <w:t>Incidents</w:t>
            </w:r>
          </w:p>
        </w:tc>
        <w:tc>
          <w:tcPr>
            <w:tcW w:w="3312" w:type="dxa"/>
            <w:shd w:val="clear" w:color="auto" w:fill="1F4E78"/>
            <w:vAlign w:val="center"/>
          </w:tcPr>
          <w:p w14:paraId="0A0CA7EE" w14:textId="77777777" w:rsidR="006C45F6" w:rsidRDefault="00000000">
            <w:r>
              <w:rPr>
                <w:b/>
                <w:color w:val="FFFFFF"/>
                <w:sz w:val="18"/>
              </w:rPr>
              <w:t>Share of delays</w:t>
            </w:r>
          </w:p>
        </w:tc>
      </w:tr>
      <w:tr w:rsidR="006C45F6" w14:paraId="0FD863C0" w14:textId="77777777">
        <w:trPr>
          <w:jc w:val="center"/>
        </w:trPr>
        <w:tc>
          <w:tcPr>
            <w:tcW w:w="3312" w:type="dxa"/>
            <w:vAlign w:val="center"/>
          </w:tcPr>
          <w:p w14:paraId="7D57B607" w14:textId="77777777" w:rsidR="006C45F6" w:rsidRDefault="00000000">
            <w:r>
              <w:rPr>
                <w:b/>
                <w:sz w:val="18"/>
              </w:rPr>
              <w:t>Weather conditions</w:t>
            </w:r>
          </w:p>
        </w:tc>
        <w:tc>
          <w:tcPr>
            <w:tcW w:w="3312" w:type="dxa"/>
            <w:vAlign w:val="center"/>
          </w:tcPr>
          <w:p w14:paraId="28EF35B0" w14:textId="77777777" w:rsidR="006C45F6" w:rsidRDefault="00000000">
            <w:r>
              <w:rPr>
                <w:sz w:val="18"/>
              </w:rPr>
              <w:t>927</w:t>
            </w:r>
          </w:p>
        </w:tc>
        <w:tc>
          <w:tcPr>
            <w:tcW w:w="3312" w:type="dxa"/>
            <w:vAlign w:val="center"/>
          </w:tcPr>
          <w:p w14:paraId="7BEB6040" w14:textId="77777777" w:rsidR="006C45F6" w:rsidRDefault="00000000">
            <w:r>
              <w:rPr>
                <w:sz w:val="18"/>
              </w:rPr>
              <w:t>40.45%</w:t>
            </w:r>
          </w:p>
        </w:tc>
      </w:tr>
      <w:tr w:rsidR="006C45F6" w14:paraId="61603E5A" w14:textId="77777777">
        <w:trPr>
          <w:jc w:val="center"/>
        </w:trPr>
        <w:tc>
          <w:tcPr>
            <w:tcW w:w="3312" w:type="dxa"/>
            <w:vAlign w:val="center"/>
          </w:tcPr>
          <w:p w14:paraId="7B7770D2" w14:textId="77777777" w:rsidR="006C45F6" w:rsidRDefault="00000000">
            <w:r>
              <w:rPr>
                <w:b/>
                <w:sz w:val="18"/>
              </w:rPr>
              <w:t>Technical issues</w:t>
            </w:r>
          </w:p>
        </w:tc>
        <w:tc>
          <w:tcPr>
            <w:tcW w:w="3312" w:type="dxa"/>
            <w:vAlign w:val="center"/>
          </w:tcPr>
          <w:p w14:paraId="303031B5" w14:textId="77777777" w:rsidR="006C45F6" w:rsidRDefault="00000000">
            <w:r>
              <w:rPr>
                <w:sz w:val="18"/>
              </w:rPr>
              <w:t>472</w:t>
            </w:r>
          </w:p>
        </w:tc>
        <w:tc>
          <w:tcPr>
            <w:tcW w:w="3312" w:type="dxa"/>
            <w:vAlign w:val="center"/>
          </w:tcPr>
          <w:p w14:paraId="43EFCB8A" w14:textId="77777777" w:rsidR="006C45F6" w:rsidRDefault="00000000">
            <w:r>
              <w:rPr>
                <w:sz w:val="18"/>
              </w:rPr>
              <w:t>20.59%</w:t>
            </w:r>
          </w:p>
        </w:tc>
      </w:tr>
      <w:tr w:rsidR="006C45F6" w14:paraId="15DBAF8D" w14:textId="77777777">
        <w:trPr>
          <w:jc w:val="center"/>
        </w:trPr>
        <w:tc>
          <w:tcPr>
            <w:tcW w:w="3312" w:type="dxa"/>
            <w:vAlign w:val="center"/>
          </w:tcPr>
          <w:p w14:paraId="4444FF00" w14:textId="77777777" w:rsidR="006C45F6" w:rsidRDefault="00000000">
            <w:r>
              <w:rPr>
                <w:b/>
                <w:sz w:val="18"/>
              </w:rPr>
              <w:t>Signal failure</w:t>
            </w:r>
          </w:p>
        </w:tc>
        <w:tc>
          <w:tcPr>
            <w:tcW w:w="3312" w:type="dxa"/>
            <w:vAlign w:val="center"/>
          </w:tcPr>
          <w:p w14:paraId="25F789F4" w14:textId="77777777" w:rsidR="006C45F6" w:rsidRDefault="00000000">
            <w:r>
              <w:rPr>
                <w:sz w:val="18"/>
              </w:rPr>
              <w:t>451</w:t>
            </w:r>
          </w:p>
        </w:tc>
        <w:tc>
          <w:tcPr>
            <w:tcW w:w="3312" w:type="dxa"/>
            <w:vAlign w:val="center"/>
          </w:tcPr>
          <w:p w14:paraId="24741F26" w14:textId="77777777" w:rsidR="006C45F6" w:rsidRDefault="00000000">
            <w:r>
              <w:rPr>
                <w:sz w:val="18"/>
              </w:rPr>
              <w:t>19.68%</w:t>
            </w:r>
          </w:p>
        </w:tc>
      </w:tr>
      <w:tr w:rsidR="006C45F6" w14:paraId="494F4445" w14:textId="77777777">
        <w:trPr>
          <w:jc w:val="center"/>
        </w:trPr>
        <w:tc>
          <w:tcPr>
            <w:tcW w:w="3312" w:type="dxa"/>
            <w:vAlign w:val="center"/>
          </w:tcPr>
          <w:p w14:paraId="27EA7749" w14:textId="77777777" w:rsidR="006C45F6" w:rsidRDefault="00000000">
            <w:r>
              <w:rPr>
                <w:b/>
                <w:sz w:val="18"/>
              </w:rPr>
              <w:t>Staff shortage</w:t>
            </w:r>
          </w:p>
        </w:tc>
        <w:tc>
          <w:tcPr>
            <w:tcW w:w="3312" w:type="dxa"/>
            <w:vAlign w:val="center"/>
          </w:tcPr>
          <w:p w14:paraId="68EEF4CC" w14:textId="77777777" w:rsidR="006C45F6" w:rsidRDefault="00000000">
            <w:r>
              <w:rPr>
                <w:sz w:val="18"/>
              </w:rPr>
              <w:t>355</w:t>
            </w:r>
          </w:p>
        </w:tc>
        <w:tc>
          <w:tcPr>
            <w:tcW w:w="3312" w:type="dxa"/>
            <w:vAlign w:val="center"/>
          </w:tcPr>
          <w:p w14:paraId="323228AD" w14:textId="77777777" w:rsidR="006C45F6" w:rsidRDefault="00000000">
            <w:r>
              <w:rPr>
                <w:sz w:val="18"/>
              </w:rPr>
              <w:t>15.49%</w:t>
            </w:r>
          </w:p>
        </w:tc>
      </w:tr>
      <w:tr w:rsidR="006C45F6" w14:paraId="7767778E" w14:textId="77777777">
        <w:trPr>
          <w:jc w:val="center"/>
        </w:trPr>
        <w:tc>
          <w:tcPr>
            <w:tcW w:w="3312" w:type="dxa"/>
            <w:vAlign w:val="center"/>
          </w:tcPr>
          <w:p w14:paraId="00FAF997" w14:textId="77777777" w:rsidR="006C45F6" w:rsidRDefault="00000000">
            <w:r>
              <w:rPr>
                <w:b/>
                <w:sz w:val="18"/>
              </w:rPr>
              <w:t>Traffic</w:t>
            </w:r>
          </w:p>
        </w:tc>
        <w:tc>
          <w:tcPr>
            <w:tcW w:w="3312" w:type="dxa"/>
            <w:vAlign w:val="center"/>
          </w:tcPr>
          <w:p w14:paraId="3745C643" w14:textId="77777777" w:rsidR="006C45F6" w:rsidRDefault="00000000">
            <w:r>
              <w:rPr>
                <w:sz w:val="18"/>
              </w:rPr>
              <w:t>87</w:t>
            </w:r>
          </w:p>
        </w:tc>
        <w:tc>
          <w:tcPr>
            <w:tcW w:w="3312" w:type="dxa"/>
            <w:vAlign w:val="center"/>
          </w:tcPr>
          <w:p w14:paraId="0AD3B8DC" w14:textId="77777777" w:rsidR="006C45F6" w:rsidRDefault="00000000">
            <w:r>
              <w:rPr>
                <w:sz w:val="18"/>
              </w:rPr>
              <w:t>3.80%</w:t>
            </w:r>
          </w:p>
        </w:tc>
      </w:tr>
    </w:tbl>
    <w:p w14:paraId="57628629" w14:textId="77777777" w:rsidR="006C45F6" w:rsidRDefault="00000000">
      <w:r>
        <w:rPr>
          <w:b/>
        </w:rPr>
        <w:t xml:space="preserve">Management implication: </w:t>
      </w:r>
      <w:r>
        <w:t>Weather is the single largest delay driver. Its 40.45% contribution makes weather-readiness the clearest operational priority, while technical, signalling and staffing issues remain important secondary contributors.</w:t>
      </w:r>
    </w:p>
    <w:p w14:paraId="79C1AB3B" w14:textId="77777777" w:rsidR="006C45F6" w:rsidRDefault="00000000">
      <w:pPr>
        <w:pStyle w:val="Heading3"/>
      </w:pPr>
      <w:r>
        <w:t>Cancellation profile</w:t>
      </w:r>
    </w:p>
    <w:p w14:paraId="15D2FC8F" w14:textId="77777777" w:rsidR="006C45F6" w:rsidRDefault="00000000">
      <w:pPr>
        <w:pStyle w:val="ListBullet"/>
        <w:spacing w:after="60"/>
      </w:pPr>
      <w:r>
        <w:t>Signal failure: 519 cancellations (27.6%)</w:t>
      </w:r>
    </w:p>
    <w:p w14:paraId="5A2FB2AB" w14:textId="77777777" w:rsidR="006C45F6" w:rsidRDefault="00000000">
      <w:pPr>
        <w:pStyle w:val="ListBullet"/>
        <w:spacing w:after="60"/>
      </w:pPr>
      <w:r>
        <w:t>Staff shortage: 454 cancellations (24.2%)</w:t>
      </w:r>
    </w:p>
    <w:p w14:paraId="72E63737" w14:textId="77777777" w:rsidR="006C45F6" w:rsidRDefault="00000000">
      <w:pPr>
        <w:pStyle w:val="ListBullet"/>
        <w:spacing w:after="60"/>
      </w:pPr>
      <w:r>
        <w:t>Weather conditions: 445 cancellations (23.7%)</w:t>
      </w:r>
    </w:p>
    <w:p w14:paraId="04E124CE" w14:textId="77777777" w:rsidR="006C45F6" w:rsidRDefault="00000000">
      <w:pPr>
        <w:pStyle w:val="ListBullet"/>
        <w:spacing w:after="60"/>
      </w:pPr>
      <w:r>
        <w:t>Technical issue: 235 cancellations (12.5%)</w:t>
      </w:r>
    </w:p>
    <w:p w14:paraId="4C4DB4FF" w14:textId="77777777" w:rsidR="006C45F6" w:rsidRDefault="00000000">
      <w:pPr>
        <w:pStyle w:val="ListBullet"/>
        <w:spacing w:after="60"/>
      </w:pPr>
      <w:r>
        <w:t>Traffic: 227 cancellations (12.1%)</w:t>
      </w:r>
    </w:p>
    <w:p w14:paraId="4C93E3FD" w14:textId="77777777" w:rsidR="00E96908" w:rsidRDefault="00E96908" w:rsidP="00E96908">
      <w:pPr>
        <w:pStyle w:val="ListBullet"/>
        <w:numPr>
          <w:ilvl w:val="0"/>
          <w:numId w:val="0"/>
        </w:numPr>
        <w:spacing w:after="60"/>
        <w:ind w:left="360" w:hanging="360"/>
      </w:pPr>
    </w:p>
    <w:p w14:paraId="408C92E6" w14:textId="77777777" w:rsidR="00E96908" w:rsidRDefault="00E96908" w:rsidP="00E96908">
      <w:pPr>
        <w:pStyle w:val="ListBullet"/>
        <w:numPr>
          <w:ilvl w:val="0"/>
          <w:numId w:val="0"/>
        </w:numPr>
        <w:spacing w:after="60"/>
        <w:ind w:left="360" w:hanging="360"/>
      </w:pPr>
    </w:p>
    <w:p w14:paraId="32FB5582" w14:textId="77777777" w:rsidR="00E96908" w:rsidRDefault="00E96908" w:rsidP="00E96908">
      <w:pPr>
        <w:pStyle w:val="ListBullet"/>
        <w:numPr>
          <w:ilvl w:val="0"/>
          <w:numId w:val="0"/>
        </w:numPr>
        <w:spacing w:after="60"/>
        <w:ind w:left="360" w:hanging="360"/>
      </w:pPr>
    </w:p>
    <w:p w14:paraId="3F52A094" w14:textId="77777777" w:rsidR="00E96908" w:rsidRDefault="00E96908" w:rsidP="00E96908">
      <w:pPr>
        <w:pStyle w:val="ListBullet"/>
        <w:numPr>
          <w:ilvl w:val="0"/>
          <w:numId w:val="0"/>
        </w:numPr>
        <w:spacing w:after="60"/>
        <w:ind w:left="360" w:hanging="360"/>
      </w:pPr>
    </w:p>
    <w:p w14:paraId="3F019859" w14:textId="77777777" w:rsidR="00E96908" w:rsidRDefault="00E96908" w:rsidP="00E96908">
      <w:pPr>
        <w:pStyle w:val="ListBullet"/>
        <w:numPr>
          <w:ilvl w:val="0"/>
          <w:numId w:val="0"/>
        </w:numPr>
        <w:spacing w:after="60"/>
        <w:ind w:left="360" w:hanging="360"/>
      </w:pPr>
    </w:p>
    <w:p w14:paraId="627A4550" w14:textId="77777777" w:rsidR="00E96908" w:rsidRDefault="00E96908" w:rsidP="00E96908">
      <w:pPr>
        <w:pStyle w:val="ListBullet"/>
        <w:numPr>
          <w:ilvl w:val="0"/>
          <w:numId w:val="0"/>
        </w:numPr>
        <w:spacing w:after="60"/>
        <w:ind w:left="360" w:hanging="360"/>
      </w:pPr>
    </w:p>
    <w:p w14:paraId="36BC05A4" w14:textId="77777777" w:rsidR="00E96908" w:rsidRDefault="00E96908" w:rsidP="00E96908">
      <w:pPr>
        <w:pStyle w:val="ListBullet"/>
        <w:numPr>
          <w:ilvl w:val="0"/>
          <w:numId w:val="0"/>
        </w:numPr>
        <w:spacing w:after="60"/>
        <w:ind w:left="360" w:hanging="360"/>
      </w:pPr>
    </w:p>
    <w:p w14:paraId="07D2FBF7" w14:textId="77777777" w:rsidR="00E96908" w:rsidRDefault="00E96908" w:rsidP="00E96908">
      <w:pPr>
        <w:pStyle w:val="ListBullet"/>
        <w:numPr>
          <w:ilvl w:val="0"/>
          <w:numId w:val="0"/>
        </w:numPr>
        <w:spacing w:after="60"/>
        <w:ind w:left="360" w:hanging="360"/>
      </w:pPr>
    </w:p>
    <w:p w14:paraId="08E5A0B5" w14:textId="77777777" w:rsidR="00E96908" w:rsidRDefault="00E96908" w:rsidP="00E96908">
      <w:pPr>
        <w:pStyle w:val="ListBullet"/>
        <w:numPr>
          <w:ilvl w:val="0"/>
          <w:numId w:val="0"/>
        </w:numPr>
        <w:spacing w:after="60"/>
        <w:ind w:left="360" w:hanging="360"/>
      </w:pPr>
    </w:p>
    <w:p w14:paraId="45D3E9E6" w14:textId="77777777" w:rsidR="00E96908" w:rsidRDefault="00E96908" w:rsidP="00E96908">
      <w:pPr>
        <w:pStyle w:val="ListBullet"/>
        <w:numPr>
          <w:ilvl w:val="0"/>
          <w:numId w:val="0"/>
        </w:numPr>
        <w:spacing w:after="60"/>
        <w:ind w:left="360" w:hanging="360"/>
      </w:pPr>
    </w:p>
    <w:p w14:paraId="1DC21D7D" w14:textId="77777777" w:rsidR="00E96908" w:rsidRDefault="00E96908" w:rsidP="00E96908">
      <w:pPr>
        <w:pStyle w:val="ListBullet"/>
        <w:numPr>
          <w:ilvl w:val="0"/>
          <w:numId w:val="0"/>
        </w:numPr>
        <w:spacing w:after="60"/>
        <w:ind w:left="360" w:hanging="360"/>
      </w:pPr>
    </w:p>
    <w:p w14:paraId="710D0222" w14:textId="77777777" w:rsidR="00E96908" w:rsidRDefault="00E96908" w:rsidP="00E96908">
      <w:pPr>
        <w:pStyle w:val="ListBullet"/>
        <w:numPr>
          <w:ilvl w:val="0"/>
          <w:numId w:val="0"/>
        </w:numPr>
        <w:spacing w:after="60"/>
        <w:ind w:left="360" w:hanging="360"/>
      </w:pPr>
    </w:p>
    <w:p w14:paraId="793DC2A0" w14:textId="77777777" w:rsidR="00E96908" w:rsidRDefault="00E96908" w:rsidP="00E96908">
      <w:pPr>
        <w:pStyle w:val="ListBullet"/>
        <w:numPr>
          <w:ilvl w:val="0"/>
          <w:numId w:val="0"/>
        </w:numPr>
        <w:spacing w:after="60"/>
        <w:ind w:left="360" w:hanging="360"/>
      </w:pPr>
    </w:p>
    <w:p w14:paraId="7D4FE131" w14:textId="77777777" w:rsidR="00E96908" w:rsidRDefault="00E96908" w:rsidP="00E96908">
      <w:pPr>
        <w:pStyle w:val="ListBullet"/>
        <w:numPr>
          <w:ilvl w:val="0"/>
          <w:numId w:val="0"/>
        </w:numPr>
        <w:spacing w:after="60"/>
        <w:ind w:left="360" w:hanging="360"/>
      </w:pPr>
    </w:p>
    <w:p w14:paraId="3183C27A" w14:textId="77777777" w:rsidR="00E96908" w:rsidRDefault="00E96908" w:rsidP="00E96908">
      <w:pPr>
        <w:pStyle w:val="ListBullet"/>
        <w:numPr>
          <w:ilvl w:val="0"/>
          <w:numId w:val="0"/>
        </w:numPr>
        <w:spacing w:after="60"/>
        <w:ind w:left="360" w:hanging="360"/>
      </w:pPr>
    </w:p>
    <w:p w14:paraId="78246DAF" w14:textId="77777777" w:rsidR="00E96908" w:rsidRDefault="00E96908" w:rsidP="00E96908">
      <w:pPr>
        <w:pStyle w:val="ListBullet"/>
        <w:numPr>
          <w:ilvl w:val="0"/>
          <w:numId w:val="0"/>
        </w:numPr>
        <w:spacing w:after="60"/>
        <w:ind w:left="360" w:hanging="360"/>
      </w:pPr>
    </w:p>
    <w:p w14:paraId="58405F09" w14:textId="77777777" w:rsidR="00E96908" w:rsidRDefault="00E96908" w:rsidP="00E96908">
      <w:pPr>
        <w:pStyle w:val="ListBullet"/>
        <w:numPr>
          <w:ilvl w:val="0"/>
          <w:numId w:val="0"/>
        </w:numPr>
        <w:spacing w:after="60"/>
        <w:ind w:left="360" w:hanging="360"/>
      </w:pPr>
    </w:p>
    <w:p w14:paraId="5C258363" w14:textId="77777777" w:rsidR="006C45F6" w:rsidRDefault="00000000">
      <w:pPr>
        <w:pStyle w:val="Heading2"/>
      </w:pPr>
      <w:r>
        <w:lastRenderedPageBreak/>
        <w:t>3.3 Revenue &amp; refund exposure</w:t>
      </w:r>
    </w:p>
    <w:tbl>
      <w:tblPr>
        <w:tblW w:w="0" w:type="auto"/>
        <w:jc w:val="center"/>
        <w:tblLook w:val="04A0" w:firstRow="1" w:lastRow="0" w:firstColumn="1" w:lastColumn="0" w:noHBand="0" w:noVBand="1"/>
      </w:tblPr>
      <w:tblGrid>
        <w:gridCol w:w="2484"/>
        <w:gridCol w:w="2484"/>
        <w:gridCol w:w="2484"/>
        <w:gridCol w:w="2484"/>
      </w:tblGrid>
      <w:tr w:rsidR="006C45F6" w14:paraId="19FC6456" w14:textId="77777777">
        <w:trPr>
          <w:jc w:val="center"/>
        </w:trPr>
        <w:tc>
          <w:tcPr>
            <w:tcW w:w="2484" w:type="dxa"/>
            <w:shd w:val="clear" w:color="auto" w:fill="F2F6FA"/>
          </w:tcPr>
          <w:p w14:paraId="262E4442" w14:textId="77777777" w:rsidR="006C45F6" w:rsidRDefault="00000000">
            <w:pPr>
              <w:jc w:val="center"/>
            </w:pPr>
            <w:r>
              <w:rPr>
                <w:b/>
                <w:color w:val="1F4E78"/>
                <w:sz w:val="32"/>
              </w:rPr>
              <w:t>£741,921</w:t>
            </w:r>
            <w:r>
              <w:rPr>
                <w:b/>
                <w:color w:val="1F4E78"/>
                <w:sz w:val="32"/>
              </w:rPr>
              <w:br/>
            </w:r>
            <w:r>
              <w:rPr>
                <w:color w:val="646464"/>
                <w:sz w:val="16"/>
              </w:rPr>
              <w:t>Gross revenue</w:t>
            </w:r>
          </w:p>
        </w:tc>
        <w:tc>
          <w:tcPr>
            <w:tcW w:w="2484" w:type="dxa"/>
            <w:shd w:val="clear" w:color="auto" w:fill="F2F6FA"/>
          </w:tcPr>
          <w:p w14:paraId="57FD62E7" w14:textId="77777777" w:rsidR="006C45F6" w:rsidRDefault="00000000">
            <w:pPr>
              <w:jc w:val="center"/>
            </w:pPr>
            <w:r>
              <w:rPr>
                <w:b/>
                <w:color w:val="1F4E78"/>
                <w:sz w:val="32"/>
              </w:rPr>
              <w:t>£696,465</w:t>
            </w:r>
            <w:r>
              <w:rPr>
                <w:b/>
                <w:color w:val="1F4E78"/>
                <w:sz w:val="32"/>
              </w:rPr>
              <w:br/>
            </w:r>
            <w:r>
              <w:rPr>
                <w:color w:val="646464"/>
                <w:sz w:val="16"/>
              </w:rPr>
              <w:t>Net revenue</w:t>
            </w:r>
          </w:p>
        </w:tc>
        <w:tc>
          <w:tcPr>
            <w:tcW w:w="2484" w:type="dxa"/>
            <w:shd w:val="clear" w:color="auto" w:fill="F2F6FA"/>
          </w:tcPr>
          <w:p w14:paraId="2EC82A56" w14:textId="77777777" w:rsidR="006C45F6" w:rsidRDefault="00000000">
            <w:pPr>
              <w:jc w:val="center"/>
            </w:pPr>
            <w:r>
              <w:rPr>
                <w:b/>
                <w:color w:val="1F4E78"/>
                <w:sz w:val="32"/>
              </w:rPr>
              <w:t>£45,456</w:t>
            </w:r>
            <w:r>
              <w:rPr>
                <w:b/>
                <w:color w:val="1F4E78"/>
                <w:sz w:val="32"/>
              </w:rPr>
              <w:br/>
            </w:r>
            <w:r>
              <w:rPr>
                <w:color w:val="646464"/>
                <w:sz w:val="16"/>
              </w:rPr>
              <w:t>Cancelled-service revenue</w:t>
            </w:r>
          </w:p>
        </w:tc>
        <w:tc>
          <w:tcPr>
            <w:tcW w:w="2484" w:type="dxa"/>
            <w:shd w:val="clear" w:color="auto" w:fill="F2F6FA"/>
          </w:tcPr>
          <w:p w14:paraId="500CE6BB" w14:textId="77777777" w:rsidR="006C45F6" w:rsidRDefault="00000000">
            <w:pPr>
              <w:jc w:val="center"/>
            </w:pPr>
            <w:r>
              <w:rPr>
                <w:b/>
                <w:color w:val="1F4E78"/>
                <w:sz w:val="32"/>
              </w:rPr>
              <w:t>£38,702</w:t>
            </w:r>
            <w:r>
              <w:rPr>
                <w:b/>
                <w:color w:val="1F4E78"/>
                <w:sz w:val="32"/>
              </w:rPr>
              <w:br/>
            </w:r>
            <w:r>
              <w:rPr>
                <w:color w:val="646464"/>
                <w:sz w:val="16"/>
              </w:rPr>
              <w:t>Refund exposure</w:t>
            </w:r>
          </w:p>
        </w:tc>
      </w:tr>
    </w:tbl>
    <w:p w14:paraId="02A1E6E7" w14:textId="77777777" w:rsidR="006C45F6" w:rsidRDefault="006C45F6"/>
    <w:p w14:paraId="1823CD1D" w14:textId="77777777" w:rsidR="006C45F6" w:rsidRDefault="00000000">
      <w:pPr>
        <w:pStyle w:val="Heading3"/>
      </w:pPr>
      <w:r>
        <w:t>Revenue performance</w:t>
      </w:r>
    </w:p>
    <w:p w14:paraId="308096EC" w14:textId="77777777" w:rsidR="006C45F6" w:rsidRDefault="00000000">
      <w:pPr>
        <w:pStyle w:val="ListBullet"/>
        <w:spacing w:after="60"/>
      </w:pPr>
      <w:r>
        <w:t>On-time services generated £569,651 (76.8% of gross revenue).</w:t>
      </w:r>
    </w:p>
    <w:p w14:paraId="502AADDB" w14:textId="0999A0E0" w:rsidR="006C45F6" w:rsidRDefault="00000000">
      <w:pPr>
        <w:pStyle w:val="ListBullet"/>
        <w:spacing w:after="60"/>
      </w:pPr>
      <w:r>
        <w:t xml:space="preserve">Delayed services </w:t>
      </w:r>
      <w:r w:rsidR="004C646D">
        <w:t>generated</w:t>
      </w:r>
      <w:r>
        <w:t xml:space="preserve"> £126,814 (17.1%).</w:t>
      </w:r>
    </w:p>
    <w:p w14:paraId="105C8766" w14:textId="7221F03F" w:rsidR="006C45F6" w:rsidRDefault="00000000">
      <w:pPr>
        <w:pStyle w:val="ListBullet"/>
        <w:spacing w:after="60"/>
      </w:pPr>
      <w:r>
        <w:t xml:space="preserve">Cancelled services </w:t>
      </w:r>
      <w:r w:rsidR="004C646D">
        <w:t>resulted to lose of</w:t>
      </w:r>
      <w:r>
        <w:t xml:space="preserve"> £45,456 (6.1%).</w:t>
      </w:r>
    </w:p>
    <w:p w14:paraId="48C3098E" w14:textId="77777777" w:rsidR="006C45F6" w:rsidRDefault="00000000">
      <w:pPr>
        <w:pStyle w:val="ListBullet"/>
        <w:spacing w:after="60"/>
      </w:pPr>
      <w:r>
        <w:t>Net revenue after cancellations was £696,465, representing 93.9% revenue retention.</w:t>
      </w:r>
    </w:p>
    <w:p w14:paraId="188DE8BD" w14:textId="77777777" w:rsidR="004C646D" w:rsidRDefault="004C646D" w:rsidP="004C646D">
      <w:pPr>
        <w:pStyle w:val="ListBullet"/>
        <w:numPr>
          <w:ilvl w:val="0"/>
          <w:numId w:val="0"/>
        </w:numPr>
        <w:spacing w:after="60"/>
        <w:ind w:left="360" w:hanging="360"/>
      </w:pPr>
    </w:p>
    <w:p w14:paraId="3664C5CC" w14:textId="00F00D63" w:rsidR="004C646D" w:rsidRDefault="004C646D" w:rsidP="004C646D">
      <w:pPr>
        <w:pStyle w:val="ListBullet"/>
        <w:numPr>
          <w:ilvl w:val="0"/>
          <w:numId w:val="0"/>
        </w:numPr>
        <w:spacing w:after="60"/>
        <w:ind w:left="360" w:hanging="360"/>
        <w:jc w:val="center"/>
      </w:pPr>
      <w:r>
        <w:rPr>
          <w:noProof/>
        </w:rPr>
        <w:drawing>
          <wp:inline distT="0" distB="0" distL="0" distR="0" wp14:anchorId="143E2F43" wp14:editId="0D934B39">
            <wp:extent cx="3124994" cy="1969476"/>
            <wp:effectExtent l="0" t="0" r="0" b="0"/>
            <wp:docPr id="7911642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64226" name="Picture 791164226"/>
                    <pic:cNvPicPr/>
                  </pic:nvPicPr>
                  <pic:blipFill>
                    <a:blip r:embed="rId12"/>
                    <a:stretch>
                      <a:fillRect/>
                    </a:stretch>
                  </pic:blipFill>
                  <pic:spPr>
                    <a:xfrm>
                      <a:off x="0" y="0"/>
                      <a:ext cx="3171751" cy="1998944"/>
                    </a:xfrm>
                    <a:prstGeom prst="rect">
                      <a:avLst/>
                    </a:prstGeom>
                  </pic:spPr>
                </pic:pic>
              </a:graphicData>
            </a:graphic>
          </wp:inline>
        </w:drawing>
      </w:r>
    </w:p>
    <w:p w14:paraId="7D525A95" w14:textId="77777777" w:rsidR="006C45F6" w:rsidRDefault="00000000">
      <w:pPr>
        <w:pStyle w:val="Heading3"/>
      </w:pPr>
      <w:r>
        <w:t>Monthly net revenue</w:t>
      </w:r>
    </w:p>
    <w:p w14:paraId="5B6A09B4" w14:textId="77777777" w:rsidR="006C45F6" w:rsidRDefault="00000000">
      <w:pPr>
        <w:pStyle w:val="ListBullet"/>
        <w:spacing w:after="60"/>
      </w:pPr>
      <w:r>
        <w:t>January: £185,422</w:t>
      </w:r>
    </w:p>
    <w:p w14:paraId="0E0316BC" w14:textId="77777777" w:rsidR="006C45F6" w:rsidRDefault="00000000">
      <w:pPr>
        <w:pStyle w:val="ListBullet"/>
        <w:spacing w:after="60"/>
      </w:pPr>
      <w:r>
        <w:t>February: £151,116</w:t>
      </w:r>
    </w:p>
    <w:p w14:paraId="278BE3B2" w14:textId="77777777" w:rsidR="006C45F6" w:rsidRDefault="00000000">
      <w:pPr>
        <w:pStyle w:val="ListBullet"/>
        <w:spacing w:after="60"/>
      </w:pPr>
      <w:r>
        <w:t>March: £184,933</w:t>
      </w:r>
    </w:p>
    <w:p w14:paraId="3CAADC63" w14:textId="77777777" w:rsidR="006C45F6" w:rsidRDefault="00000000">
      <w:pPr>
        <w:pStyle w:val="ListBullet"/>
        <w:spacing w:after="60"/>
      </w:pPr>
      <w:r>
        <w:t>April: £174,994</w:t>
      </w:r>
    </w:p>
    <w:p w14:paraId="01D588B4" w14:textId="77777777" w:rsidR="006C45F6" w:rsidRDefault="00000000">
      <w:r>
        <w:t>Average monthly net revenue was approximately £174,116. January was the strongest month, while February was the weakest before revenue recovered strongly in March.</w:t>
      </w:r>
    </w:p>
    <w:p w14:paraId="79EB4989" w14:textId="49204A85" w:rsidR="004C646D" w:rsidRDefault="004C646D" w:rsidP="004C646D">
      <w:pPr>
        <w:jc w:val="center"/>
      </w:pPr>
      <w:r>
        <w:rPr>
          <w:noProof/>
        </w:rPr>
        <w:drawing>
          <wp:inline distT="0" distB="0" distL="0" distR="0" wp14:anchorId="76D7A79B" wp14:editId="5035E6D4">
            <wp:extent cx="4742111" cy="2307102"/>
            <wp:effectExtent l="0" t="0" r="0" b="4445"/>
            <wp:docPr id="1358661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6152" name="Picture 135866152"/>
                    <pic:cNvPicPr/>
                  </pic:nvPicPr>
                  <pic:blipFill>
                    <a:blip r:embed="rId13"/>
                    <a:stretch>
                      <a:fillRect/>
                    </a:stretch>
                  </pic:blipFill>
                  <pic:spPr>
                    <a:xfrm>
                      <a:off x="0" y="0"/>
                      <a:ext cx="4812992" cy="2341587"/>
                    </a:xfrm>
                    <a:prstGeom prst="rect">
                      <a:avLst/>
                    </a:prstGeom>
                  </pic:spPr>
                </pic:pic>
              </a:graphicData>
            </a:graphic>
          </wp:inline>
        </w:drawing>
      </w:r>
    </w:p>
    <w:p w14:paraId="54AFADC7" w14:textId="77777777" w:rsidR="004C646D" w:rsidRDefault="004C646D"/>
    <w:p w14:paraId="7875450C" w14:textId="77777777" w:rsidR="004C646D" w:rsidRDefault="004C646D"/>
    <w:p w14:paraId="5E709BDF" w14:textId="77777777" w:rsidR="004C646D" w:rsidRDefault="004C646D"/>
    <w:p w14:paraId="77EA007C" w14:textId="77777777" w:rsidR="006C45F6" w:rsidRDefault="00000000">
      <w:pPr>
        <w:pStyle w:val="Heading3"/>
      </w:pPr>
      <w:r>
        <w:t>Refund exposure</w:t>
      </w:r>
    </w:p>
    <w:p w14:paraId="67217D7F" w14:textId="77777777" w:rsidR="006C45F6" w:rsidRDefault="00000000">
      <w:r>
        <w:t>Total refund exposure was £38,702 across 572 requests. Delayed journeys accounted for £26,165 (67.6%) of refund value, compared with £12,537 (32.4%) for cancellations. This indicates that reducing delays could have a meaningful financial benefit in addition to improving customer experience.</w:t>
      </w:r>
    </w:p>
    <w:p w14:paraId="01B042A9" w14:textId="4BE40082" w:rsidR="004C646D" w:rsidRDefault="004C646D">
      <w:r>
        <w:rPr>
          <w:noProof/>
        </w:rPr>
        <w:drawing>
          <wp:inline distT="0" distB="0" distL="0" distR="0" wp14:anchorId="04F46242" wp14:editId="4B3BA985">
            <wp:extent cx="6309360" cy="2765425"/>
            <wp:effectExtent l="0" t="0" r="2540" b="3175"/>
            <wp:docPr id="9005070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07014" name="Picture 900507014"/>
                    <pic:cNvPicPr/>
                  </pic:nvPicPr>
                  <pic:blipFill>
                    <a:blip r:embed="rId14"/>
                    <a:stretch>
                      <a:fillRect/>
                    </a:stretch>
                  </pic:blipFill>
                  <pic:spPr>
                    <a:xfrm>
                      <a:off x="0" y="0"/>
                      <a:ext cx="6309360" cy="2765425"/>
                    </a:xfrm>
                    <a:prstGeom prst="rect">
                      <a:avLst/>
                    </a:prstGeom>
                  </pic:spPr>
                </pic:pic>
              </a:graphicData>
            </a:graphic>
          </wp:inline>
        </w:drawing>
      </w:r>
    </w:p>
    <w:p w14:paraId="08E921F7" w14:textId="77777777" w:rsidR="004C646D" w:rsidRDefault="004C646D"/>
    <w:p w14:paraId="0AD869DA" w14:textId="77777777" w:rsidR="006C45F6" w:rsidRDefault="00000000">
      <w:pPr>
        <w:pStyle w:val="Heading3"/>
      </w:pPr>
      <w:r>
        <w:t>Highest refund-exposure stations</w:t>
      </w:r>
    </w:p>
    <w:p w14:paraId="2B617536" w14:textId="77777777" w:rsidR="006C45F6" w:rsidRDefault="00000000">
      <w:pPr>
        <w:pStyle w:val="ListBullet"/>
        <w:spacing w:after="60"/>
      </w:pPr>
      <w:r>
        <w:t>Liverpool Lime Street: £14,587</w:t>
      </w:r>
    </w:p>
    <w:p w14:paraId="54DA681D" w14:textId="77777777" w:rsidR="006C45F6" w:rsidRDefault="00000000">
      <w:pPr>
        <w:pStyle w:val="ListBullet"/>
        <w:spacing w:after="60"/>
      </w:pPr>
      <w:r>
        <w:t>Manchester Piccadilly: £9,463</w:t>
      </w:r>
    </w:p>
    <w:p w14:paraId="59D91605" w14:textId="77777777" w:rsidR="006C45F6" w:rsidRDefault="00000000">
      <w:pPr>
        <w:pStyle w:val="ListBullet"/>
        <w:spacing w:after="60"/>
      </w:pPr>
      <w:r>
        <w:t>London Euston: £2,778</w:t>
      </w:r>
    </w:p>
    <w:p w14:paraId="782EB6D3" w14:textId="77777777" w:rsidR="006C45F6" w:rsidRDefault="00000000">
      <w:pPr>
        <w:pStyle w:val="ListBullet"/>
        <w:spacing w:after="60"/>
      </w:pPr>
      <w:r>
        <w:t>Birmingham New Street: £2,224</w:t>
      </w:r>
    </w:p>
    <w:p w14:paraId="3328A3E8" w14:textId="77777777" w:rsidR="006C45F6" w:rsidRDefault="00000000">
      <w:pPr>
        <w:pStyle w:val="ListBullet"/>
        <w:spacing w:after="60"/>
      </w:pPr>
      <w:r>
        <w:t>London Paddington: £1,792</w:t>
      </w:r>
    </w:p>
    <w:p w14:paraId="657263C0" w14:textId="77777777" w:rsidR="00E96908" w:rsidRDefault="00E96908" w:rsidP="00E96908">
      <w:pPr>
        <w:pStyle w:val="ListBullet"/>
        <w:numPr>
          <w:ilvl w:val="0"/>
          <w:numId w:val="0"/>
        </w:numPr>
        <w:spacing w:after="60"/>
        <w:ind w:left="360" w:hanging="360"/>
      </w:pPr>
    </w:p>
    <w:p w14:paraId="1F8EDBD6" w14:textId="77777777" w:rsidR="00E96908" w:rsidRDefault="00E96908" w:rsidP="00E96908">
      <w:pPr>
        <w:pStyle w:val="ListBullet"/>
        <w:numPr>
          <w:ilvl w:val="0"/>
          <w:numId w:val="0"/>
        </w:numPr>
        <w:spacing w:after="60"/>
        <w:ind w:left="360" w:hanging="360"/>
      </w:pPr>
    </w:p>
    <w:p w14:paraId="480A44FE" w14:textId="77777777" w:rsidR="00E96908" w:rsidRDefault="00E96908" w:rsidP="00E96908">
      <w:pPr>
        <w:pStyle w:val="ListBullet"/>
        <w:numPr>
          <w:ilvl w:val="0"/>
          <w:numId w:val="0"/>
        </w:numPr>
        <w:spacing w:after="60"/>
        <w:ind w:left="360" w:hanging="360"/>
      </w:pPr>
    </w:p>
    <w:p w14:paraId="6B3F13D3" w14:textId="77777777" w:rsidR="00E96908" w:rsidRDefault="00E96908" w:rsidP="00E96908">
      <w:pPr>
        <w:pStyle w:val="ListBullet"/>
        <w:numPr>
          <w:ilvl w:val="0"/>
          <w:numId w:val="0"/>
        </w:numPr>
        <w:spacing w:after="60"/>
        <w:ind w:left="360" w:hanging="360"/>
      </w:pPr>
    </w:p>
    <w:p w14:paraId="0C5E3491" w14:textId="77777777" w:rsidR="00E96908" w:rsidRDefault="00E96908" w:rsidP="00E96908">
      <w:pPr>
        <w:pStyle w:val="ListBullet"/>
        <w:numPr>
          <w:ilvl w:val="0"/>
          <w:numId w:val="0"/>
        </w:numPr>
        <w:spacing w:after="60"/>
        <w:ind w:left="360" w:hanging="360"/>
      </w:pPr>
    </w:p>
    <w:p w14:paraId="237C9A3C" w14:textId="77777777" w:rsidR="00E96908" w:rsidRDefault="00E96908" w:rsidP="00E96908">
      <w:pPr>
        <w:pStyle w:val="ListBullet"/>
        <w:numPr>
          <w:ilvl w:val="0"/>
          <w:numId w:val="0"/>
        </w:numPr>
        <w:spacing w:after="60"/>
        <w:ind w:left="360" w:hanging="360"/>
      </w:pPr>
    </w:p>
    <w:p w14:paraId="6EE75682" w14:textId="77777777" w:rsidR="00E96908" w:rsidRDefault="00E96908" w:rsidP="00E96908">
      <w:pPr>
        <w:pStyle w:val="ListBullet"/>
        <w:numPr>
          <w:ilvl w:val="0"/>
          <w:numId w:val="0"/>
        </w:numPr>
        <w:spacing w:after="60"/>
        <w:ind w:left="360" w:hanging="360"/>
      </w:pPr>
    </w:p>
    <w:p w14:paraId="4D2D66A9" w14:textId="77777777" w:rsidR="00E96908" w:rsidRDefault="00E96908" w:rsidP="00E96908">
      <w:pPr>
        <w:pStyle w:val="ListBullet"/>
        <w:numPr>
          <w:ilvl w:val="0"/>
          <w:numId w:val="0"/>
        </w:numPr>
        <w:spacing w:after="60"/>
        <w:ind w:left="360" w:hanging="360"/>
      </w:pPr>
    </w:p>
    <w:p w14:paraId="59C61C45" w14:textId="77777777" w:rsidR="00E96908" w:rsidRDefault="00E96908" w:rsidP="00E96908">
      <w:pPr>
        <w:pStyle w:val="ListBullet"/>
        <w:numPr>
          <w:ilvl w:val="0"/>
          <w:numId w:val="0"/>
        </w:numPr>
        <w:spacing w:after="60"/>
        <w:ind w:left="360" w:hanging="360"/>
      </w:pPr>
    </w:p>
    <w:p w14:paraId="07E29739" w14:textId="77777777" w:rsidR="00E96908" w:rsidRDefault="00E96908" w:rsidP="00E96908">
      <w:pPr>
        <w:pStyle w:val="ListBullet"/>
        <w:numPr>
          <w:ilvl w:val="0"/>
          <w:numId w:val="0"/>
        </w:numPr>
        <w:spacing w:after="60"/>
        <w:ind w:left="360" w:hanging="360"/>
      </w:pPr>
    </w:p>
    <w:p w14:paraId="3CCD4CF6" w14:textId="77777777" w:rsidR="00E96908" w:rsidRDefault="00E96908" w:rsidP="00E96908">
      <w:pPr>
        <w:pStyle w:val="ListBullet"/>
        <w:numPr>
          <w:ilvl w:val="0"/>
          <w:numId w:val="0"/>
        </w:numPr>
        <w:spacing w:after="60"/>
        <w:ind w:left="360" w:hanging="360"/>
      </w:pPr>
    </w:p>
    <w:p w14:paraId="5FAF0905" w14:textId="77777777" w:rsidR="00E96908" w:rsidRDefault="00E96908" w:rsidP="00E96908">
      <w:pPr>
        <w:pStyle w:val="ListBullet"/>
        <w:numPr>
          <w:ilvl w:val="0"/>
          <w:numId w:val="0"/>
        </w:numPr>
        <w:spacing w:after="60"/>
        <w:ind w:left="360" w:hanging="360"/>
      </w:pPr>
    </w:p>
    <w:p w14:paraId="063B750F" w14:textId="77777777" w:rsidR="00E96908" w:rsidRDefault="00E96908" w:rsidP="00E96908">
      <w:pPr>
        <w:pStyle w:val="ListBullet"/>
        <w:numPr>
          <w:ilvl w:val="0"/>
          <w:numId w:val="0"/>
        </w:numPr>
        <w:spacing w:after="60"/>
        <w:ind w:left="360" w:hanging="360"/>
      </w:pPr>
    </w:p>
    <w:p w14:paraId="3C8BBD6B" w14:textId="77777777" w:rsidR="00E96908" w:rsidRDefault="00E96908" w:rsidP="00E96908">
      <w:pPr>
        <w:pStyle w:val="ListBullet"/>
        <w:numPr>
          <w:ilvl w:val="0"/>
          <w:numId w:val="0"/>
        </w:numPr>
        <w:spacing w:after="60"/>
        <w:ind w:left="360" w:hanging="360"/>
      </w:pPr>
    </w:p>
    <w:p w14:paraId="72B81636" w14:textId="77777777" w:rsidR="00E96908" w:rsidRDefault="00E96908" w:rsidP="00E96908">
      <w:pPr>
        <w:pStyle w:val="ListBullet"/>
        <w:numPr>
          <w:ilvl w:val="0"/>
          <w:numId w:val="0"/>
        </w:numPr>
        <w:spacing w:after="60"/>
        <w:ind w:left="360" w:hanging="360"/>
      </w:pPr>
    </w:p>
    <w:p w14:paraId="788E04E1" w14:textId="77777777" w:rsidR="00E96908" w:rsidRDefault="00E96908" w:rsidP="00E96908">
      <w:pPr>
        <w:pStyle w:val="ListBullet"/>
        <w:numPr>
          <w:ilvl w:val="0"/>
          <w:numId w:val="0"/>
        </w:numPr>
        <w:spacing w:after="60"/>
        <w:ind w:left="360" w:hanging="360"/>
      </w:pPr>
    </w:p>
    <w:p w14:paraId="666F723B" w14:textId="77777777" w:rsidR="00E96908" w:rsidRDefault="00E96908" w:rsidP="00E96908">
      <w:pPr>
        <w:pStyle w:val="ListBullet"/>
        <w:numPr>
          <w:ilvl w:val="0"/>
          <w:numId w:val="0"/>
        </w:numPr>
        <w:spacing w:after="60"/>
        <w:ind w:left="360" w:hanging="360"/>
      </w:pPr>
    </w:p>
    <w:p w14:paraId="3924BA4C" w14:textId="77777777" w:rsidR="006C45F6" w:rsidRDefault="00000000">
      <w:pPr>
        <w:pStyle w:val="Heading2"/>
      </w:pPr>
      <w:r>
        <w:lastRenderedPageBreak/>
        <w:t>3.4 Route &amp; network concentration</w:t>
      </w:r>
    </w:p>
    <w:p w14:paraId="510BC63B" w14:textId="77777777" w:rsidR="006C45F6" w:rsidRDefault="00000000">
      <w:r>
        <w:t>Passenger volume is highly concentrated. The five leading routes account for approximately 63.5% of all journeys, meaning performance on these corridors has an outsized effect on overall network experience.</w:t>
      </w:r>
    </w:p>
    <w:p w14:paraId="09F106C2" w14:textId="64002390" w:rsidR="004C646D" w:rsidRDefault="004C646D">
      <w:r>
        <w:rPr>
          <w:noProof/>
        </w:rPr>
        <w:drawing>
          <wp:inline distT="0" distB="0" distL="0" distR="0" wp14:anchorId="746143B8" wp14:editId="2A4D9317">
            <wp:extent cx="6309360" cy="3093085"/>
            <wp:effectExtent l="0" t="0" r="2540" b="5715"/>
            <wp:docPr id="20649228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22879" name="Picture 2064922879"/>
                    <pic:cNvPicPr/>
                  </pic:nvPicPr>
                  <pic:blipFill>
                    <a:blip r:embed="rId15"/>
                    <a:stretch>
                      <a:fillRect/>
                    </a:stretch>
                  </pic:blipFill>
                  <pic:spPr>
                    <a:xfrm>
                      <a:off x="0" y="0"/>
                      <a:ext cx="6309360" cy="3093085"/>
                    </a:xfrm>
                    <a:prstGeom prst="rect">
                      <a:avLst/>
                    </a:prstGeom>
                  </pic:spPr>
                </pic:pic>
              </a:graphicData>
            </a:graphic>
          </wp:inline>
        </w:drawing>
      </w:r>
    </w:p>
    <w:p w14:paraId="4BC0B05B" w14:textId="77777777" w:rsidR="006C45F6" w:rsidRDefault="00000000">
      <w:pPr>
        <w:pStyle w:val="ListBullet"/>
        <w:spacing w:after="60"/>
      </w:pPr>
      <w:r>
        <w:t>Manchester Piccadilly → Liverpool Lime Street: 4,628 journeys</w:t>
      </w:r>
    </w:p>
    <w:p w14:paraId="3A3A749E" w14:textId="77777777" w:rsidR="006C45F6" w:rsidRDefault="00000000">
      <w:pPr>
        <w:pStyle w:val="ListBullet"/>
        <w:spacing w:after="60"/>
      </w:pPr>
      <w:r>
        <w:t>London Euston → Birmingham New Street: 4,209</w:t>
      </w:r>
    </w:p>
    <w:p w14:paraId="6F9897E7" w14:textId="77777777" w:rsidR="006C45F6" w:rsidRDefault="00000000">
      <w:pPr>
        <w:pStyle w:val="ListBullet"/>
        <w:spacing w:after="60"/>
      </w:pPr>
      <w:r>
        <w:t>London Kings Cross → York: 3,922</w:t>
      </w:r>
    </w:p>
    <w:p w14:paraId="4C087633" w14:textId="77777777" w:rsidR="006C45F6" w:rsidRDefault="00000000">
      <w:pPr>
        <w:pStyle w:val="ListBullet"/>
        <w:spacing w:after="60"/>
      </w:pPr>
      <w:r>
        <w:t>London Paddington → Reading: 3,873</w:t>
      </w:r>
    </w:p>
    <w:p w14:paraId="7BAB50F9" w14:textId="77777777" w:rsidR="006C45F6" w:rsidRDefault="00000000">
      <w:pPr>
        <w:pStyle w:val="ListBullet"/>
        <w:spacing w:after="60"/>
      </w:pPr>
      <w:r>
        <w:t>London St Pancras → Birmingham New Street: 3,471</w:t>
      </w:r>
    </w:p>
    <w:p w14:paraId="764E677A" w14:textId="77777777" w:rsidR="006C45F6" w:rsidRDefault="00000000">
      <w:pPr>
        <w:pStyle w:val="Heading3"/>
      </w:pPr>
      <w:r>
        <w:t>Priority reliability corridors</w:t>
      </w:r>
    </w:p>
    <w:p w14:paraId="38E4994C" w14:textId="77777777" w:rsidR="006C45F6" w:rsidRDefault="00000000">
      <w:pPr>
        <w:pStyle w:val="ListBullet"/>
        <w:spacing w:after="60"/>
      </w:pPr>
      <w:r>
        <w:t>London St Pancras → Birmingham: 273 cancellations (7.9% rate)</w:t>
      </w:r>
    </w:p>
    <w:p w14:paraId="34D9DAB1" w14:textId="77777777" w:rsidR="006C45F6" w:rsidRDefault="00000000">
      <w:pPr>
        <w:pStyle w:val="ListBullet"/>
        <w:spacing w:after="60"/>
      </w:pPr>
      <w:r>
        <w:t>London Paddington → Reading: 286 cancellations (7.4% rate)</w:t>
      </w:r>
    </w:p>
    <w:p w14:paraId="24A7893A" w14:textId="77777777" w:rsidR="006C45F6" w:rsidRDefault="00000000">
      <w:pPr>
        <w:pStyle w:val="ListBullet"/>
        <w:spacing w:after="60"/>
      </w:pPr>
      <w:r>
        <w:t>Manchester Piccadilly → Liverpool: 290 cancellations (6.3% rate)</w:t>
      </w:r>
    </w:p>
    <w:p w14:paraId="4A483024" w14:textId="77777777" w:rsidR="006C45F6" w:rsidRDefault="00000000">
      <w:pPr>
        <w:pStyle w:val="ListBullet"/>
        <w:spacing w:after="60"/>
      </w:pPr>
      <w:r>
        <w:t>Liverpool Lime Street → London Euston: 780 delays — highest delay volume</w:t>
      </w:r>
    </w:p>
    <w:p w14:paraId="4E6BA626" w14:textId="77777777" w:rsidR="006C45F6" w:rsidRDefault="00000000">
      <w:pPr>
        <w:pStyle w:val="ListBullet"/>
        <w:spacing w:after="60"/>
      </w:pPr>
      <w:r>
        <w:t>Manchester Piccadilly → Liverpool: 354 delays</w:t>
      </w:r>
    </w:p>
    <w:p w14:paraId="12D1EE2D" w14:textId="77777777" w:rsidR="006C45F6" w:rsidRDefault="00000000">
      <w:pPr>
        <w:pStyle w:val="ListBullet"/>
        <w:spacing w:after="60"/>
      </w:pPr>
      <w:r>
        <w:t>London Euston → Birmingham: 242 delays</w:t>
      </w:r>
    </w:p>
    <w:p w14:paraId="1AAAFD2E" w14:textId="77777777" w:rsidR="006C45F6" w:rsidRDefault="00000000">
      <w:r>
        <w:rPr>
          <w:b/>
        </w:rPr>
        <w:t xml:space="preserve">Strategic implication: </w:t>
      </w:r>
      <w:r>
        <w:t>The combination of high passenger concentration and disruption on selected corridors means route-level interventions can potentially deliver disproportionate improvements in network performance.</w:t>
      </w:r>
    </w:p>
    <w:p w14:paraId="2CBF9678" w14:textId="77777777" w:rsidR="006C45F6" w:rsidRDefault="00000000">
      <w:r>
        <w:br w:type="page"/>
      </w:r>
    </w:p>
    <w:p w14:paraId="4CFC3B61" w14:textId="77777777" w:rsidR="006C45F6" w:rsidRDefault="00000000">
      <w:pPr>
        <w:pStyle w:val="Heading1"/>
      </w:pPr>
      <w:r>
        <w:lastRenderedPageBreak/>
        <w:t>4. STRATEGIC RECOMMENDATIONS</w:t>
      </w:r>
    </w:p>
    <w:p w14:paraId="037EE484" w14:textId="77777777" w:rsidR="006C45F6" w:rsidRDefault="00000000">
      <w:pPr>
        <w:pStyle w:val="Heading2"/>
      </w:pPr>
      <w:r>
        <w:t>1. Build a weather resilience programme</w:t>
      </w:r>
    </w:p>
    <w:p w14:paraId="36113B20" w14:textId="77777777" w:rsidR="006C45F6" w:rsidRDefault="00000000">
      <w:r>
        <w:rPr>
          <w:b/>
        </w:rPr>
        <w:t xml:space="preserve">Action: </w:t>
      </w:r>
      <w:r>
        <w:t>Develop route-specific weather contingency playbooks, pre-position operational resources and introduce proactive passenger communication.</w:t>
      </w:r>
    </w:p>
    <w:p w14:paraId="4E1603AE" w14:textId="77777777" w:rsidR="006C45F6" w:rsidRDefault="00000000">
      <w:r>
        <w:rPr>
          <w:b/>
        </w:rPr>
        <w:t xml:space="preserve">Expected impact: </w:t>
      </w:r>
      <w:r>
        <w:t>Reduce the largest single contributor to delays and improve resilience during adverse conditions.</w:t>
      </w:r>
    </w:p>
    <w:p w14:paraId="3D9807DF" w14:textId="77777777" w:rsidR="006C45F6" w:rsidRDefault="00000000">
      <w:r>
        <w:rPr>
          <w:b/>
        </w:rPr>
        <w:t xml:space="preserve">KPI: </w:t>
      </w:r>
      <w:r>
        <w:t>Weather-related delay incidents; delay rate during adverse weather; recovery time.</w:t>
      </w:r>
    </w:p>
    <w:p w14:paraId="0C72D1CD" w14:textId="77777777" w:rsidR="006C45F6" w:rsidRDefault="00000000">
      <w:pPr>
        <w:pStyle w:val="Heading2"/>
      </w:pPr>
      <w:r>
        <w:t>2. Prioritise high-volume disruption corridors</w:t>
      </w:r>
    </w:p>
    <w:p w14:paraId="2BE76C82" w14:textId="77777777" w:rsidR="006C45F6" w:rsidRDefault="00000000">
      <w:r>
        <w:rPr>
          <w:b/>
        </w:rPr>
        <w:t xml:space="preserve">Action: </w:t>
      </w:r>
      <w:r>
        <w:t>Create a route-level performance programme focused initially on the highest-volume and highest-disruption corridors.</w:t>
      </w:r>
    </w:p>
    <w:p w14:paraId="683A7231" w14:textId="77777777" w:rsidR="006C45F6" w:rsidRDefault="00000000">
      <w:r>
        <w:rPr>
          <w:b/>
        </w:rPr>
        <w:t xml:space="preserve">Expected impact: </w:t>
      </w:r>
      <w:r>
        <w:t>Improve passenger experience where operational changes can affect the largest customer population.</w:t>
      </w:r>
    </w:p>
    <w:p w14:paraId="253BC022" w14:textId="77777777" w:rsidR="006C45F6" w:rsidRDefault="00000000">
      <w:r>
        <w:rPr>
          <w:b/>
        </w:rPr>
        <w:t xml:space="preserve">KPI: </w:t>
      </w:r>
      <w:r>
        <w:t>On-time performance by route; cancellation rate; passengers affected per disruption.</w:t>
      </w:r>
    </w:p>
    <w:p w14:paraId="00469546" w14:textId="77777777" w:rsidR="006C45F6" w:rsidRDefault="00000000">
      <w:pPr>
        <w:pStyle w:val="Heading2"/>
      </w:pPr>
      <w:r>
        <w:t>3. Reduce delay-driven refund exposure</w:t>
      </w:r>
    </w:p>
    <w:p w14:paraId="2ED94565" w14:textId="77777777" w:rsidR="006C45F6" w:rsidRDefault="00000000">
      <w:r>
        <w:rPr>
          <w:b/>
        </w:rPr>
        <w:t xml:space="preserve">Action: </w:t>
      </w:r>
      <w:r>
        <w:t>Review the operational causes behind delay-related refunds and strengthen disruption communication and recovery processes.</w:t>
      </w:r>
    </w:p>
    <w:p w14:paraId="6047F88D" w14:textId="77777777" w:rsidR="006C45F6" w:rsidRDefault="00000000">
      <w:r>
        <w:rPr>
          <w:b/>
        </w:rPr>
        <w:t xml:space="preserve">Expected impact: </w:t>
      </w:r>
      <w:r>
        <w:t>Protect revenue while improving customer satisfaction.</w:t>
      </w:r>
    </w:p>
    <w:p w14:paraId="44171EAD" w14:textId="77777777" w:rsidR="006C45F6" w:rsidRDefault="00000000">
      <w:r>
        <w:rPr>
          <w:b/>
        </w:rPr>
        <w:t xml:space="preserve">KPI: </w:t>
      </w:r>
      <w:r>
        <w:t>Refund value per 1,000 journeys; refund request rate; average refund cost.</w:t>
      </w:r>
    </w:p>
    <w:p w14:paraId="4600AA70" w14:textId="77777777" w:rsidR="006C45F6" w:rsidRDefault="00000000">
      <w:pPr>
        <w:pStyle w:val="Heading2"/>
      </w:pPr>
      <w:r>
        <w:t>4. Optimise peak-hour capacity and staffing</w:t>
      </w:r>
    </w:p>
    <w:p w14:paraId="2297717E" w14:textId="77777777" w:rsidR="006C45F6" w:rsidRDefault="00000000">
      <w:r>
        <w:rPr>
          <w:b/>
        </w:rPr>
        <w:t xml:space="preserve">Action: </w:t>
      </w:r>
      <w:r>
        <w:t>Align staffing, platform resources and capacity planning with the 6:00–9:00 AM demand profile, especially the 8:00 AM peak.</w:t>
      </w:r>
    </w:p>
    <w:p w14:paraId="26E9AA58" w14:textId="77777777" w:rsidR="006C45F6" w:rsidRDefault="00000000">
      <w:r>
        <w:rPr>
          <w:b/>
        </w:rPr>
        <w:t xml:space="preserve">Expected impact: </w:t>
      </w:r>
      <w:r>
        <w:t>Improve operational efficiency during the period of greatest passenger concentration.</w:t>
      </w:r>
    </w:p>
    <w:p w14:paraId="6D38B4F4" w14:textId="77777777" w:rsidR="006C45F6" w:rsidRDefault="00000000">
      <w:r>
        <w:rPr>
          <w:b/>
        </w:rPr>
        <w:t xml:space="preserve">KPI: </w:t>
      </w:r>
      <w:r>
        <w:t>Passengers per peak hour; staffing coverage; peak-period disruption rate.</w:t>
      </w:r>
    </w:p>
    <w:p w14:paraId="3382DD51" w14:textId="77777777" w:rsidR="006C45F6" w:rsidRDefault="00000000">
      <w:pPr>
        <w:pStyle w:val="Heading2"/>
      </w:pPr>
      <w:r>
        <w:t>5. Replicate April's improvement</w:t>
      </w:r>
    </w:p>
    <w:p w14:paraId="3E713CD3" w14:textId="77777777" w:rsidR="006C45F6" w:rsidRDefault="00000000">
      <w:r>
        <w:rPr>
          <w:b/>
        </w:rPr>
        <w:t xml:space="preserve">Action: </w:t>
      </w:r>
      <w:r>
        <w:t>Conduct a structured review of operational changes, staffing, disruption causes and route performance in April.</w:t>
      </w:r>
    </w:p>
    <w:p w14:paraId="193740AC" w14:textId="77777777" w:rsidR="006C45F6" w:rsidRDefault="00000000">
      <w:r>
        <w:rPr>
          <w:b/>
        </w:rPr>
        <w:t xml:space="preserve">Expected impact: </w:t>
      </w:r>
      <w:r>
        <w:t>Identify practices associated with the reduction in delays and standardise successful interventions.</w:t>
      </w:r>
    </w:p>
    <w:p w14:paraId="77B8CE0A" w14:textId="77777777" w:rsidR="006C45F6" w:rsidRDefault="00000000">
      <w:r>
        <w:rPr>
          <w:b/>
        </w:rPr>
        <w:t xml:space="preserve">KPI: </w:t>
      </w:r>
      <w:r>
        <w:t>Month-on-month delay rate; intervention effectiveness; repeatability of improvement.</w:t>
      </w:r>
    </w:p>
    <w:p w14:paraId="07C54162" w14:textId="77777777" w:rsidR="006C45F6" w:rsidRDefault="00000000">
      <w:pPr>
        <w:pStyle w:val="Heading2"/>
      </w:pPr>
      <w:r>
        <w:t>6. Strengthen data governance</w:t>
      </w:r>
    </w:p>
    <w:p w14:paraId="356A07B9" w14:textId="77777777" w:rsidR="006C45F6" w:rsidRDefault="00000000">
      <w:r>
        <w:rPr>
          <w:b/>
        </w:rPr>
        <w:t xml:space="preserve">Action: </w:t>
      </w:r>
      <w:r>
        <w:t>Introduce controlled category definitions, validation rules and automated data-quality checks.</w:t>
      </w:r>
    </w:p>
    <w:p w14:paraId="3FB703BF" w14:textId="77777777" w:rsidR="006C45F6" w:rsidRDefault="00000000">
      <w:r>
        <w:rPr>
          <w:b/>
        </w:rPr>
        <w:t xml:space="preserve">Expected impact: </w:t>
      </w:r>
      <w:r>
        <w:t>Improve reporting consistency and reduce analytical rework.</w:t>
      </w:r>
    </w:p>
    <w:p w14:paraId="6B17916C" w14:textId="77777777" w:rsidR="006C45F6" w:rsidRDefault="00000000">
      <w:r>
        <w:rPr>
          <w:b/>
        </w:rPr>
        <w:t xml:space="preserve">KPI: </w:t>
      </w:r>
      <w:r>
        <w:t>Data completeness; category exceptions; validation failure rate.</w:t>
      </w:r>
    </w:p>
    <w:p w14:paraId="0232D0AD" w14:textId="77777777" w:rsidR="006C45F6" w:rsidRDefault="00000000">
      <w:pPr>
        <w:pStyle w:val="Heading1"/>
      </w:pPr>
      <w:r>
        <w:lastRenderedPageBreak/>
        <w:t>5. MANAGEMENT DASHBOARD</w:t>
      </w:r>
    </w:p>
    <w:p w14:paraId="727C3AA9" w14:textId="77777777" w:rsidR="006C45F6" w:rsidRDefault="00000000">
      <w:r>
        <w:t>The following KPI framework is recommended for ongoing executive monitoring:</w:t>
      </w:r>
    </w:p>
    <w:tbl>
      <w:tblPr>
        <w:tblW w:w="0" w:type="auto"/>
        <w:jc w:val="center"/>
        <w:tblLook w:val="04A0" w:firstRow="1" w:lastRow="0" w:firstColumn="1" w:lastColumn="0" w:noHBand="0" w:noVBand="1"/>
      </w:tblPr>
      <w:tblGrid>
        <w:gridCol w:w="2484"/>
        <w:gridCol w:w="2484"/>
        <w:gridCol w:w="2484"/>
        <w:gridCol w:w="2484"/>
      </w:tblGrid>
      <w:tr w:rsidR="006C45F6" w14:paraId="719394FA" w14:textId="77777777">
        <w:trPr>
          <w:jc w:val="center"/>
        </w:trPr>
        <w:tc>
          <w:tcPr>
            <w:tcW w:w="2484" w:type="dxa"/>
            <w:shd w:val="clear" w:color="auto" w:fill="1F4E78"/>
            <w:vAlign w:val="center"/>
          </w:tcPr>
          <w:p w14:paraId="22E35FFB" w14:textId="77777777" w:rsidR="006C45F6" w:rsidRDefault="00000000">
            <w:r>
              <w:rPr>
                <w:b/>
                <w:color w:val="FFFFFF"/>
                <w:sz w:val="18"/>
              </w:rPr>
              <w:t>KPI</w:t>
            </w:r>
          </w:p>
        </w:tc>
        <w:tc>
          <w:tcPr>
            <w:tcW w:w="2484" w:type="dxa"/>
            <w:shd w:val="clear" w:color="auto" w:fill="1F4E78"/>
            <w:vAlign w:val="center"/>
          </w:tcPr>
          <w:p w14:paraId="07E5F0E3" w14:textId="77777777" w:rsidR="006C45F6" w:rsidRDefault="00000000">
            <w:r>
              <w:rPr>
                <w:b/>
                <w:color w:val="FFFFFF"/>
                <w:sz w:val="18"/>
              </w:rPr>
              <w:t>Current position</w:t>
            </w:r>
          </w:p>
        </w:tc>
        <w:tc>
          <w:tcPr>
            <w:tcW w:w="2484" w:type="dxa"/>
            <w:shd w:val="clear" w:color="auto" w:fill="1F4E78"/>
            <w:vAlign w:val="center"/>
          </w:tcPr>
          <w:p w14:paraId="1B56D9A2" w14:textId="77777777" w:rsidR="006C45F6" w:rsidRDefault="00000000">
            <w:r>
              <w:rPr>
                <w:b/>
                <w:color w:val="FFFFFF"/>
                <w:sz w:val="18"/>
              </w:rPr>
              <w:t>Management focus</w:t>
            </w:r>
          </w:p>
        </w:tc>
        <w:tc>
          <w:tcPr>
            <w:tcW w:w="2484" w:type="dxa"/>
            <w:shd w:val="clear" w:color="auto" w:fill="1F4E78"/>
            <w:vAlign w:val="center"/>
          </w:tcPr>
          <w:p w14:paraId="6DE7D2EC" w14:textId="77777777" w:rsidR="006C45F6" w:rsidRDefault="00000000">
            <w:r>
              <w:rPr>
                <w:b/>
                <w:color w:val="FFFFFF"/>
                <w:sz w:val="18"/>
              </w:rPr>
              <w:t>Suggested cadence</w:t>
            </w:r>
          </w:p>
        </w:tc>
      </w:tr>
      <w:tr w:rsidR="006C45F6" w14:paraId="7DBEDF10" w14:textId="77777777">
        <w:trPr>
          <w:jc w:val="center"/>
        </w:trPr>
        <w:tc>
          <w:tcPr>
            <w:tcW w:w="2484" w:type="dxa"/>
            <w:vAlign w:val="center"/>
          </w:tcPr>
          <w:p w14:paraId="45C73494" w14:textId="77777777" w:rsidR="006C45F6" w:rsidRDefault="00000000">
            <w:r>
              <w:rPr>
                <w:b/>
                <w:sz w:val="18"/>
              </w:rPr>
              <w:t>On-time performance</w:t>
            </w:r>
          </w:p>
        </w:tc>
        <w:tc>
          <w:tcPr>
            <w:tcW w:w="2484" w:type="dxa"/>
            <w:vAlign w:val="center"/>
          </w:tcPr>
          <w:p w14:paraId="0638F20D" w14:textId="77777777" w:rsidR="006C45F6" w:rsidRDefault="00000000">
            <w:r>
              <w:rPr>
                <w:sz w:val="18"/>
              </w:rPr>
              <w:t>86.82%</w:t>
            </w:r>
          </w:p>
        </w:tc>
        <w:tc>
          <w:tcPr>
            <w:tcW w:w="2484" w:type="dxa"/>
            <w:vAlign w:val="center"/>
          </w:tcPr>
          <w:p w14:paraId="51AA9FDC" w14:textId="77777777" w:rsidR="006C45F6" w:rsidRDefault="00000000">
            <w:r>
              <w:rPr>
                <w:sz w:val="18"/>
              </w:rPr>
              <w:t>Improve reliability</w:t>
            </w:r>
          </w:p>
        </w:tc>
        <w:tc>
          <w:tcPr>
            <w:tcW w:w="2484" w:type="dxa"/>
            <w:vAlign w:val="center"/>
          </w:tcPr>
          <w:p w14:paraId="19C38B2C" w14:textId="77777777" w:rsidR="006C45F6" w:rsidRDefault="00000000">
            <w:r>
              <w:rPr>
                <w:sz w:val="18"/>
              </w:rPr>
              <w:t>Weekly</w:t>
            </w:r>
          </w:p>
        </w:tc>
      </w:tr>
      <w:tr w:rsidR="006C45F6" w14:paraId="3F063BB9" w14:textId="77777777">
        <w:trPr>
          <w:jc w:val="center"/>
        </w:trPr>
        <w:tc>
          <w:tcPr>
            <w:tcW w:w="2484" w:type="dxa"/>
            <w:vAlign w:val="center"/>
          </w:tcPr>
          <w:p w14:paraId="1E805EFA" w14:textId="77777777" w:rsidR="006C45F6" w:rsidRDefault="00000000">
            <w:r>
              <w:rPr>
                <w:b/>
                <w:sz w:val="18"/>
              </w:rPr>
              <w:t>Cancellation rate</w:t>
            </w:r>
          </w:p>
        </w:tc>
        <w:tc>
          <w:tcPr>
            <w:tcW w:w="2484" w:type="dxa"/>
            <w:vAlign w:val="center"/>
          </w:tcPr>
          <w:p w14:paraId="3DC86188" w14:textId="77777777" w:rsidR="006C45F6" w:rsidRDefault="00000000">
            <w:r>
              <w:rPr>
                <w:sz w:val="18"/>
              </w:rPr>
              <w:t>5.94%</w:t>
            </w:r>
          </w:p>
        </w:tc>
        <w:tc>
          <w:tcPr>
            <w:tcW w:w="2484" w:type="dxa"/>
            <w:vAlign w:val="center"/>
          </w:tcPr>
          <w:p w14:paraId="4B526789" w14:textId="77777777" w:rsidR="006C45F6" w:rsidRDefault="00000000">
            <w:r>
              <w:rPr>
                <w:sz w:val="18"/>
              </w:rPr>
              <w:t>Reduce avoidable cancellations</w:t>
            </w:r>
          </w:p>
        </w:tc>
        <w:tc>
          <w:tcPr>
            <w:tcW w:w="2484" w:type="dxa"/>
            <w:vAlign w:val="center"/>
          </w:tcPr>
          <w:p w14:paraId="335AD766" w14:textId="77777777" w:rsidR="006C45F6" w:rsidRDefault="00000000">
            <w:r>
              <w:rPr>
                <w:sz w:val="18"/>
              </w:rPr>
              <w:t>Weekly</w:t>
            </w:r>
          </w:p>
        </w:tc>
      </w:tr>
      <w:tr w:rsidR="006C45F6" w14:paraId="4EA7D9B9" w14:textId="77777777">
        <w:trPr>
          <w:jc w:val="center"/>
        </w:trPr>
        <w:tc>
          <w:tcPr>
            <w:tcW w:w="2484" w:type="dxa"/>
            <w:vAlign w:val="center"/>
          </w:tcPr>
          <w:p w14:paraId="6D2DEF9C" w14:textId="77777777" w:rsidR="006C45F6" w:rsidRDefault="00000000">
            <w:r>
              <w:rPr>
                <w:b/>
                <w:sz w:val="18"/>
              </w:rPr>
              <w:t>Delay rate</w:t>
            </w:r>
          </w:p>
        </w:tc>
        <w:tc>
          <w:tcPr>
            <w:tcW w:w="2484" w:type="dxa"/>
            <w:vAlign w:val="center"/>
          </w:tcPr>
          <w:p w14:paraId="164E37D9" w14:textId="77777777" w:rsidR="006C45F6" w:rsidRDefault="00000000">
            <w:r>
              <w:rPr>
                <w:sz w:val="18"/>
              </w:rPr>
              <w:t>7.24%</w:t>
            </w:r>
          </w:p>
        </w:tc>
        <w:tc>
          <w:tcPr>
            <w:tcW w:w="2484" w:type="dxa"/>
            <w:vAlign w:val="center"/>
          </w:tcPr>
          <w:p w14:paraId="51C14331" w14:textId="77777777" w:rsidR="006C45F6" w:rsidRDefault="00000000">
            <w:r>
              <w:rPr>
                <w:sz w:val="18"/>
              </w:rPr>
              <w:t>Target root causes</w:t>
            </w:r>
          </w:p>
        </w:tc>
        <w:tc>
          <w:tcPr>
            <w:tcW w:w="2484" w:type="dxa"/>
            <w:vAlign w:val="center"/>
          </w:tcPr>
          <w:p w14:paraId="7E3B93F3" w14:textId="77777777" w:rsidR="006C45F6" w:rsidRDefault="00000000">
            <w:r>
              <w:rPr>
                <w:sz w:val="18"/>
              </w:rPr>
              <w:t>Weekly</w:t>
            </w:r>
          </w:p>
        </w:tc>
      </w:tr>
      <w:tr w:rsidR="006C45F6" w14:paraId="2BBACEF4" w14:textId="77777777">
        <w:trPr>
          <w:jc w:val="center"/>
        </w:trPr>
        <w:tc>
          <w:tcPr>
            <w:tcW w:w="2484" w:type="dxa"/>
            <w:vAlign w:val="center"/>
          </w:tcPr>
          <w:p w14:paraId="18585F35" w14:textId="77777777" w:rsidR="006C45F6" w:rsidRDefault="00000000">
            <w:r>
              <w:rPr>
                <w:b/>
                <w:sz w:val="18"/>
              </w:rPr>
              <w:t>Refund exposure</w:t>
            </w:r>
          </w:p>
        </w:tc>
        <w:tc>
          <w:tcPr>
            <w:tcW w:w="2484" w:type="dxa"/>
            <w:vAlign w:val="center"/>
          </w:tcPr>
          <w:p w14:paraId="1149354B" w14:textId="77777777" w:rsidR="006C45F6" w:rsidRDefault="00000000">
            <w:r>
              <w:rPr>
                <w:sz w:val="18"/>
              </w:rPr>
              <w:t>£38,702</w:t>
            </w:r>
          </w:p>
        </w:tc>
        <w:tc>
          <w:tcPr>
            <w:tcW w:w="2484" w:type="dxa"/>
            <w:vAlign w:val="center"/>
          </w:tcPr>
          <w:p w14:paraId="408E4B33" w14:textId="77777777" w:rsidR="006C45F6" w:rsidRDefault="00000000">
            <w:r>
              <w:rPr>
                <w:sz w:val="18"/>
              </w:rPr>
              <w:t>Protect revenue</w:t>
            </w:r>
          </w:p>
        </w:tc>
        <w:tc>
          <w:tcPr>
            <w:tcW w:w="2484" w:type="dxa"/>
            <w:vAlign w:val="center"/>
          </w:tcPr>
          <w:p w14:paraId="2DE7ABE9" w14:textId="77777777" w:rsidR="006C45F6" w:rsidRDefault="00000000">
            <w:r>
              <w:rPr>
                <w:sz w:val="18"/>
              </w:rPr>
              <w:t>Monthly</w:t>
            </w:r>
          </w:p>
        </w:tc>
      </w:tr>
      <w:tr w:rsidR="006C45F6" w14:paraId="35440283" w14:textId="77777777">
        <w:trPr>
          <w:jc w:val="center"/>
        </w:trPr>
        <w:tc>
          <w:tcPr>
            <w:tcW w:w="2484" w:type="dxa"/>
            <w:vAlign w:val="center"/>
          </w:tcPr>
          <w:p w14:paraId="38A24128" w14:textId="77777777" w:rsidR="006C45F6" w:rsidRDefault="00000000">
            <w:r>
              <w:rPr>
                <w:b/>
                <w:sz w:val="18"/>
              </w:rPr>
              <w:t>Net revenue</w:t>
            </w:r>
          </w:p>
        </w:tc>
        <w:tc>
          <w:tcPr>
            <w:tcW w:w="2484" w:type="dxa"/>
            <w:vAlign w:val="center"/>
          </w:tcPr>
          <w:p w14:paraId="43AA5F31" w14:textId="77777777" w:rsidR="006C45F6" w:rsidRDefault="00000000">
            <w:r>
              <w:rPr>
                <w:sz w:val="18"/>
              </w:rPr>
              <w:t>£696,465</w:t>
            </w:r>
          </w:p>
        </w:tc>
        <w:tc>
          <w:tcPr>
            <w:tcW w:w="2484" w:type="dxa"/>
            <w:vAlign w:val="center"/>
          </w:tcPr>
          <w:p w14:paraId="7A12B576" w14:textId="77777777" w:rsidR="006C45F6" w:rsidRDefault="00000000">
            <w:r>
              <w:rPr>
                <w:sz w:val="18"/>
              </w:rPr>
              <w:t>Sustain revenue retention</w:t>
            </w:r>
          </w:p>
        </w:tc>
        <w:tc>
          <w:tcPr>
            <w:tcW w:w="2484" w:type="dxa"/>
            <w:vAlign w:val="center"/>
          </w:tcPr>
          <w:p w14:paraId="3AC867D4" w14:textId="77777777" w:rsidR="006C45F6" w:rsidRDefault="00000000">
            <w:r>
              <w:rPr>
                <w:sz w:val="18"/>
              </w:rPr>
              <w:t>Monthly</w:t>
            </w:r>
          </w:p>
        </w:tc>
      </w:tr>
      <w:tr w:rsidR="006C45F6" w14:paraId="3B4A4BEC" w14:textId="77777777">
        <w:trPr>
          <w:jc w:val="center"/>
        </w:trPr>
        <w:tc>
          <w:tcPr>
            <w:tcW w:w="2484" w:type="dxa"/>
            <w:vAlign w:val="center"/>
          </w:tcPr>
          <w:p w14:paraId="0D2134E8" w14:textId="77777777" w:rsidR="006C45F6" w:rsidRDefault="00000000">
            <w:r>
              <w:rPr>
                <w:b/>
                <w:sz w:val="18"/>
              </w:rPr>
              <w:t>Peak-hour demand</w:t>
            </w:r>
          </w:p>
        </w:tc>
        <w:tc>
          <w:tcPr>
            <w:tcW w:w="2484" w:type="dxa"/>
            <w:vAlign w:val="center"/>
          </w:tcPr>
          <w:p w14:paraId="4DF76F8A" w14:textId="77777777" w:rsidR="006C45F6" w:rsidRDefault="00000000">
            <w:r>
              <w:rPr>
                <w:sz w:val="18"/>
              </w:rPr>
              <w:t>8:00 AM peak</w:t>
            </w:r>
          </w:p>
        </w:tc>
        <w:tc>
          <w:tcPr>
            <w:tcW w:w="2484" w:type="dxa"/>
            <w:vAlign w:val="center"/>
          </w:tcPr>
          <w:p w14:paraId="287ED102" w14:textId="77777777" w:rsidR="006C45F6" w:rsidRDefault="00000000">
            <w:r>
              <w:rPr>
                <w:sz w:val="18"/>
              </w:rPr>
              <w:t>Optimise resources</w:t>
            </w:r>
          </w:p>
        </w:tc>
        <w:tc>
          <w:tcPr>
            <w:tcW w:w="2484" w:type="dxa"/>
            <w:vAlign w:val="center"/>
          </w:tcPr>
          <w:p w14:paraId="24250555" w14:textId="77777777" w:rsidR="006C45F6" w:rsidRDefault="00000000">
            <w:r>
              <w:rPr>
                <w:sz w:val="18"/>
              </w:rPr>
              <w:t>Weekly</w:t>
            </w:r>
          </w:p>
        </w:tc>
      </w:tr>
      <w:tr w:rsidR="006C45F6" w14:paraId="30490401" w14:textId="77777777">
        <w:trPr>
          <w:jc w:val="center"/>
        </w:trPr>
        <w:tc>
          <w:tcPr>
            <w:tcW w:w="2484" w:type="dxa"/>
            <w:vAlign w:val="center"/>
          </w:tcPr>
          <w:p w14:paraId="2C4F5F7F" w14:textId="77777777" w:rsidR="006C45F6" w:rsidRDefault="00000000">
            <w:r>
              <w:rPr>
                <w:b/>
                <w:sz w:val="18"/>
              </w:rPr>
              <w:t>Weather-related delays</w:t>
            </w:r>
          </w:p>
        </w:tc>
        <w:tc>
          <w:tcPr>
            <w:tcW w:w="2484" w:type="dxa"/>
            <w:vAlign w:val="center"/>
          </w:tcPr>
          <w:p w14:paraId="7C0F5EE7" w14:textId="77777777" w:rsidR="006C45F6" w:rsidRDefault="00000000">
            <w:r>
              <w:rPr>
                <w:sz w:val="18"/>
              </w:rPr>
              <w:t>40.45%</w:t>
            </w:r>
          </w:p>
        </w:tc>
        <w:tc>
          <w:tcPr>
            <w:tcW w:w="2484" w:type="dxa"/>
            <w:vAlign w:val="center"/>
          </w:tcPr>
          <w:p w14:paraId="74B8C6F7" w14:textId="77777777" w:rsidR="006C45F6" w:rsidRDefault="00000000">
            <w:r>
              <w:rPr>
                <w:sz w:val="18"/>
              </w:rPr>
              <w:t>Improve resilience</w:t>
            </w:r>
          </w:p>
        </w:tc>
        <w:tc>
          <w:tcPr>
            <w:tcW w:w="2484" w:type="dxa"/>
            <w:vAlign w:val="center"/>
          </w:tcPr>
          <w:p w14:paraId="6FB5E617" w14:textId="77777777" w:rsidR="006C45F6" w:rsidRDefault="00000000">
            <w:r>
              <w:rPr>
                <w:sz w:val="18"/>
              </w:rPr>
              <w:t>Monthly</w:t>
            </w:r>
          </w:p>
        </w:tc>
      </w:tr>
    </w:tbl>
    <w:p w14:paraId="7C2B79BE" w14:textId="77777777" w:rsidR="006C45F6" w:rsidRDefault="00000000">
      <w:pPr>
        <w:pStyle w:val="Heading1"/>
      </w:pPr>
      <w:r>
        <w:t>6. CONCLUSION</w:t>
      </w:r>
    </w:p>
    <w:p w14:paraId="2AEA76FE" w14:textId="77777777" w:rsidR="006C45F6" w:rsidRDefault="00000000">
      <w:r>
        <w:t>The analysis indicates a network with strong baseline demand and relatively high on-time performance, but with material operational and financial exposure arising from disruption. The most significant opportunity is to move from reactive disruption management towards targeted, preventative operational planning.</w:t>
      </w:r>
    </w:p>
    <w:p w14:paraId="7FE3C99C" w14:textId="77777777" w:rsidR="006C45F6" w:rsidRDefault="00000000">
      <w:r>
        <w:t>Weather resilience, high-volume corridor performance, delay reduction, peak-hour resource planning and refund management should therefore form the core of the improvement agenda. At the same time, the apparent improvement in April provides an opportunity to identify and replicate practices that may already be delivering better performance.</w:t>
      </w:r>
    </w:p>
    <w:p w14:paraId="60BA4F9E" w14:textId="77777777" w:rsidR="006C45F6" w:rsidRDefault="00000000">
      <w:r>
        <w:t>Ultimately, the greatest value will come from linking operational KPIs to financial and customer outcomes. This creates a management framework in which reliability improvements are not treated solely as service metrics, but as drivers of revenue protection, customer experience and operational efficiency.</w:t>
      </w:r>
    </w:p>
    <w:p w14:paraId="6EB98AA2" w14:textId="73D6903E" w:rsidR="009650F1" w:rsidRDefault="009650F1"/>
    <w:sectPr w:rsidR="009650F1" w:rsidSect="00034616">
      <w:footerReference w:type="default" r:id="rId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14A19" w14:textId="77777777" w:rsidR="009650F1" w:rsidRDefault="009650F1">
      <w:pPr>
        <w:spacing w:after="0" w:line="240" w:lineRule="auto"/>
      </w:pPr>
      <w:r>
        <w:separator/>
      </w:r>
    </w:p>
  </w:endnote>
  <w:endnote w:type="continuationSeparator" w:id="0">
    <w:p w14:paraId="6A428DC3" w14:textId="77777777" w:rsidR="009650F1" w:rsidRDefault="00965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CDD9F" w14:textId="398C247B" w:rsidR="006C45F6" w:rsidRDefault="006C45F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95E79" w14:textId="77777777" w:rsidR="009650F1" w:rsidRDefault="009650F1">
      <w:pPr>
        <w:spacing w:after="0" w:line="240" w:lineRule="auto"/>
      </w:pPr>
      <w:r>
        <w:separator/>
      </w:r>
    </w:p>
  </w:footnote>
  <w:footnote w:type="continuationSeparator" w:id="0">
    <w:p w14:paraId="38F4191D" w14:textId="77777777" w:rsidR="009650F1" w:rsidRDefault="009650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2526508">
    <w:abstractNumId w:val="8"/>
  </w:num>
  <w:num w:numId="2" w16cid:durableId="899293828">
    <w:abstractNumId w:val="6"/>
  </w:num>
  <w:num w:numId="3" w16cid:durableId="706443295">
    <w:abstractNumId w:val="5"/>
  </w:num>
  <w:num w:numId="4" w16cid:durableId="1739789938">
    <w:abstractNumId w:val="4"/>
  </w:num>
  <w:num w:numId="5" w16cid:durableId="898129457">
    <w:abstractNumId w:val="7"/>
  </w:num>
  <w:num w:numId="6" w16cid:durableId="922908851">
    <w:abstractNumId w:val="3"/>
  </w:num>
  <w:num w:numId="7" w16cid:durableId="1955358230">
    <w:abstractNumId w:val="2"/>
  </w:num>
  <w:num w:numId="8" w16cid:durableId="994918315">
    <w:abstractNumId w:val="1"/>
  </w:num>
  <w:num w:numId="9" w16cid:durableId="56560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3D5"/>
    <w:rsid w:val="0015074B"/>
    <w:rsid w:val="0029639D"/>
    <w:rsid w:val="00326F90"/>
    <w:rsid w:val="004C646D"/>
    <w:rsid w:val="006C45F6"/>
    <w:rsid w:val="0077591A"/>
    <w:rsid w:val="009650F1"/>
    <w:rsid w:val="00AA1D8D"/>
    <w:rsid w:val="00B47730"/>
    <w:rsid w:val="00BC2594"/>
    <w:rsid w:val="00CB0664"/>
    <w:rsid w:val="00D43664"/>
    <w:rsid w:val="00D94A6F"/>
    <w:rsid w:val="00E969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3F6584"/>
  <w14:defaultImageDpi w14:val="300"/>
  <w15:docId w15:val="{B679A1EF-E19A-B645-8EC3-CB791CC36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2D2D"/>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72C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1434</Words>
  <Characters>9781</Characters>
  <Application>Microsoft Office Word</Application>
  <DocSecurity>0</DocSecurity>
  <Lines>296</Lines>
  <Paragraphs>254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arebu daniel</cp:lastModifiedBy>
  <cp:revision>2</cp:revision>
  <dcterms:created xsi:type="dcterms:W3CDTF">2026-08-23T17:55:00Z</dcterms:created>
  <dcterms:modified xsi:type="dcterms:W3CDTF">2026-08-23T17:55:00Z</dcterms:modified>
  <cp:category/>
</cp:coreProperties>
</file>