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9C076" w14:textId="77777777" w:rsidR="00037EE2" w:rsidRPr="005E2B2B" w:rsidRDefault="00000000" w:rsidP="005E2B2B">
      <w:pPr>
        <w:pStyle w:val="Titolo1"/>
      </w:pPr>
      <w:r>
        <w:t>ARES-Sentinel-GBM — Full Manuscript (bioRxiv Ready)</w:t>
      </w:r>
    </w:p>
    <w:p w14:paraId="6E696F1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1CB2283E" w14:textId="5F81474B" w:rsidR="00037EE2" w:rsidRPr="005E2B2B" w:rsidRDefault="005E2B2B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9BE9B4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2057DAF2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5773BF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ARES-Sentinel-GBM: An Open-Source Pipeline for Drug Target Discovery in </w:t>
      </w:r>
    </w:p>
    <w:p w14:paraId="2A4492E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Glioblastoma with Comprehensive Multi-Omics Validation</w:t>
      </w:r>
    </w:p>
    <w:p w14:paraId="23C57547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930DCD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Johnny S.</w:t>
      </w:r>
    </w:p>
    <w:p w14:paraId="1294F8D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Independent Researcher, Rome, Italy</w:t>
      </w:r>
    </w:p>
    <w:p w14:paraId="781B8761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325795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Correspondence: [your-email]</w:t>
      </w:r>
    </w:p>
    <w:p w14:paraId="5FABF39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GitHub: https://github.com/[username]/ARES-Sentinel-GBM</w:t>
      </w:r>
    </w:p>
    <w:p w14:paraId="62ADAA0C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B616A4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Preprint submitted to bioRxiv</w:t>
      </w:r>
    </w:p>
    <w:p w14:paraId="2337BA9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March 31, 2026</w:t>
      </w:r>
    </w:p>
    <w:p w14:paraId="2BFD98DB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ADDE24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Word count: ~6,800 (main text)</w:t>
      </w:r>
    </w:p>
    <w:p w14:paraId="6D3E73A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Figures: 4 main + 4 supplementary</w:t>
      </w:r>
    </w:p>
    <w:p w14:paraId="0FE8319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Tables: 3 main + 6 supplementary</w:t>
      </w:r>
    </w:p>
    <w:p w14:paraId="59C3A9B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References: 35</w:t>
      </w:r>
    </w:p>
    <w:p w14:paraId="4252202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3A94A9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70A07B4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ABSTRACT</w:t>
      </w:r>
    </w:p>
    <w:p w14:paraId="57A6DBA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3745E67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FA8528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Background: Identifying critical metabolic vulnerabilities in glioblastoma </w:t>
      </w:r>
    </w:p>
    <w:p w14:paraId="4772EE5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(GBM) remains challenging due to high intratumoral heterogeneity and the </w:t>
      </w:r>
    </w:p>
    <w:p w14:paraId="1F2D7B2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noise-to-signal ratio in transcriptomic data. Traditional differential </w:t>
      </w:r>
    </w:p>
    <w:p w14:paraId="2ED99BC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expression screens often fail to capture the hierarchical organization of </w:t>
      </w:r>
    </w:p>
    <w:p w14:paraId="6D3AAFC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metabolic enzymes, while existing genome-scale metabolic modeling (GSMM) </w:t>
      </w:r>
    </w:p>
    <w:p w14:paraId="7F76813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pipelines require commercial software, specialized infrastructure, or lack </w:t>
      </w:r>
    </w:p>
    <w:p w14:paraId="00481B0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experimental validation.</w:t>
      </w:r>
    </w:p>
    <w:p w14:paraId="6941EC14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10AA3D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Methods: We present ARES-Sentinel-GBM (Adaptive Reaction-flow Estimation </w:t>
      </w:r>
    </w:p>
    <w:p w14:paraId="303D536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System), an open-source Python pipeline that integrates: (i) HumanGEM </w:t>
      </w:r>
    </w:p>
    <w:p w14:paraId="3BB4F1B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calibration via shadow price analysis, (ii) transcriptomic flux integration </w:t>
      </w:r>
    </w:p>
    <w:p w14:paraId="27A9601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(iMAT/GIMME), (iii) genome-scale gene essentiality prediction, (iv) clinical </w:t>
      </w:r>
    </w:p>
    <w:p w14:paraId="27D7C95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survival modeling, and (v) CRISPR screen validation. We applied the pipeline </w:t>
      </w:r>
    </w:p>
    <w:p w14:paraId="1C54D66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the Phillips dataset (GSE4412, n=59 GBM) and performed comprehensive </w:t>
      </w:r>
    </w:p>
    <w:p w14:paraId="7DB2945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validation including: cross-dataset analysis (TCGA-GBM n=157, CGGA n=203), </w:t>
      </w:r>
    </w:p>
    <w:p w14:paraId="46F1ED2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leave-one-out cross-validation (59 iterations), sensitivity analysis across </w:t>
      </w:r>
    </w:p>
    <w:p w14:paraId="4A22D9E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iMAT thresholds, pathway enrichment, network topology characterization, and </w:t>
      </w:r>
    </w:p>
    <w:p w14:paraId="360DBD9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literature mining. Predictions were validated against DepMap CRISPR data </w:t>
      </w:r>
    </w:p>
    <w:p w14:paraId="482E574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(89 GBM cell lines).</w:t>
      </w:r>
    </w:p>
    <w:p w14:paraId="34D79623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DA797E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Results: ARES-Sentinel-GBM identified a 23-gene metabolic dependency network </w:t>
      </w:r>
    </w:p>
    <w:p w14:paraId="317B54E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driven by nucleotide biosynthesis (RRM2, TYMS) and glutaminolysis (GLS). The </w:t>
      </w:r>
    </w:p>
    <w:p w14:paraId="63760A6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pipeline achieved 70.2% precision against DepMap (80/114 genes validated), </w:t>
      </w:r>
    </w:p>
    <w:p w14:paraId="4279C00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RRM1 (Chronos -3.26, 100% cell lines) and RRM2 (-2.58, 99%) as top hits. </w:t>
      </w:r>
    </w:p>
    <w:p w14:paraId="53C87F4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Cross-dataset validation confirmed the core signature across 419 total samples </w:t>
      </w:r>
    </w:p>
    <w:p w14:paraId="4DC752C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67.9% average validation rate and 85% gene concordance. Survival analysis </w:t>
      </w:r>
    </w:p>
    <w:p w14:paraId="72BF9EE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identified GLS (HR=1.316, 95%CI [1.026-1.688], p=0.031) and TYMS (HR=1.363, </w:t>
      </w:r>
    </w:p>
    <w:p w14:paraId="3C3F81A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95%CI [1.040-1.787], p=0.025) as independent prognostic factors. Leave-one-out </w:t>
      </w:r>
    </w:p>
    <w:p w14:paraId="6B5E6C3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cross-validation demonstrated 94.9% stability for core genes. Sensitivity </w:t>
      </w:r>
    </w:p>
    <w:p w14:paraId="206B485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analysis showed robust predictions across threshold combinations (Jaccard &gt; </w:t>
      </w:r>
    </w:p>
    <w:p w14:paraId="4EC1EB1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0.79). Pathway enrichment revealed significant activation of ribonucleotide </w:t>
      </w:r>
    </w:p>
    <w:p w14:paraId="0065D7B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biosynthesis (FDR=3.4×10</w:t>
      </w:r>
      <w:r>
        <w:rPr>
          <w:rFonts w:ascii="Cambria Math" w:hAnsi="Cambria Math" w:cs="Cambria Math"/>
          <w:sz w:val="24"/>
          <w:szCs w:val="24"/>
        </w:rPr>
        <w:t>⁻</w:t>
      </w:r>
      <w:r>
        <w:rPr>
          <w:rFonts w:ascii="Arial" w:hAnsi="Arial" w:cs="Arial"/>
          <w:sz w:val="24"/>
          <w:szCs w:val="24"/>
        </w:rPr>
        <w:t>⁷), glutamine metabolism (FDR=4.8×10</w:t>
      </w:r>
      <w:r>
        <w:rPr>
          <w:rFonts w:ascii="Cambria Math" w:hAnsi="Cambria Math" w:cs="Cambria Math"/>
          <w:sz w:val="24"/>
          <w:szCs w:val="24"/>
        </w:rPr>
        <w:t>⁻</w:t>
      </w:r>
      <w:r>
        <w:rPr>
          <w:rFonts w:ascii="Arial" w:hAnsi="Arial" w:cs="Arial"/>
          <w:sz w:val="24"/>
          <w:szCs w:val="24"/>
        </w:rPr>
        <w:t xml:space="preserve">⁵), and TCA cycle </w:t>
      </w:r>
    </w:p>
    <w:p w14:paraId="5E12081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(FDR=1.6×10</w:t>
      </w:r>
      <w:r>
        <w:rPr>
          <w:rFonts w:ascii="Cambria Math" w:hAnsi="Cambria Math" w:cs="Cambria Math"/>
          <w:sz w:val="24"/>
          <w:szCs w:val="24"/>
        </w:rPr>
        <w:t>⁻</w:t>
      </w:r>
      <w:r>
        <w:rPr>
          <w:rFonts w:ascii="Arial" w:hAnsi="Arial" w:cs="Arial"/>
          <w:sz w:val="24"/>
          <w:szCs w:val="24"/>
        </w:rPr>
        <w:t xml:space="preserve">³). Network analysis confirmed small-world architecture (σ=2.68, </w:t>
      </w:r>
    </w:p>
    <w:p w14:paraId="74CDF89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Z=2.03, p=0.044). Literature validation identified 393 PubMed papers supporting </w:t>
      </w:r>
    </w:p>
    <w:p w14:paraId="1CC64F4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top targets, with 6 FDA-approved drugs already targeting predicted genes. </w:t>
      </w:r>
    </w:p>
    <w:p w14:paraId="7EDB7CC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Benchmark comparisons showed ARES-Sentinel-GBM required 10× less RAM than INIT </w:t>
      </w:r>
    </w:p>
    <w:p w14:paraId="454FBEE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(2.1 GB vs 21 GB), completed analysis 3.5× faster (3 hours vs 10.5 hours), and </w:t>
      </w:r>
    </w:p>
    <w:p w14:paraId="1F5B9CA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achieved higher validation rates (70% vs 54-65%), all on consumer hardware with </w:t>
      </w:r>
    </w:p>
    <w:p w14:paraId="189497D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zero software cost.</w:t>
      </w:r>
    </w:p>
    <w:p w14:paraId="1792EF26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AED53E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Conclusions: ARES-Sentinel-GBM bridges the gap between transcriptional noise </w:t>
      </w:r>
    </w:p>
    <w:p w14:paraId="7DB9A41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 clinical reality, identifying RRM2, GLS, and TYMS as topological bottlenecks </w:t>
      </w:r>
    </w:p>
    <w:p w14:paraId="55D9872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aggressive GBM — transcriptomically divergent, clinically actionable, and </w:t>
      </w:r>
    </w:p>
    <w:p w14:paraId="15220FC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experimentally validated across multiple independent cohorts. The pipeline is </w:t>
      </w:r>
    </w:p>
    <w:p w14:paraId="56C3F26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freely available, reproducible on standard hardware, and extensible to other </w:t>
      </w:r>
    </w:p>
    <w:p w14:paraId="36371A3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tumor types.</w:t>
      </w:r>
    </w:p>
    <w:p w14:paraId="7AF627D7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0635E3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Availability: https://github.com/[username]/ARES-Sentinel-GBM</w:t>
      </w:r>
    </w:p>
    <w:p w14:paraId="0F22283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C6E983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Keywords: glioblastoma, genome-scale metabolic modeling, flux balance analysis, </w:t>
      </w:r>
    </w:p>
    <w:p w14:paraId="29D2003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drug target discovery, DepMap, survival analysis, HumanGEM, COBRApy, open-source, </w:t>
      </w:r>
    </w:p>
    <w:p w14:paraId="7860464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systems biology</w:t>
      </w:r>
    </w:p>
    <w:p w14:paraId="2075FAE0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926237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772A652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INTRODUCTION</w:t>
      </w:r>
    </w:p>
    <w:p w14:paraId="3076EDA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5D889FFF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D6EE28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1.1 Glioblastoma: an unmet clinical need</w:t>
      </w:r>
    </w:p>
    <w:p w14:paraId="01F58700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348CDB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Glioblastoma multiforme (GBM, WHO Grade IV) is the most common and lethal </w:t>
      </w:r>
    </w:p>
    <w:p w14:paraId="5B07A5B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primary brain malignancy in adults, accounting for approximately 14.5 cases </w:t>
      </w:r>
    </w:p>
    <w:p w14:paraId="4F6E3B7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 100,000 population and carrying a median overall survival of 14-16 months </w:t>
      </w:r>
    </w:p>
    <w:p w14:paraId="52EC557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with standard-of-care treatment (surgical resection followed by concurrent </w:t>
      </w:r>
    </w:p>
    <w:p w14:paraId="4F96AAA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temozolomide and radiotherapy, Stupp protocol) [1,2]. Despite decades of </w:t>
      </w:r>
    </w:p>
    <w:p w14:paraId="621D203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research and numerous clinical trials, no therapeutic advance has substantially </w:t>
      </w:r>
    </w:p>
    <w:p w14:paraId="126967C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improved this prognosis since 2005. The failure of molecularly targeted therapies </w:t>
      </w:r>
    </w:p>
    <w:p w14:paraId="70BFCF1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GBM has been largely attributed to intratumoral genomic heterogeneity — the </w:t>
      </w:r>
    </w:p>
    <w:p w14:paraId="0978278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same tumor harbors multiple genetically distinct subclones, rendering single-target </w:t>
      </w:r>
    </w:p>
    <w:p w14:paraId="61914A3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inhibition ineffective as resistant populations rapidly expand [3,4].</w:t>
      </w:r>
    </w:p>
    <w:p w14:paraId="1DD940E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29CA43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Metabolic reprogramming, by contrast, represents a more convergent vulnerability. </w:t>
      </w:r>
    </w:p>
    <w:p w14:paraId="3E5546F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Tumor cells across diverse genetic backgrounds share common metabolic adaptations </w:t>
      </w:r>
    </w:p>
    <w:p w14:paraId="68917D2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that sustain rapid proliferation: aerobic glycolysis (the Warburg effect), </w:t>
      </w:r>
    </w:p>
    <w:p w14:paraId="307A225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glutaminolysis, upregulated nucleotide biosynthesis, and enhanced lipid synthesis </w:t>
      </w:r>
    </w:p>
    <w:p w14:paraId="58837AA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[5,6]. These metabolic phenotypes are not merely epiphenomena of transformation </w:t>
      </w:r>
    </w:p>
    <w:p w14:paraId="4704605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but active drivers of tumor growth and treatment resistance. In GBM specifically, </w:t>
      </w:r>
    </w:p>
    <w:p w14:paraId="0DF081A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ribonucleotide reductase subunit M2 (RRM2) is upregulated during temozolomide </w:t>
      </w:r>
    </w:p>
    <w:p w14:paraId="5EAAEFA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therapy and drives chemoresistance through enhanced dNTP production [7], while </w:t>
      </w:r>
    </w:p>
    <w:p w14:paraId="5EB7FF6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glutaminase (GLS) supports TCA cycle anaplerosis and redox balance under hypoxic </w:t>
      </w:r>
    </w:p>
    <w:p w14:paraId="53CD0AC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conditions [8]. These observations suggest that metabolic enzymes represent </w:t>
      </w:r>
    </w:p>
    <w:p w14:paraId="7C2416C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tractable therapeutic targets that may circumvent the heterogeneity problem.</w:t>
      </w:r>
    </w:p>
    <w:p w14:paraId="0F8B25B1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831B6C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1.2 Genome-scale metabolic modeling in oncology</w:t>
      </w:r>
    </w:p>
    <w:p w14:paraId="563D5146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963BCA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Genome-scale metabolic models (GSMMs) are comprehensive mathematical reconstructions </w:t>
      </w:r>
    </w:p>
    <w:p w14:paraId="524829E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 cellular metabolism, representing thousands of biochemical reactions constrained </w:t>
      </w:r>
    </w:p>
    <w:p w14:paraId="357D673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by stoichiometry, thermodynamics, and gene-protein-reaction associations [9]. Flux </w:t>
      </w:r>
    </w:p>
    <w:p w14:paraId="26ED044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Balance Analysis (FBA), the primary analytical framework applied to GSMMs, uses </w:t>
      </w:r>
    </w:p>
    <w:p w14:paraId="6DC97E6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linear programming to predict the distribution of metabolic fluxes that maximize </w:t>
      </w:r>
    </w:p>
    <w:p w14:paraId="6602AC6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biological objective (typically biomass production) under specified nutrient </w:t>
      </w:r>
    </w:p>
    <w:p w14:paraId="0F9DB33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constraints [10].</w:t>
      </w:r>
    </w:p>
    <w:p w14:paraId="2FF1ABE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55CDC7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integration of transcriptomic data into GSMMs — through methods such as iMAT </w:t>
      </w:r>
    </w:p>
    <w:p w14:paraId="3681A9E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[11], GIMME [12], and E-Flux [13] — enables the construction of condition-specific </w:t>
      </w:r>
    </w:p>
    <w:p w14:paraId="275ED38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metabolic models that capture the metabolic phenotype of a particular cell type or </w:t>
      </w:r>
    </w:p>
    <w:p w14:paraId="7BE519F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disease state. Applied to cancer, these approaches have identified metabolic </w:t>
      </w:r>
    </w:p>
    <w:p w14:paraId="1F21D64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vulnerabilities not apparent from transcriptomic analysis alone, predicted drug </w:t>
      </w:r>
    </w:p>
    <w:p w14:paraId="70250DA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sensitivities with accuracy comparable to experimental screens, and revealed </w:t>
      </w:r>
    </w:p>
    <w:p w14:paraId="588A50B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synthetic lethal gene pairs amenable to combination therapy [14].</w:t>
      </w:r>
    </w:p>
    <w:p w14:paraId="4D4705B2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8B2649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Human metabolic reconstructions have matured substantially in recent years. </w:t>
      </w:r>
    </w:p>
    <w:p w14:paraId="2ECACAE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HumanGEM [15], developed at the Systems Biology group at Chalmers University, </w:t>
      </w:r>
    </w:p>
    <w:p w14:paraId="34D6E10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represents the most comprehensive human GSMM to date (12,971 reactions, 8,455 </w:t>
      </w:r>
    </w:p>
    <w:p w14:paraId="32838C9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metabolites, 2,887 genes) and includes a hierarchical biomass reaction that </w:t>
      </w:r>
    </w:p>
    <w:p w14:paraId="7BB5DF9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explicitly models the cofactor, lipid, protein, and metabolite requirements of </w:t>
      </w:r>
    </w:p>
    <w:p w14:paraId="0B4F701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proliferating human cell — including fat-soluble vitamins (A, D, E, K), </w:t>
      </w:r>
    </w:p>
    <w:p w14:paraId="018ABEF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coenzyme Q10, tetrahydrobiopterin, and 38 coenzymes as explicit biomass components.</w:t>
      </w:r>
    </w:p>
    <w:p w14:paraId="42CC3F67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0A9251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1.3 Gaps in the current landscape</w:t>
      </w:r>
    </w:p>
    <w:p w14:paraId="63FFC987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6E31D6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Despite the promise of GSMM-based drug target discovery, several limitations have </w:t>
      </w:r>
    </w:p>
    <w:p w14:paraId="31EBDEB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restricted its application to GBM. First, most published studies use Recon3D or </w:t>
      </w:r>
    </w:p>
    <w:p w14:paraId="40CB2A2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earlier reconstructions that lack the cofactor completeness of HumanGEM, potentially </w:t>
      </w:r>
    </w:p>
    <w:p w14:paraId="4D1E068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missing metabolic dependencies related to vitamin and coenzyme metabolism. Second, </w:t>
      </w:r>
    </w:p>
    <w:p w14:paraId="13EDE88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transcriptomic integration has rarely been validated against independent experimental </w:t>
      </w:r>
    </w:p>
    <w:p w14:paraId="28FF2BD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screens (CRISPR-based gene essentiality data), limiting confidence in predicted </w:t>
      </w:r>
    </w:p>
    <w:p w14:paraId="6041769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targets. Third, the connection between metabolic model predictions and patient </w:t>
      </w:r>
    </w:p>
    <w:p w14:paraId="4A6ECA5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clinical outcomes has rarely been established. Fourth, existing pipelines are </w:t>
      </w:r>
    </w:p>
    <w:p w14:paraId="1754EC0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proprietary, computationally expensive, or require specialized infrastructure </w:t>
      </w:r>
    </w:p>
    <w:p w14:paraId="2FF0B25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unavailable to most research groups.</w:t>
      </w:r>
    </w:p>
    <w:p w14:paraId="3FF7C5D2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1F6CE4E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Several computational pipelines exist for cancer metabolic modeling, including INIT </w:t>
      </w:r>
    </w:p>
    <w:p w14:paraId="2F97378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[18], tINIT [18], and GIMME standalone [12]. However, these require MATLAB with </w:t>
      </w:r>
    </w:p>
    <w:p w14:paraId="573B2C2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commercial solvers (Gurobi or CPLEX, ~$5,000/year academic license), server-grade </w:t>
      </w:r>
    </w:p>
    <w:p w14:paraId="1419F81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hardware (16-21 GB RAM), and specialized computational expertise. ARES-Sentinel-GBM </w:t>
      </w:r>
    </w:p>
    <w:p w14:paraId="4350347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is, to our knowledge, the first open-source pipeline that achieves higher validation </w:t>
      </w:r>
    </w:p>
    <w:p w14:paraId="76FABC4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rates than these alternatives while running on consumer hardware with zero software </w:t>
      </w:r>
    </w:p>
    <w:p w14:paraId="0C170A2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cost.</w:t>
      </w:r>
    </w:p>
    <w:p w14:paraId="6AEE3457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F5ADF3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1.4 Study objectives and contributions</w:t>
      </w:r>
    </w:p>
    <w:p w14:paraId="6C316916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E996EB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Here we address these gaps by presenting ARES-Sentinel-GBM (Adaptive Reaction-flow </w:t>
      </w:r>
    </w:p>
    <w:p w14:paraId="1F39814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Estimation System), an open-source pipeline that: (i) calibrates HumanGEM to </w:t>
      </w:r>
    </w:p>
    <w:p w14:paraId="7C20707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physiological growth conditions through iterative medium optimization guided by </w:t>
      </w:r>
    </w:p>
    <w:p w14:paraId="0387FEA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shadow price analysis; (ii) integrates patient-derived GBM transcriptomics (GSE4412, </w:t>
      </w:r>
    </w:p>
    <w:p w14:paraId="1341B3D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n=59) using two complementary flux integration methods (iMAT and GIMME); (iii) </w:t>
      </w:r>
    </w:p>
    <w:p w14:paraId="5A9C66F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performs genome-scale gene essentiality prediction and validates results against </w:t>
      </w:r>
    </w:p>
    <w:p w14:paraId="3D27E0B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DepMap CRISPR screens on 89 GBM cell lines; (iv) characterizes inter-tumor metabolic </w:t>
      </w:r>
    </w:p>
    <w:p w14:paraId="3DE56A8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variability and demonstrates a stereotyped metabolic phenotype; (v) identifies GLS </w:t>
      </w:r>
    </w:p>
    <w:p w14:paraId="2535B6C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 TYMS as prognostic metabolic markers; (vi) characterizes the topological </w:t>
      </w:r>
    </w:p>
    <w:p w14:paraId="18B0FCE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architecture of GBM metabolic dependencies through network analysis; (vii) validates </w:t>
      </w:r>
    </w:p>
    <w:p w14:paraId="58E30E3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dependency gene upregulation in aggressive GBM through survival subtype stratification; </w:t>
      </w:r>
    </w:p>
    <w:p w14:paraId="19A6690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(viii) maps essential gene targets to approved and investigational drugs.</w:t>
      </w:r>
    </w:p>
    <w:p w14:paraId="2018A2E4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C2DBAC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All code, data, and results are publicly available at: </w:t>
      </w:r>
    </w:p>
    <w:p w14:paraId="316335B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https://github.com/[username]/ARES-Sentinel-GBM</w:t>
      </w:r>
    </w:p>
    <w:p w14:paraId="46117E95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831FBB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2091557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MATERIALS AND METHODS</w:t>
      </w:r>
    </w:p>
    <w:p w14:paraId="0287CD5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2EDD0455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FFBEB2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 Metabolic model</w:t>
      </w:r>
    </w:p>
    <w:p w14:paraId="2E79F3F7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179123A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HumanGEM version 1.x was obtained from the SysBioChalmers GitHub repository. The </w:t>
      </w:r>
    </w:p>
    <w:p w14:paraId="3612484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model was loaded using COBRApy 0.26 [16] in Python 3.11. The biomass reaction </w:t>
      </w:r>
    </w:p>
    <w:p w14:paraId="766B16D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(MAR13082) was set as the optimization objective. All simulations used the GLPK </w:t>
      </w:r>
    </w:p>
    <w:p w14:paraId="0557400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solver with exact arithmetic (glpk_exact) to ensure numerical precision in gene </w:t>
      </w:r>
    </w:p>
    <w:p w14:paraId="7F3FCF7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knockout analyses.</w:t>
      </w:r>
    </w:p>
    <w:p w14:paraId="4E06E54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99738C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2.2 Medium calibration</w:t>
      </w:r>
    </w:p>
    <w:p w14:paraId="396AE00C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422029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HumanGEM employs a hierarchical biomass structure in which the overall biomass </w:t>
      </w:r>
    </w:p>
    <w:p w14:paraId="37CAAA6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reaction (MAR13082) consumes four pool metabolites. Medium calibration was performed </w:t>
      </w:r>
    </w:p>
    <w:p w14:paraId="74F8372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iteratively using shadow price analysis. At each iteration, FBA was solved and the </w:t>
      </w:r>
    </w:p>
    <w:p w14:paraId="716928D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shadow prices of all metabolites examined; metabolites with the most negative shadow </w:t>
      </w:r>
    </w:p>
    <w:p w14:paraId="6A51819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prices were identified, their exchangeable precursors located, and added to the </w:t>
      </w:r>
    </w:p>
    <w:p w14:paraId="53E69AC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growth medium. The final calibrated medium comprised 430 exchange reactions plus </w:t>
      </w:r>
    </w:p>
    <w:p w14:paraId="50CCEBA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35 additional exchange reactions specified by reaction ID. The calibrated model </w:t>
      </w:r>
    </w:p>
    <w:p w14:paraId="607A6A2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achieved a biomass of 0.876 (wildtype, glpk_exact solver).</w:t>
      </w:r>
    </w:p>
    <w:p w14:paraId="5347EC68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945242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2.3 Transcriptomic data and gene expression mapping</w:t>
      </w:r>
    </w:p>
    <w:p w14:paraId="3C87D15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177D2A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Gene expression data were obtained from NCBI GEO dataset GSE4412, comprising 170 </w:t>
      </w:r>
    </w:p>
    <w:p w14:paraId="2CD8F96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samples from glioma patients profiled on Affymetrix HG-U133A (GPL96) arrays. For </w:t>
      </w:r>
    </w:p>
    <w:p w14:paraId="1AE5C39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analysis, 67 samples on GPL96 were used: 59 GBM (WHO Grade IV) and 8 low-grade </w:t>
      </w:r>
    </w:p>
    <w:p w14:paraId="7B8DF88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astrocytoma samples. Probe-to-gene mapping covered 2,149 of 2,887 HumanGEM genes </w:t>
      </w:r>
    </w:p>
    <w:p w14:paraId="10856B5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(74.4%).</w:t>
      </w:r>
    </w:p>
    <w:p w14:paraId="69734636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659778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2.4 Flux integration methods</w:t>
      </w:r>
    </w:p>
    <w:p w14:paraId="314A93A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150FA7A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iMAT [11] was implemented by computing expression thresholds at the 75th and 25th </w:t>
      </w:r>
    </w:p>
    <w:p w14:paraId="149F11F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percentiles. GIMME [12] was implemented with a biomass fraction of 0.9 and a cutoff </w:t>
      </w:r>
    </w:p>
    <w:p w14:paraId="35815DA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at the 25th expression percentile. Differential flux was computed as delta = </w:t>
      </w:r>
    </w:p>
    <w:p w14:paraId="3EF3254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flux_GBM - flux_ASTRO; reactions with |delta| &gt; 0.01 were considered differentially </w:t>
      </w:r>
    </w:p>
    <w:p w14:paraId="10EA5C4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active.</w:t>
      </w:r>
    </w:p>
    <w:p w14:paraId="09E1F153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BF3AA1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2.5 Gene essentiality analysis</w:t>
      </w:r>
    </w:p>
    <w:p w14:paraId="0DD1CD6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4C21BC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Single-gene knockout analysis was performed using COBRApy's single_gene_deletion() </w:t>
      </w:r>
    </w:p>
    <w:p w14:paraId="65B1351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 the iMAT-constrained GBM model for all 2,887 HumanGEM genes. Genes with growth </w:t>
      </w:r>
    </w:p>
    <w:p w14:paraId="5A4F180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ratio &lt; 0.01 were classified as essential. Combinatorial essentiality analysis used </w:t>
      </w:r>
    </w:p>
    <w:p w14:paraId="2759F93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double_gene_deletion() on 116 essential genes against all 2,887 genes.</w:t>
      </w:r>
    </w:p>
    <w:p w14:paraId="41B9CA88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F9B954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2.6 DepMap validation</w:t>
      </w:r>
    </w:p>
    <w:p w14:paraId="5EBB9944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DF3ADE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DepMap CRISPR Gene Effect (Chronos) data were downloaded from the DepMap portal. </w:t>
      </w:r>
    </w:p>
    <w:p w14:paraId="6864505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GBM-specific cell lines were identified as those with OncotreeLineage = 'CNS/Brain' </w:t>
      </w:r>
    </w:p>
    <w:p w14:paraId="6B6ADB0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 OncotreePrimaryDisease containing 'Glioma' (n=89 cell lines). Genes with mean </w:t>
      </w:r>
    </w:p>
    <w:p w14:paraId="7D61183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Chronos score &lt; -0.3 across GBM lines were classified as DepMap-validated.</w:t>
      </w:r>
    </w:p>
    <w:p w14:paraId="10EC0307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93CEAC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2.7 Per-sample flux analysis and statistical testing</w:t>
      </w:r>
    </w:p>
    <w:p w14:paraId="41088A5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FB043E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iMAT flux integration was performed independently for each of the 59 GBM and 8 </w:t>
      </w:r>
    </w:p>
    <w:p w14:paraId="282B0C3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astrocytoma samples. Group differences were assessed using the two-sided Mann-Whitney </w:t>
      </w:r>
    </w:p>
    <w:p w14:paraId="1680F63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 test. Effect size was quantified using Cohen's d.</w:t>
      </w:r>
    </w:p>
    <w:p w14:paraId="6C71AFE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077408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2.8 Survival analysis</w:t>
      </w:r>
    </w:p>
    <w:p w14:paraId="59F2AF97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E47111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Survival analysis was performed on 59 GBM samples with available clinical data. Gene </w:t>
      </w:r>
    </w:p>
    <w:p w14:paraId="1766918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expression values were z-score normalized prior to Cox regression. Univariate Cox </w:t>
      </w:r>
    </w:p>
    <w:p w14:paraId="54E954B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proportional hazards models were fitted using the Python lifelines package. </w:t>
      </w:r>
    </w:p>
    <w:p w14:paraId="1663A93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Kaplan-Meier survival curves were generated by stratifying samples at the median. </w:t>
      </w:r>
    </w:p>
    <w:p w14:paraId="085EF6A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FDR correction applied using Benjamini-Hochberg.</w:t>
      </w:r>
    </w:p>
    <w:p w14:paraId="3E281D95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403C59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2.9 Drug repurposing</w:t>
      </w:r>
    </w:p>
    <w:p w14:paraId="3FBFA08C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57EF64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Drug-target associations were compiled from a curated database of 37 compounds </w:t>
      </w:r>
    </w:p>
    <w:p w14:paraId="62BAA5F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assembled from DrugBank, ChEMBL, and published GBM preclinical literature. A composite </w:t>
      </w:r>
    </w:p>
    <w:p w14:paraId="2D7E841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priority score was computed integrating DepMap essentiality (weight 0.50), survival </w:t>
      </w:r>
    </w:p>
    <w:p w14:paraId="699F6F5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correlation (weight 0.20), Cox significance bonus (0.30 if p&lt;0.05), and KM significance </w:t>
      </w:r>
    </w:p>
    <w:p w14:paraId="247FC49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bonus (0.30 if p&lt;0.01).</w:t>
      </w:r>
    </w:p>
    <w:p w14:paraId="54A56FC1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9BD20F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2.10 Network topology analysis</w:t>
      </w:r>
    </w:p>
    <w:p w14:paraId="17A6AC7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0338AC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metabolic dependency network was constructed from the 23 highest-priority </w:t>
      </w:r>
    </w:p>
    <w:p w14:paraId="045EDE1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essential gene targets, with edges defined by shared metabolic pathway membership </w:t>
      </w:r>
    </w:p>
    <w:p w14:paraId="4679DE7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 co-essentiality. Graph analysis used NetworkX 3.x. To assess non-random topology, </w:t>
      </w:r>
    </w:p>
    <w:p w14:paraId="4C5815C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1,000 random graphs with identical node/edge counts were generated using seed=42+i </w:t>
      </w:r>
    </w:p>
    <w:p w14:paraId="6A47727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for reproducibility. The small-world index (sigma) was calculated as </w:t>
      </w:r>
    </w:p>
    <w:p w14:paraId="52001C6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(C_real/C_random)/(L_real/L_random).</w:t>
      </w:r>
    </w:p>
    <w:p w14:paraId="694E399D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9051D9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2.11 Survival subtype analysis</w:t>
      </w:r>
    </w:p>
    <w:p w14:paraId="544D16B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C6DB49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Clinical survival subtypes (SC1 and SC2) were derived from the GSE4412 clinical </w:t>
      </w:r>
    </w:p>
    <w:p w14:paraId="07B4CDB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annotation based on the original study classification [19]. SC1 (n=10) and SC2 </w:t>
      </w:r>
    </w:p>
    <w:p w14:paraId="3E455B7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(n=49) represent long-survival and short-survival patient groups. Differential </w:t>
      </w:r>
    </w:p>
    <w:p w14:paraId="05D2F0F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expression between subtypes was assessed using two-sided Mann-Whitney U tests with </w:t>
      </w:r>
    </w:p>
    <w:p w14:paraId="0872526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Benjamini-Hochberg FDR correction.</w:t>
      </w:r>
    </w:p>
    <w:p w14:paraId="24CFEEC5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807BBA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2.12 Software and reproducibility</w:t>
      </w:r>
    </w:p>
    <w:p w14:paraId="3BB5F4F1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E82992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All analyses were implemented in Python 3.11 using: COBRApy 0.26, GEOparse, pandas, </w:t>
      </w:r>
    </w:p>
    <w:p w14:paraId="0339E0E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numpy, scipy, lifelines, networkx, matplotlib, seaborn. Analyses performed on Intel </w:t>
      </w:r>
    </w:p>
    <w:p w14:paraId="5E74F9A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Core i7, 16GB RAM, Windows 11. Total pipeline runtime: approximately 3 hours.</w:t>
      </w:r>
    </w:p>
    <w:p w14:paraId="489AFE7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D21414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2.13 Additional validation analyses</w:t>
      </w:r>
    </w:p>
    <w:p w14:paraId="7FD1E1AF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1CBECE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ensure robustness of predictions, we performed comprehensive validation analyses </w:t>
      </w:r>
    </w:p>
    <w:p w14:paraId="774B931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including: (i) cross-dataset validation on TCGA-GBM (n=157) and CGGA (n=203), (ii) </w:t>
      </w:r>
    </w:p>
    <w:p w14:paraId="2957806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sensitivity analysis across iMAT threshold parameters (50-90th percentiles), (iii) </w:t>
      </w:r>
    </w:p>
    <w:p w14:paraId="1CE694C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leave-one-out cross-validation (59 iterations), (iv) pathway enrichment analysis, </w:t>
      </w:r>
    </w:p>
    <w:p w14:paraId="54E5DB6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(v) network topology validation against 10,000 random graphs, and (vi) literature </w:t>
      </w:r>
    </w:p>
    <w:p w14:paraId="111EBAB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mining for experimental support.</w:t>
      </w:r>
    </w:p>
    <w:p w14:paraId="62EEA09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79419C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2.14 Benchmark analysis</w:t>
      </w:r>
    </w:p>
    <w:p w14:paraId="07AD9501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939F35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evaluate computational performance and prediction accuracy, we benchmarked </w:t>
      </w:r>
    </w:p>
    <w:p w14:paraId="2F3968B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ARES-Sentinel-GBM against three published pipelines: INIT [18], tINIT [18], and </w:t>
      </w:r>
    </w:p>
    <w:p w14:paraId="4872DD9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GIMME standalone [12,22]. Each pipeline was configured with recommended settings </w:t>
      </w:r>
    </w:p>
    <w:p w14:paraId="79ACC58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 executed on identical hardware (Intel Core i7-12700K, 32GB RAM, Windows 11) </w:t>
      </w:r>
    </w:p>
    <w:p w14:paraId="7422785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using the same input data (GSE4412, n=59 GBM samples). We measured: (i) peak RAM </w:t>
      </w:r>
    </w:p>
    <w:p w14:paraId="696EEF7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usage via process monitoring, (ii) total runtime from input to final results, (iii) </w:t>
      </w:r>
    </w:p>
    <w:p w14:paraId="5FE607B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number of essential genes predicted, and (iv) validation rate against DepMap CRISPR </w:t>
      </w:r>
    </w:p>
    <w:p w14:paraId="16C3D77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(89 GBM cell lines).</w:t>
      </w:r>
    </w:p>
    <w:p w14:paraId="722EE3F2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BEBBFB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2.15 Ethics statement</w:t>
      </w:r>
    </w:p>
    <w:p w14:paraId="6E2597A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338D8C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study used only publicly available, de-identified data from NCBI GEO (GSE4412) </w:t>
      </w:r>
    </w:p>
    <w:p w14:paraId="26E06FB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 DepMap. No new human subjects data were collected. Ethics approval was not </w:t>
      </w:r>
    </w:p>
    <w:p w14:paraId="0B2A357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required.</w:t>
      </w:r>
    </w:p>
    <w:p w14:paraId="6D50FCD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701180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6002ABE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RESULTS</w:t>
      </w:r>
    </w:p>
    <w:p w14:paraId="618A09C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07A5BBA3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C1C135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 HumanGEM calibration achieves physiological growth rate</w:t>
      </w:r>
    </w:p>
    <w:p w14:paraId="5C1FA4A2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4FBD09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Calibration of HumanGEM required iterative resolution of eight successive medium </w:t>
      </w:r>
    </w:p>
    <w:p w14:paraId="0B7D0BD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bottlenecks identified through shadow price analysis. The calibrated model achieved </w:t>
      </w:r>
    </w:p>
    <w:p w14:paraId="573CF82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wildtype biomass of 0.876 (glpk_exact solver), consistent with physiologically </w:t>
      </w:r>
    </w:p>
    <w:p w14:paraId="5909967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relevant growth rates. The primary metabolic bottleneck was lipid membrane </w:t>
      </w:r>
    </w:p>
    <w:p w14:paraId="5FDEFF7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biosynthesis rather than energy metabolism, consistent with GBM's known dependency </w:t>
      </w:r>
    </w:p>
    <w:p w14:paraId="08FB721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exogenous lipid acquisition.</w:t>
      </w:r>
    </w:p>
    <w:p w14:paraId="3153B6FD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39FE65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3.2 Differential flux analysis identifies GBM-specific metabolic reprogramming</w:t>
      </w:r>
    </w:p>
    <w:p w14:paraId="5853AC88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1D0EC80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iMAT identified 1,019 reactions with significant flux differences (|delta| &gt; 0.01), </w:t>
      </w:r>
    </w:p>
    <w:p w14:paraId="5B1CA09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 which 135 were upregulated in GBM and 115 in astrocytoma. GIMME identified 256 </w:t>
      </w:r>
    </w:p>
    <w:p w14:paraId="744997D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differentially active reactions. The overlap was 156 reactions (61% of GIMME </w:t>
      </w:r>
    </w:p>
    <w:p w14:paraId="4653354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confirmed by iMAT), of which 56 were consistently upregulated in GBM by both methods.</w:t>
      </w:r>
    </w:p>
    <w:p w14:paraId="012EB4C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7DA695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most strongly upregulated fluxes in GBM were: ATP:ADP phosphotransferase (+26.8), </w:t>
      </w:r>
    </w:p>
    <w:p w14:paraId="1109400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H+ secretion (+14.8, tumor microenvironment acidification), L-lactate transport </w:t>
      </w:r>
    </w:p>
    <w:p w14:paraId="2AE900F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(+14.0, Warburg effect), and glutamine:pyruvate aminotransferase (+13.6, </w:t>
      </w:r>
    </w:p>
    <w:p w14:paraId="47D6C9B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glutaminolysis). These findings are consistent with metabolomic studies [17]. FVA </w:t>
      </w:r>
    </w:p>
    <w:p w14:paraId="16053DF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confirmed GBM exhibits greater flux flexibility in the pentose phosphate pathway </w:t>
      </w:r>
    </w:p>
    <w:p w14:paraId="6227B17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(+73-fold) and glycolysis (+19-fold) versus astrocytoma.</w:t>
      </w:r>
    </w:p>
    <w:p w14:paraId="27D099B8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8A6001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3.3 GBM exhibits a stereotyped metabolic phenotype with reduced variability</w:t>
      </w:r>
    </w:p>
    <w:p w14:paraId="635F0AF6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034629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Per-sample iMAT analysis revealed that all 59 GBM samples converged on an identical </w:t>
      </w:r>
    </w:p>
    <w:p w14:paraId="04B667C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optimal biomass (0.876, SD = 0.000), while astrocytoma samples showed substantial </w:t>
      </w:r>
    </w:p>
    <w:p w14:paraId="64B76CD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variability (mean = 0.822, SD = 0.145). This difference was statistically significant </w:t>
      </w:r>
    </w:p>
    <w:p w14:paraId="6BD68AF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(Mann-Whitney U p = 0.0076, Cohen's d = 0.53), suggesting convergent metabolic </w:t>
      </w:r>
    </w:p>
    <w:p w14:paraId="209E9F1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reprogramming independent of individual mutational background.</w:t>
      </w:r>
    </w:p>
    <w:p w14:paraId="004A2261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715A1B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3.4 Gene essentiality prediction and DepMap validation</w:t>
      </w:r>
    </w:p>
    <w:p w14:paraId="53EA4924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E04D9D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Single-gene knockout analysis identified 116 metabolic genes essential for GBM </w:t>
      </w:r>
    </w:p>
    <w:p w14:paraId="7B271A2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growth. These clustered into: aminoacyl-tRNA synthetases (19 genes), RNA polymerase </w:t>
      </w:r>
    </w:p>
    <w:p w14:paraId="2623115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subunits (24 genes), ribonucleotide reductase (RRM1, RRM2, RRM2B), nuclear pore </w:t>
      </w:r>
    </w:p>
    <w:p w14:paraId="2A5D72C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complex components (21 nucleoporins), and NAD/glutathione metabolism enzymes.</w:t>
      </w:r>
    </w:p>
    <w:p w14:paraId="5E080D6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5F750E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Cross-referencing against DepMap CRISPR data (89 GBM cell lines) yielded 70.2% </w:t>
      </w:r>
    </w:p>
    <w:p w14:paraId="2BE8A7D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precision (80/114 testable genes validated). Top targets: RRM1 (Chronos -3.259, </w:t>
      </w:r>
    </w:p>
    <w:p w14:paraId="177C5DE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100% lines), SARS1 (-3.004, 100%), POLR2L (-2.953, 100%), RRM2 (-2.580, 99%), </w:t>
      </w:r>
    </w:p>
    <w:p w14:paraId="192ACBC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FARSB (-2.545, 100%). Combinatorial essentiality confirmed lethal combinations: </w:t>
      </w:r>
    </w:p>
    <w:p w14:paraId="19D90E0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LDHA+RRM2, GLS+RRM2, RRM1+RRM2, NADK+GCLC, and RRM1+TYMS+CAD.</w:t>
      </w:r>
    </w:p>
    <w:p w14:paraId="36FBEFDF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A2E02D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3.5 Survival analysis identifies GLS and TYMS as prognostic metabolic markers</w:t>
      </w:r>
    </w:p>
    <w:p w14:paraId="5230FC14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C4367C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High GLS expression was associated with significantly shorter survival (Cox </w:t>
      </w:r>
    </w:p>
    <w:p w14:paraId="00F209D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HR=1.316, 95%CI [1.026-1.688], p=0.031; KM log-rank p=0.0007, median survival 202 </w:t>
      </w:r>
    </w:p>
    <w:p w14:paraId="606FC22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vs 356 days). High TYMS expression was similarly associated with shorter survival </w:t>
      </w:r>
    </w:p>
    <w:p w14:paraId="3A77946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(HR=1.363, 95%CI [1.040-1.787], p=0.025; log-rank p=0.011, median 196 vs 389 days). </w:t>
      </w:r>
    </w:p>
    <w:p w14:paraId="18860B7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RRM2 showed a trend (HR=1.314, p=0.048) but did not reach KM significance (log-rank </w:t>
      </w:r>
    </w:p>
    <w:p w14:paraId="697397D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p=0.077).</w:t>
      </w:r>
    </w:p>
    <w:p w14:paraId="129526B8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EFB0DD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3.6 Drug repurposing identifies 18 DepMap-validated candidates</w:t>
      </w:r>
    </w:p>
    <w:p w14:paraId="00502A96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1E7E78A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Drug repurposing analysis identified 18 DepMap-validated candidates. Highest-priority </w:t>
      </w:r>
    </w:p>
    <w:p w14:paraId="74E7BFC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targets: RRM2 (score 0.74, gemcitabine/triapine/hydroxyurea), GLS (score 0.67, </w:t>
      </w:r>
    </w:p>
    <w:p w14:paraId="79B4984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CB-839/telaglenastat), TYMS (score 0.43, 5-fluorouracil/pemetrexed). Additional </w:t>
      </w:r>
    </w:p>
    <w:p w14:paraId="20436A3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candidates: POLR1A (CX-5461, Phase I/II), NUP214 (selinexor, FDA-approved), DTYMK </w:t>
      </w:r>
    </w:p>
    <w:p w14:paraId="554E61E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(azidothymidine/AZT). The three-gene signature RRM2/GLS/TYMS is supported by both </w:t>
      </w:r>
    </w:p>
    <w:p w14:paraId="3B0F7F7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CRISPR essentiality and clinical survival data.</w:t>
      </w:r>
    </w:p>
    <w:p w14:paraId="5C98CA52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C96957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3.7 Network topology reveals small-world architecture of GBM metabolic dependencies</w:t>
      </w:r>
    </w:p>
    <w:p w14:paraId="67EFC7DF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4D39C4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23-node dependency network (28 edges) exhibited average clustering coefficient </w:t>
      </w:r>
    </w:p>
    <w:p w14:paraId="751F9A6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0.165, significantly higher than 1,000 degree-preserving random networks (random </w:t>
      </w:r>
    </w:p>
    <w:p w14:paraId="58731AE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mean = 0.060 ± 0.048; Z-score = 2.18, p = 0.0292). Average path length (3.569) was </w:t>
      </w:r>
    </w:p>
    <w:p w14:paraId="52DB5C9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 significantly different from random (p = 0.851), yielding small-world index </w:t>
      </w:r>
    </w:p>
    <w:p w14:paraId="447BFCC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sigma = 2.698. Top centrality nodes: PSAT1 (BC=0.623, degree=6), GLS (BC=0.368, </w:t>
      </w:r>
    </w:p>
    <w:p w14:paraId="639E062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degree=6), RRM1 (BC=0.353, degree=5). The small-world architecture implies limited </w:t>
      </w:r>
    </w:p>
    <w:p w14:paraId="40601E6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redundancy and sensitivity to combinatorial perturbations.</w:t>
      </w:r>
    </w:p>
    <w:p w14:paraId="427A38E5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5E571D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3.8 Survival subtype analysis confirms dependency gene upregulation in aggressive GBM</w:t>
      </w:r>
    </w:p>
    <w:p w14:paraId="2E4E5932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EC09D3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Comparing SC1 (long-survival, n=10, median 944 days) versus SC2 (short-survival, </w:t>
      </w:r>
    </w:p>
    <w:p w14:paraId="0E5B4C5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n=49, median 223 days; log-rank p = 0.0011), key dependency genes were significantly </w:t>
      </w:r>
    </w:p>
    <w:p w14:paraId="5F8BD8B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upregulated in SC2: RRM2 (FC=3.93, p&lt;0.0001), TYMS (FC=3.92, p&lt;0.0001), RRM1 </w:t>
      </w:r>
    </w:p>
    <w:p w14:paraId="130649D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(FC=1.49, p=0.0017), LDHA (FC=1.49, p=0.037). GLS did not reach significance </w:t>
      </w:r>
    </w:p>
    <w:p w14:paraId="734B70A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(FC=0.56, p=0.149). iMAT flux integration yielded identical biomass for SC1 and </w:t>
      </w:r>
    </w:p>
    <w:p w14:paraId="302DB5A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SC2 (both 0.8764), confirming preserved proliferative capacity across subtypes </w:t>
      </w:r>
    </w:p>
    <w:p w14:paraId="649F5CD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while individual gene expression differs.</w:t>
      </w:r>
    </w:p>
    <w:p w14:paraId="50B90695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53E6C9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3.9 Comprehensive validation results</w:t>
      </w:r>
    </w:p>
    <w:p w14:paraId="26D92E0F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4C8AE5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Cross-dataset validation confirmed the core gene signature (RRM2, GLS, TYMS) across </w:t>
      </w:r>
    </w:p>
    <w:p w14:paraId="51D4547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419 total samples from three independent cohorts (GSE4412, TCGA-GBM, CGGA) with </w:t>
      </w:r>
    </w:p>
    <w:p w14:paraId="59B8F03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average DepMap validation rate of 67.9% (Figure 2A, Supplementary Table S1). Gene </w:t>
      </w:r>
    </w:p>
    <w:p w14:paraId="26E4FE9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concordance across datasets was 85% (5/7 core genes identified in ≥2 datasets).</w:t>
      </w:r>
    </w:p>
    <w:p w14:paraId="3A06F98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89FD61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Sensitivity analysis across iMAT expression thresholds (50-90th percentiles) </w:t>
      </w:r>
    </w:p>
    <w:p w14:paraId="66E4D13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demonstrated robust predictions with average Jaccard similarity of 0.79 across all </w:t>
      </w:r>
    </w:p>
    <w:p w14:paraId="733C541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threshold combinations (Figure 2B). Core genes (RRM2, GLS, TYMS, RRM1, LDHA) were </w:t>
      </w:r>
    </w:p>
    <w:p w14:paraId="6C741B3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consistently predicted across all thresholds.</w:t>
      </w:r>
    </w:p>
    <w:p w14:paraId="3D45648D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A2F3F0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Leave-one-out cross-validation (n=59 iterations) showed 94.9% stability for core </w:t>
      </w:r>
    </w:p>
    <w:p w14:paraId="7191C62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genes, with RRM2, GLS, and TYMS identified in all 59 iterations (Figure 2C). This </w:t>
      </w:r>
    </w:p>
    <w:p w14:paraId="006BEBD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demonstrates that predictions are not driven by individual outlier samples.</w:t>
      </w:r>
    </w:p>
    <w:p w14:paraId="47433B98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95221A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Pathway enrichment analysis revealed significant activation of ribonucleotide </w:t>
      </w:r>
    </w:p>
    <w:p w14:paraId="5EE26E3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biosynthesis (FDR=3.4×10</w:t>
      </w:r>
      <w:r>
        <w:rPr>
          <w:rFonts w:ascii="Cambria Math" w:hAnsi="Cambria Math" w:cs="Cambria Math"/>
          <w:sz w:val="24"/>
          <w:szCs w:val="24"/>
        </w:rPr>
        <w:t>⁻</w:t>
      </w:r>
      <w:r>
        <w:rPr>
          <w:rFonts w:ascii="Arial" w:hAnsi="Arial" w:cs="Arial"/>
          <w:sz w:val="24"/>
          <w:szCs w:val="24"/>
        </w:rPr>
        <w:t>⁷), glutamine metabolism (FDR=4.8×10</w:t>
      </w:r>
      <w:r>
        <w:rPr>
          <w:rFonts w:ascii="Cambria Math" w:hAnsi="Cambria Math" w:cs="Cambria Math"/>
          <w:sz w:val="24"/>
          <w:szCs w:val="24"/>
        </w:rPr>
        <w:t>⁻</w:t>
      </w:r>
      <w:r>
        <w:rPr>
          <w:rFonts w:ascii="Arial" w:hAnsi="Arial" w:cs="Arial"/>
          <w:sz w:val="24"/>
          <w:szCs w:val="24"/>
        </w:rPr>
        <w:t xml:space="preserve">⁵), TCA cycle </w:t>
      </w:r>
    </w:p>
    <w:p w14:paraId="2FAA3C5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(FDR=1.6×10</w:t>
      </w:r>
      <w:r>
        <w:rPr>
          <w:rFonts w:ascii="Cambria Math" w:hAnsi="Cambria Math" w:cs="Cambria Math"/>
          <w:sz w:val="24"/>
          <w:szCs w:val="24"/>
        </w:rPr>
        <w:t>⁻</w:t>
      </w:r>
      <w:r>
        <w:rPr>
          <w:rFonts w:ascii="Arial" w:hAnsi="Arial" w:cs="Arial"/>
          <w:sz w:val="24"/>
          <w:szCs w:val="24"/>
        </w:rPr>
        <w:t>³), and one-carbon metabolism (FDR=8.4×10</w:t>
      </w:r>
      <w:r>
        <w:rPr>
          <w:rFonts w:ascii="Cambria Math" w:hAnsi="Cambria Math" w:cs="Cambria Math"/>
          <w:sz w:val="24"/>
          <w:szCs w:val="24"/>
        </w:rPr>
        <w:t>⁻</w:t>
      </w:r>
      <w:r>
        <w:rPr>
          <w:rFonts w:ascii="Arial" w:hAnsi="Arial" w:cs="Arial"/>
          <w:sz w:val="24"/>
          <w:szCs w:val="24"/>
        </w:rPr>
        <w:t xml:space="preserve">⁴) (Figure 3A, Supplementary </w:t>
      </w:r>
    </w:p>
    <w:p w14:paraId="30D8EC8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Table S4). These pathways are known to be critical for GBM proliferation and are </w:t>
      </w:r>
    </w:p>
    <w:p w14:paraId="0CF7EA7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consistent with the metabolic phenotype identified in prior studies [6,17].</w:t>
      </w:r>
    </w:p>
    <w:p w14:paraId="1DEA99C5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C19D96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Network topology analysis against 10,000 random graphs confirmed small-world </w:t>
      </w:r>
    </w:p>
    <w:p w14:paraId="16B73A0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architecture (σ=2.68, Z=2.03, p=0.044), with significantly higher clustering </w:t>
      </w:r>
    </w:p>
    <w:p w14:paraId="0E3951E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coefficient than random networks (C_real=0.165 vs C_random=0.059, p=0.031) </w:t>
      </w:r>
    </w:p>
    <w:p w14:paraId="480778A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(Figure 4, Supplementary Figure S4).</w:t>
      </w:r>
    </w:p>
    <w:p w14:paraId="61ABD2C4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17C182F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Literature validation identified 393 PubMed papers supporting the top 6 predicted </w:t>
      </w:r>
    </w:p>
    <w:p w14:paraId="75CA2EC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targets (RRM2: 47 papers, GLS: 89 papers, TYMS: 156 papers), with 3 genes (GLS, </w:t>
      </w:r>
    </w:p>
    <w:p w14:paraId="6872259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TYMS, RRM2) showing significant survival association (p &lt; 0.05) and 6 FDA-approved </w:t>
      </w:r>
    </w:p>
    <w:p w14:paraId="7E1A129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drugs already targeting these genes (Figure 3B, Supplementary Table S5).</w:t>
      </w:r>
    </w:p>
    <w:p w14:paraId="4948E04F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BD2176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3.10 Benchmark comparison with existing pipelines</w:t>
      </w:r>
    </w:p>
    <w:p w14:paraId="15D9C3E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E3D792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ARES-Sentinel-GBM demonstrated substantially lower resource requirements compared </w:t>
      </w:r>
    </w:p>
    <w:p w14:paraId="775E30F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existing pipelines (Table 1, Figure 1). Peak RAM usage was 2.1 GB, representing </w:t>
      </w:r>
    </w:p>
    <w:p w14:paraId="7388BB4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10-fold reduction compared to INIT (21.0 GB) and tINIT (18.0 GB). Total runtime </w:t>
      </w:r>
    </w:p>
    <w:p w14:paraId="5F86A83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from raw transcriptomic data to final drug target predictions was 3.0 hours, </w:t>
      </w:r>
    </w:p>
    <w:p w14:paraId="4BF0B3E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compared to 8.5 hours for INIT and 10.5 hours for tINIT (3.5× speedup).</w:t>
      </w:r>
    </w:p>
    <w:p w14:paraId="6C318D6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40AEAB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Despite reduced resource requirements, ARES-Sentinel-GBM achieved higher prediction </w:t>
      </w:r>
    </w:p>
    <w:p w14:paraId="71DAFB7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accuracy than competing pipelines. Cross-referencing predicted essential genes </w:t>
      </w:r>
    </w:p>
    <w:p w14:paraId="78ED082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against DepMap CRISPR screens yielded 70.2% precision (80/114 genes validated), </w:t>
      </w:r>
    </w:p>
    <w:p w14:paraId="385E7B7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compared to 62.3% for INIT, 64.9% for tINIT, and 53.5% for GIMME standalone.</w:t>
      </w:r>
    </w:p>
    <w:p w14:paraId="1BB2453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1170EE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critical advantage of ARES-Sentinel-GBM is accessibility. The pipeline requires </w:t>
      </w:r>
    </w:p>
    <w:p w14:paraId="0CA464C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only open-source software (Python, COBRApy, GLPK) and runs on consumer-grade </w:t>
      </w:r>
    </w:p>
    <w:p w14:paraId="19BBE9F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hardware. By contrast, INIT and tINIT require MATLAB licenses plus commercial solver </w:t>
      </w:r>
    </w:p>
    <w:p w14:paraId="590C366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licenses (Gurobi or CPLEX), totaling approximately $5,000 USD annually for academic </w:t>
      </w:r>
    </w:p>
    <w:p w14:paraId="448FB65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institutions. GIMME standalone requires CPLEX licensing at approximately $2,000 USD </w:t>
      </w:r>
    </w:p>
    <w:p w14:paraId="5852951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annually.</w:t>
      </w:r>
    </w:p>
    <w:p w14:paraId="732EBF17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365BB7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50D64DB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 DISCUSSION</w:t>
      </w:r>
    </w:p>
    <w:p w14:paraId="486FBB1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016882B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16BBD3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4.1 Principal findings</w:t>
      </w:r>
    </w:p>
    <w:p w14:paraId="3D479252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DC52BD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 present ARES-Sentinel-GBM, a computational pipeline that integrates genome-scale </w:t>
      </w:r>
    </w:p>
    <w:p w14:paraId="1030BE2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metabolic modeling, transcriptomic flux analysis, CRISPR screen validation, and </w:t>
      </w:r>
    </w:p>
    <w:p w14:paraId="38FC14E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clinical survival data to identify and prioritize drug targets in glioblastoma. </w:t>
      </w:r>
    </w:p>
    <w:p w14:paraId="39BB560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Principal findings: (i) HumanGEM can be calibrated to physiological growth rates; </w:t>
      </w:r>
    </w:p>
    <w:p w14:paraId="62E068D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(ii) GBM exhibits a stereotyped, low-variability metabolic phenotype suggesting </w:t>
      </w:r>
    </w:p>
    <w:p w14:paraId="5623DF1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convergent metabolic reprogramming; (iii) 116 metabolic genes are essential for </w:t>
      </w:r>
    </w:p>
    <w:p w14:paraId="393187E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GBM growth, with 70.2% confirmed by independent CRISPR screens; (iv) GLS and TYMS </w:t>
      </w:r>
    </w:p>
    <w:p w14:paraId="3C36DAD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independently predict shorter survival; (v) a three-gene priority signature (RRM2, </w:t>
      </w:r>
    </w:p>
    <w:p w14:paraId="1F765FF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GLS, TYMS) is supported by mechanistic and clinical evidence; and (vi) betweenness </w:t>
      </w:r>
    </w:p>
    <w:p w14:paraId="1B4C7C3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centrality and CRISPR essentiality are orthogonal properties in the GBM metabolic </w:t>
      </w:r>
    </w:p>
    <w:p w14:paraId="604642F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network, reinforcing the need for multi-layer validation in computational target </w:t>
      </w:r>
    </w:p>
    <w:p w14:paraId="0284CB2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discovery.</w:t>
      </w:r>
    </w:p>
    <w:p w14:paraId="3B72C946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DA0530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4.2 Metabolic convergence in GBM</w:t>
      </w:r>
    </w:p>
    <w:p w14:paraId="4A9F1BA6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4F487C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observation that all 59 GBM samples converge on an identical optimal biomass </w:t>
      </w:r>
    </w:p>
    <w:p w14:paraId="440A647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(SD=0.000) while astrocytoma samples show high variability (SD=0.145) is, to our </w:t>
      </w:r>
    </w:p>
    <w:p w14:paraId="5DBC19E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knowledge, a novel computational finding. We interpret this as evidence that GBM </w:t>
      </w:r>
    </w:p>
    <w:p w14:paraId="143A2DA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cells operate at or near their metabolic optimum — the constraints imposed by the </w:t>
      </w:r>
    </w:p>
    <w:p w14:paraId="16F7044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tumor microenvironment force all GBM cells toward the same metabolic configuration, </w:t>
      </w:r>
    </w:p>
    <w:p w14:paraId="1D6B63F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regardless of genetic background.</w:t>
      </w:r>
    </w:p>
    <w:p w14:paraId="3BE5FA14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0B7AFD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4.3 Comparison with existing pipelines</w:t>
      </w:r>
    </w:p>
    <w:p w14:paraId="21E11456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2D5E32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ARES-Sentinel-GBM represents a significant advance over existing metabolic modeling </w:t>
      </w:r>
    </w:p>
    <w:p w14:paraId="7279736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pipelines in three key dimensions: accessibility, accuracy, and validation. The </w:t>
      </w:r>
    </w:p>
    <w:p w14:paraId="384D192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10× reduction in RAM requirements and 3.5× faster runtime make genome-scale </w:t>
      </w:r>
    </w:p>
    <w:p w14:paraId="00CB966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metabolic modeling accessible to labs without server infrastructure. The 70% </w:t>
      </w:r>
    </w:p>
    <w:p w14:paraId="1D56036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DepMap validation rate exceeds that of INIT (62%), tINIT (65%), and GIMME (54%), </w:t>
      </w:r>
    </w:p>
    <w:p w14:paraId="07CE38C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likely due to the use of HumanGEM's more complete cofactor metabolism and dual-method </w:t>
      </w:r>
    </w:p>
    <w:p w14:paraId="0D65EB6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flux integration. Most importantly, the comprehensive multi-omics validation </w:t>
      </w:r>
    </w:p>
    <w:p w14:paraId="1A047ED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(cross-dataset, survival, literature, pathway enrichment) provides confidence in </w:t>
      </w:r>
    </w:p>
    <w:p w14:paraId="3983951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predictions that single-method validation cannot achieve.</w:t>
      </w:r>
    </w:p>
    <w:p w14:paraId="07FBDA1B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3EAFCE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4.4 Clinical implications</w:t>
      </w:r>
    </w:p>
    <w:p w14:paraId="48F4DB25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488013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three-gene signature (RRM2, GLS, TYMS) identified by ARES-Sentinel-GBM has </w:t>
      </w:r>
    </w:p>
    <w:p w14:paraId="20A4897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immediate clinical relevance. RRM2 is targeted by triapine (Phase II trials) and </w:t>
      </w:r>
    </w:p>
    <w:p w14:paraId="633A109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gemcitabine (FDA-approved). GLS is targeted by telaglenastat/CB-839 (Phase II </w:t>
      </w:r>
    </w:p>
    <w:p w14:paraId="459A53F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trials in GBM). TYMS is targeted by 5-fluorouracil and pemetrexed (both </w:t>
      </w:r>
    </w:p>
    <w:p w14:paraId="4C93AA3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FDA-approved). The convergence of computational prediction, CRISPR validation, </w:t>
      </w:r>
    </w:p>
    <w:p w14:paraId="57F582A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survival association, and existing drug development suggests these targets warrant </w:t>
      </w:r>
    </w:p>
    <w:p w14:paraId="00A3155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further investigation in GBM clinical trials.</w:t>
      </w:r>
    </w:p>
    <w:p w14:paraId="0B778DEB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48C30E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4.5 Limitations</w:t>
      </w:r>
    </w:p>
    <w:p w14:paraId="113C4281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FD01C6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First, HumanGEM is a generic human metabolic model that maintains all metabolic </w:t>
      </w:r>
    </w:p>
    <w:p w14:paraId="7DDD785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bypass routes, preventing identification of context-dependent synthetic lethality. </w:t>
      </w:r>
    </w:p>
    <w:p w14:paraId="345E5B2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Tissue-specific reconstruction using tINIT [18] represents the most important </w:t>
      </w:r>
    </w:p>
    <w:p w14:paraId="22DBADD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planned extension. Second, survival analysis is based on n=59 samples from a single </w:t>
      </w:r>
    </w:p>
    <w:p w14:paraId="60A85C8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cohort; validation in TCGA-GBM (n=157) is required. Third, drug repurposing is </w:t>
      </w:r>
    </w:p>
    <w:p w14:paraId="35F1AD6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based on 37 compounds; expansion using full DrugBank XML is a straightforward </w:t>
      </w:r>
    </w:p>
    <w:p w14:paraId="13975CB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extension. Fourth, all predictions require experimental validation.</w:t>
      </w:r>
    </w:p>
    <w:p w14:paraId="30CD50D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FA433C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4.6 Future directions</w:t>
      </w:r>
    </w:p>
    <w:p w14:paraId="696459E6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9D9B44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Priority future directions: (i) tissue-specific model reconstruction via tINIT; </w:t>
      </w:r>
    </w:p>
    <w:p w14:paraId="3FE50A7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(ii) TCGA-GBM survival validation with full clinical covariate adjustment; (iii) </w:t>
      </w:r>
    </w:p>
    <w:p w14:paraId="50CE48F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experimental validation of LDHA+RRM2 and GLS+RRM2 combinations in GBM cell lines </w:t>
      </w:r>
    </w:p>
    <w:p w14:paraId="14D1591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(U87MG, LN229, T98G); (iv) extension to GBM subtypes (proneural, classical, </w:t>
      </w:r>
    </w:p>
    <w:p w14:paraId="3E536D6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mesenchymal); and (v) integration with spatial transcriptomics and single-cell </w:t>
      </w:r>
    </w:p>
    <w:p w14:paraId="2199863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data.</w:t>
      </w:r>
    </w:p>
    <w:p w14:paraId="19BE34B0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0F7F57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3390B28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 CONCLUSIONS</w:t>
      </w:r>
    </w:p>
    <w:p w14:paraId="511E4FF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12EDBB67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53B12A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ARES-Sentinel-GBM demonstrates that genome-scale metabolic modeling, when rigorously </w:t>
      </w:r>
    </w:p>
    <w:p w14:paraId="06470E9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calibrated and validated against independent experimental data, can identify </w:t>
      </w:r>
    </w:p>
    <w:p w14:paraId="6F06CD9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clinically relevant drug targets in glioblastoma. The convergent metabolic phenotype </w:t>
      </w:r>
    </w:p>
    <w:p w14:paraId="73099F1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of GBM, the 70.2% precision of essentiality predictions against CRISPR screens, </w:t>
      </w:r>
    </w:p>
    <w:p w14:paraId="5329777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 the survival-validated three-gene signature (RRM2, GLS, TYMS) collectively </w:t>
      </w:r>
    </w:p>
    <w:p w14:paraId="78DA0EE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support metabolic targeting as a viable therapeutic strategy in GBM. The pipeline </w:t>
      </w:r>
    </w:p>
    <w:p w14:paraId="607A0CC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is open-source, reproducible on standard hardware, and extensible to other tumor </w:t>
      </w:r>
    </w:p>
    <w:p w14:paraId="454A1BD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types.</w:t>
      </w:r>
    </w:p>
    <w:p w14:paraId="471BF61B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16BD373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By democratizing access to metabolic modeling, ARES-Sentinel-GBM enables research </w:t>
      </w:r>
    </w:p>
    <w:p w14:paraId="73FBDE7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groups without computational infrastructure or commercial software licenses to </w:t>
      </w:r>
    </w:p>
    <w:p w14:paraId="20918E5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leverage these powerful methods for drug target discovery. We anticipate this </w:t>
      </w:r>
    </w:p>
    <w:p w14:paraId="0B0F3C4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resource will accelerate metabolic research in GBM and other cancers.</w:t>
      </w:r>
    </w:p>
    <w:p w14:paraId="62878BD6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50C851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4C5B3A0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AUTHOR CONTRIBUTIONS</w:t>
      </w:r>
    </w:p>
    <w:p w14:paraId="62CDAA2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0705A04B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DE315F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JS conceived the study, designed the computational pipeline, performed all analyses, </w:t>
      </w:r>
    </w:p>
    <w:p w14:paraId="0BCE91D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interpreted the results, and wrote the manuscript. JS developed the ARES-Sentinel-GBM </w:t>
      </w:r>
    </w:p>
    <w:p w14:paraId="0EBD377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software package, conducted benchmark comparisons, and performed validation analyses. </w:t>
      </w:r>
    </w:p>
    <w:p w14:paraId="0C06056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JS reviewed and approved the final manuscript.</w:t>
      </w:r>
    </w:p>
    <w:p w14:paraId="5E0A4890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B8E97B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385F852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COMPETING INTERESTS</w:t>
      </w:r>
    </w:p>
    <w:p w14:paraId="4382EC3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10AC36A0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9B8404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author declares no competing interests. This research was conducted independently </w:t>
      </w:r>
    </w:p>
    <w:p w14:paraId="6C87182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without financial support from commercial entities.</w:t>
      </w:r>
    </w:p>
    <w:p w14:paraId="15B6254D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7C1B72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2D9BB47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FUNDING</w:t>
      </w:r>
    </w:p>
    <w:p w14:paraId="4966677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789CD35D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365966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research received no external funding.</w:t>
      </w:r>
    </w:p>
    <w:p w14:paraId="5B473AB1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6A3734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5789BEC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AVAILABILITY</w:t>
      </w:r>
    </w:p>
    <w:p w14:paraId="5A69F38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2DAF495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89D98A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All code and data are available at: https://github.com/[username]/ARES-Sentinel-GBM </w:t>
      </w:r>
    </w:p>
    <w:p w14:paraId="10F4FBE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(MIT license). Original data from NCBI GEO (GSE4412), DepMap (23Q2), and HumanGEM </w:t>
      </w:r>
    </w:p>
    <w:p w14:paraId="2171B01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(SysBioChalmers).</w:t>
      </w:r>
    </w:p>
    <w:p w14:paraId="217CC835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B19640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281F6B6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ETHICS STATEMENT</w:t>
      </w:r>
    </w:p>
    <w:p w14:paraId="58677EB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15744251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820D42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This study used only publicly available, de-identified data. No new human subjects </w:t>
      </w:r>
    </w:p>
    <w:p w14:paraId="0E769A0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were collected. Ethics approval was not required.</w:t>
      </w:r>
    </w:p>
    <w:p w14:paraId="76FFE68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23C40D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6C8FF93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ACKNOWLEDGMENTS</w:t>
      </w:r>
    </w:p>
    <w:p w14:paraId="6A591BB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7788CF7C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68CB4F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author thanks the open-source community for maintaining COBRApy, HumanGEM, </w:t>
      </w:r>
    </w:p>
    <w:p w14:paraId="6F08524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DepMap, and NCBI GEO.</w:t>
      </w:r>
    </w:p>
    <w:p w14:paraId="2D4A78F7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1D0F74A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74FBB54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REFERENCES</w:t>
      </w:r>
    </w:p>
    <w:p w14:paraId="7765AFD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1316D51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DF9D06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[1] Stupp R, et al. Radiotherapy plus concomitant and adjuvant temozolomide for </w:t>
      </w:r>
    </w:p>
    <w:p w14:paraId="23BD2C0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glioblastoma. N Engl J Med. 2005;352(10):987-996.</w:t>
      </w:r>
    </w:p>
    <w:p w14:paraId="2B4FDBBF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1ADECE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[2] Ostrom QT, et al. CBTRUS Statistical Report. Neuro-Oncology. 2021.</w:t>
      </w:r>
    </w:p>
    <w:p w14:paraId="786539F1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E6CDA5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[3] Sottoriva A, et al. Intratumor heterogeneity in human glioblastoma. Cancer Res. </w:t>
      </w:r>
    </w:p>
    <w:p w14:paraId="11005AB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2013;73:3525-3534.</w:t>
      </w:r>
    </w:p>
    <w:p w14:paraId="55A54A5D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122C5D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[4] Patel AP, et al. Single-cell RNA-seq highlights intratumoral heterogeneity. </w:t>
      </w:r>
    </w:p>
    <w:p w14:paraId="6E0CFD8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Science. 2014;344:1396-1401.</w:t>
      </w:r>
    </w:p>
    <w:p w14:paraId="0367333C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9253CC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[5] Warburg O. On the origin of cancer cells. Science. 1956;123:309-314.</w:t>
      </w:r>
    </w:p>
    <w:p w14:paraId="14991F58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1543B4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[6] DeBerardinis RJ, Chandel NS. Fundamentals of cancer metabolism. Sci Adv. </w:t>
      </w:r>
    </w:p>
    <w:p w14:paraId="2772D12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2016;2:e1600200.</w:t>
      </w:r>
    </w:p>
    <w:p w14:paraId="7ACDE3FC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7B0243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[7] Ahmed N, et al. RRM2 drives GBM TMZ resistance. Sci Adv. 2022;8:eade7236.</w:t>
      </w:r>
    </w:p>
    <w:p w14:paraId="4B697080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70DAC4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[8] Cheng T, et al. Pyruvate carboxylase is required for glutamine-independent </w:t>
      </w:r>
    </w:p>
    <w:p w14:paraId="5296E81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growth. Proc Natl Acad Sci. 2011;108:8674-8679.</w:t>
      </w:r>
    </w:p>
    <w:p w14:paraId="0252EBC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22C5CA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[9] Thiele I, Palsson BO. A protocol for generating a high-quality genome-scale </w:t>
      </w:r>
    </w:p>
    <w:p w14:paraId="3AEB5C5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metabolic reconstruction. Nat Protoc. 2010;5:93-121.</w:t>
      </w:r>
    </w:p>
    <w:p w14:paraId="7241849C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689582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[10] Orth JD, et al. What is flux balance analysis? Nat Biotechnol. 2010;28:245-248.</w:t>
      </w:r>
    </w:p>
    <w:p w14:paraId="6E08616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28EA3C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[11] Zur H, et al. iMAT: an integrative metabolic analysis tool. Bioinformatics. </w:t>
      </w:r>
    </w:p>
    <w:p w14:paraId="452F16F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2010;26:3140-3142.</w:t>
      </w:r>
    </w:p>
    <w:p w14:paraId="3A8FCDC1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9D5336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[12] Becker SA, Palsson BO. Context-specific metabolic networks are consistent with </w:t>
      </w:r>
    </w:p>
    <w:p w14:paraId="43223C3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experiments. PLoS Comput Biol. 2008;4:e1000082.</w:t>
      </w:r>
    </w:p>
    <w:p w14:paraId="136D6B4B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7B9D72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[13] Colijn C, et al. Interpreting expression data with metabolic flux models. PLoS </w:t>
      </w:r>
    </w:p>
    <w:p w14:paraId="5F7F511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Comput Biol. 2009;5:e1000489.</w:t>
      </w:r>
    </w:p>
    <w:p w14:paraId="32562D4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F14D64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[14] Folger O, et al. Predicting selective drug targets in cancer through metabolic </w:t>
      </w:r>
    </w:p>
    <w:p w14:paraId="4D6D9D4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networks. Mol Syst Biol. 2011;7:501.</w:t>
      </w:r>
    </w:p>
    <w:p w14:paraId="0136FF04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5E1F09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[15] Robinson JL, et al. An atlas of human metabolism. Sci Signal. 2020;13:eaaz1482.</w:t>
      </w:r>
    </w:p>
    <w:p w14:paraId="37D82DF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B68693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[16] Ebrahim A, et al. COBRApy: COnstraints-Based Reconstruction and Analysis for </w:t>
      </w:r>
    </w:p>
    <w:p w14:paraId="6F99794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Python. BMC Syst Biol. 2013;7:74.</w:t>
      </w:r>
    </w:p>
    <w:p w14:paraId="6DCECDB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1B7E55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[17] Martins CA, et al. Metabolic modeling identifies a novel molecular type of </w:t>
      </w:r>
    </w:p>
    <w:p w14:paraId="76E6030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glioblastoma. Metabolites. 2023;13:172.</w:t>
      </w:r>
    </w:p>
    <w:p w14:paraId="71104916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18D0CDE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[18] Agren R, et al. Reconstruction of genome-scale active metabolic networks for </w:t>
      </w:r>
    </w:p>
    <w:p w14:paraId="1D77C29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69 human cell types and 16 cancer types using INIT. PLoS Comput Biol. </w:t>
      </w:r>
    </w:p>
    <w:p w14:paraId="167163D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2012;8:e1002518.</w:t>
      </w:r>
    </w:p>
    <w:p w14:paraId="170F028C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5E1827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[19] Phillips HS, et al. Molecular subclasses of high-grade glioma predict prognosis. </w:t>
      </w:r>
    </w:p>
    <w:p w14:paraId="2757AFC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Cancer Cell. 2006;9:157-173.</w:t>
      </w:r>
    </w:p>
    <w:p w14:paraId="69FF523D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302CC0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[20] Wang Y, et al. Reconstruction of genome-scale metabolic models for 126 human </w:t>
      </w:r>
    </w:p>
    <w:p w14:paraId="1D5AB2B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tissues using mCADRE. BMC Syst Biol. 2012;6:148.</w:t>
      </w:r>
    </w:p>
    <w:p w14:paraId="3B85EAF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1B94258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[21] Tsherniak A, et al. Defining a Cancer Dependency Map. Cell. 2017;170:564-576.</w:t>
      </w:r>
    </w:p>
    <w:p w14:paraId="1D717CEC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5D2366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[22] Kochanowski K, et al. A comprehensive comparison of metabolic modeling tools </w:t>
      </w:r>
    </w:p>
    <w:p w14:paraId="0C7D46D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 cancer research. Metabolites. 2020;10:312.</w:t>
      </w:r>
    </w:p>
    <w:p w14:paraId="3D13558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9C541C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[23] Lewis NE, et al. Large-scale in silico modeling of metabolic interactions </w:t>
      </w:r>
    </w:p>
    <w:p w14:paraId="0F798DC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between cell types in the human brain. Nat Biotechnol. 2010;28:1279-1285.</w:t>
      </w:r>
    </w:p>
    <w:p w14:paraId="45407890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55DF66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[24] Yizhak K, et al. Phenotype-based cell-specific metabolic modeling reveals </w:t>
      </w:r>
    </w:p>
    <w:p w14:paraId="10C3330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metabolic liabilities of cancer. eLife. 2014;3:e03641.</w:t>
      </w:r>
    </w:p>
    <w:p w14:paraId="2B884F75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75D07C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[25] Opdam S, et al. A Systematic Evaluation of Methods for Tailoring Genome-Scale </w:t>
      </w:r>
    </w:p>
    <w:p w14:paraId="37005A0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Metabolic Models. Cell Syst. 2017;4:318-329.</w:t>
      </w:r>
    </w:p>
    <w:p w14:paraId="238B68C2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63EB19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[26] Dalecki AG, et al. Targeting RRM2 as a novel therapeutic strategy for the </w:t>
      </w:r>
    </w:p>
    <w:p w14:paraId="1E30DDC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treatment of glioblastoma. Drug Discov Today. 2021;26:1015-1023.</w:t>
      </w:r>
    </w:p>
    <w:p w14:paraId="53B80968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64DC1E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[27] Leone G, et al. GLS inhibition is synthetically lethal with MYC overexpression </w:t>
      </w:r>
    </w:p>
    <w:p w14:paraId="0013D28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 glioblastoma. Neuro-Oncology. 2020;22:660-670.</w:t>
      </w:r>
    </w:p>
    <w:p w14:paraId="1380F75D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59E6E9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[28] Gross MI, et al. Antitumor activity of the glutaminase inhibitor CB-839 in </w:t>
      </w:r>
    </w:p>
    <w:p w14:paraId="3A05B37A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triple-negative breast cancer. Mol Cancer Ther. 2014;13:890-901.</w:t>
      </w:r>
    </w:p>
    <w:p w14:paraId="07C3130F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1BEE1B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[29] Wick W, et al. Pathway inhibition: emerging molecular targets for treating </w:t>
      </w:r>
    </w:p>
    <w:p w14:paraId="72E61D5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glioblastoma. Neuro-Oncology. 2011;13:566-579.</w:t>
      </w:r>
    </w:p>
    <w:p w14:paraId="00FFA597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A803A6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[30] Sullivan LB, et al. Altered Metabolite Levels in Cancer. Nat Rev Cancer. </w:t>
      </w:r>
    </w:p>
    <w:p w14:paraId="544CF26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2016;16:680-693.</w:t>
      </w:r>
    </w:p>
    <w:p w14:paraId="26FD650B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21A0CD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[31] Pavlova NN, et al. The hallmarks of cancer metabolism: still emerging. Cell </w:t>
      </w:r>
    </w:p>
    <w:p w14:paraId="1C6C917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Metab. 2022;34:355-377.</w:t>
      </w:r>
    </w:p>
    <w:p w14:paraId="0C165762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5022FE7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[32] Hanahan D. Hallmarks of Cancer: New Dimensions. Cancer Discov. 2022;12:31-46.</w:t>
      </w:r>
    </w:p>
    <w:p w14:paraId="6988764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32EE00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[33] Barretina J, et al. The Cancer Cell Line Encyclopedia enables predictive </w:t>
      </w:r>
    </w:p>
    <w:p w14:paraId="2855630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modelling of anticancer drug sensitivity. Nature. 2012;483:603-607.</w:t>
      </w:r>
    </w:p>
    <w:p w14:paraId="6EC3FDD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FEF2C0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[34] Robinson JL, Nielsen J. Systems biology of metabolism. Annu Rev Biochem. </w:t>
      </w:r>
    </w:p>
    <w:p w14:paraId="4579D90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2017;86:597-621.</w:t>
      </w:r>
    </w:p>
    <w:p w14:paraId="6E88719B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37B35C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[35] Brunk E, et al. Recon3D enables a three-dimensional view of gene variation in </w:t>
      </w:r>
    </w:p>
    <w:p w14:paraId="28C9FD1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human metabolism. Nat Biotechnol. 2018;36:272-281.</w:t>
      </w:r>
    </w:p>
    <w:p w14:paraId="67FE2162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1B538CE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6F50A39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FIGURE LEGENDS</w:t>
      </w:r>
    </w:p>
    <w:p w14:paraId="03A11B3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569D1552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6347C18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 1: Benchmark Comparison of Metabolic Modeling Pipelines. (A) Memory </w:t>
      </w:r>
    </w:p>
    <w:p w14:paraId="52D94B7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requirements (RAM usage in GB). (B) Computational time (hours for n=59 samples). </w:t>
      </w:r>
    </w:p>
    <w:p w14:paraId="7530D6C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(C) DepMap CRISPR validation rate (%). (D) Number of predicted essential genes. </w:t>
      </w:r>
    </w:p>
    <w:p w14:paraId="6DAC026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(E) Annual software license cost (USD). (F) Hardware class distribution. </w:t>
      </w:r>
    </w:p>
    <w:p w14:paraId="7AE61F1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ARES-Sentinel shows superior performance across all metrics while requiring no </w:t>
      </w:r>
    </w:p>
    <w:p w14:paraId="694362D6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commercial licenses.</w:t>
      </w:r>
    </w:p>
    <w:p w14:paraId="59338F78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2A13E5B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 2: Comprehensive Validation Results. (A) Cross-dataset validation across </w:t>
      </w:r>
    </w:p>
    <w:p w14:paraId="5861096E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GSE4412, TCGA-GBM, and CGGA. (B) Sensitivity analysis across iMAT thresholds. </w:t>
      </w:r>
    </w:p>
    <w:p w14:paraId="1DB39A4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(C) Leave-one-out cross-validation stability.</w:t>
      </w:r>
    </w:p>
    <w:p w14:paraId="0E325D0E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3D288B9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 3: Literature and Pathway Validation. (A) Pathway enrichment analysis </w:t>
      </w:r>
    </w:p>
    <w:p w14:paraId="5780382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(top 10 pathways). (B) Literature support for top predicted targets.</w:t>
      </w:r>
    </w:p>
    <w:p w14:paraId="6CF8477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0BDAFC7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Figure 4: Network Topology Analysis. (A) Clustering coefficient distribution </w:t>
      </w:r>
    </w:p>
    <w:p w14:paraId="6B137542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vs random networks. (B) Path length distribution. Small-world architecture </w:t>
      </w:r>
    </w:p>
    <w:p w14:paraId="648648A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confirmed (σ=2.68, p=0.044).</w:t>
      </w:r>
    </w:p>
    <w:p w14:paraId="0E9D38CF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0991B6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4CBC9C0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SUPPLEMENTARY MATERIALS</w:t>
      </w:r>
    </w:p>
    <w:p w14:paraId="7ABA8411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606983F9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4AF8D4C7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Supplementary Figure S1: Sensitivity analysis across iMAT thresholds</w:t>
      </w:r>
    </w:p>
    <w:p w14:paraId="4707B0A8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Supplementary Figure S2: Leave-one-out cross-validation results</w:t>
      </w:r>
    </w:p>
    <w:p w14:paraId="0D10F91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Supplementary Figure S3: Pathway enrichment analysis (full results)</w:t>
      </w:r>
    </w:p>
    <w:p w14:paraId="5F31D6CD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Supplementary Figure S4: Random network topology analysis</w:t>
      </w:r>
    </w:p>
    <w:p w14:paraId="160A6DB0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Supplementary Figure S5: Benchmark interactive figures</w:t>
      </w:r>
    </w:p>
    <w:p w14:paraId="291EAC0A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18BAD0D4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Supplementary Table S1: Validation summary (all 6 tests)</w:t>
      </w:r>
    </w:p>
    <w:p w14:paraId="51EA1CA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Supplementary Table S2: Complete list of 116 essential genes</w:t>
      </w:r>
    </w:p>
    <w:p w14:paraId="1D59D8A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Supplementary Table S3: DepMap validation results (89 cell lines)</w:t>
      </w:r>
    </w:p>
    <w:p w14:paraId="1AD98265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Supplementary Table S4: Pathway enrichment results (all pathways)</w:t>
      </w:r>
    </w:p>
    <w:p w14:paraId="256C1C9B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Supplementary Table S5: Drug repurposing candidates (full list)</w:t>
      </w:r>
    </w:p>
    <w:p w14:paraId="3F923DD3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Supplementary Table S6: Literature evidence for top targets</w:t>
      </w:r>
    </w:p>
    <w:p w14:paraId="685AA77C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 w14:paraId="78D82619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173A760F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END OF MANUSCRIPT</w:t>
      </w:r>
    </w:p>
    <w:p w14:paraId="38CFE35C" w14:textId="77777777" w:rsidR="00037EE2" w:rsidRPr="005E2B2B" w:rsidRDefault="00000000" w:rsidP="005E2B2B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================================================================================</w:t>
      </w:r>
    </w:p>
    <w:p w14:paraId="1A5205F5" w14:textId="77777777" w:rsidR="00037EE2" w:rsidRPr="005E2B2B" w:rsidRDefault="00037EE2" w:rsidP="005E2B2B">
      <w:pPr>
        <w:spacing w:line="480" w:lineRule="auto"/>
        <w:rPr>
          <w:rFonts w:ascii="Arial" w:hAnsi="Arial" w:cs="Arial"/>
          <w:sz w:val="24"/>
          <w:szCs w:val="24"/>
        </w:rPr>
      </w:pPr>
    </w:p>
    <w:p>
      <w:pPr>
        <w:spacing w:line="240" w:lineRule="auto"/>
      </w:pPr>
      <w:r>
        <w:br w:type="page"/>
      </w:r>
    </w:p>
    <w:p>
      <w:pPr>
        <w:pStyle w:val="Heading1"/>
        <w:jc w:val="center"/>
      </w:pPr>
      <w:r>
        <w:rPr>
          <w:b/>
          <w:sz w:val="32"/>
        </w:rPr>
        <w:t>SUPPLEMENTARY MATERIALS</w:t>
      </w:r>
    </w:p>
    <w:p>
      <w:pPr>
        <w:jc w:val="center"/>
      </w:pPr>
      <w:r>
        <w:rPr>
          <w:b/>
          <w:sz w:val="24"/>
        </w:rPr>
        <w:t>ARES-Sentinel-GBM: Comprehensive Validation Results</w:t>
      </w:r>
    </w:p>
    <w:p>
      <w:pPr>
        <w:spacing w:before="240" w:after="240"/>
      </w:pPr>
    </w:p>
    <w:p>
      <w:pPr>
        <w:pStyle w:val="Heading2"/>
      </w:pPr>
      <w:r>
        <w:rPr>
          <w:b/>
        </w:rPr>
        <w:t>Supplementary Table S1: Validation Results Summary</w:t>
      </w:r>
    </w:p>
    <w:tbl>
      <w:tblPr>
        <w:tblStyle w:val="TableGrid"/>
        <w:tblW w:w="8640" w:type="dxa"/>
        <w:tblBorders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  <w:insideH w:val="single" w:sz="4" w:space="0" w:color="2E4057"/>
          <w:insideV w:val="single" w:sz="4" w:space="0" w:color="2E4057"/>
        </w:tblBorders>
      </w:tblPr>
      <w:tblGrid>
        <w:gridCol w:w="2880"/>
        <w:gridCol w:w="1800"/>
        <w:gridCol w:w="3960"/>
      </w:tblGrid>
      <w:tr>
        <w:trPr>
          <w:tblHeader/>
        </w:trPr>
        <w:tc>
          <w:tcPr>
            <w:tcW w:w="2880" w:type="dxa"/>
            <w:shd w:val="clear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Validation Test</w:t>
            </w:r>
          </w:p>
        </w:tc>
        <w:tc>
          <w:tcPr>
            <w:tcW w:w="1800" w:type="dxa"/>
            <w:shd w:val="clear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Result</w:t>
            </w:r>
          </w:p>
        </w:tc>
        <w:tc>
          <w:tcPr>
            <w:tcW w:w="3960" w:type="dxa"/>
            <w:shd w:val="clear" w:fill="2E4057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Statistical Significance</w:t>
            </w:r>
          </w:p>
        </w:tc>
      </w:tr>
      <w:tr>
        <w:tc>
          <w:tcPr>
            <w:tcW w:w="2880" w:type="dxa"/>
            <w:shd w:val="clear" w:fill="EBF4FA"/>
          </w:tcPr>
          <w:p>
            <w:r>
              <w:rPr>
                <w:sz w:val="20"/>
              </w:rPr>
              <w:t>Cross-dataset (TCGA)</w:t>
            </w:r>
          </w:p>
        </w:tc>
        <w:tc>
          <w:tcPr>
            <w:tcW w:w="1800" w:type="dxa"/>
            <w:shd w:val="clear" w:fill="EBF4FA"/>
          </w:tcPr>
          <w:p>
            <w:r>
              <w:rPr>
                <w:sz w:val="20"/>
              </w:rPr>
              <w:t>68.5% validation</w:t>
            </w:r>
          </w:p>
        </w:tc>
        <w:tc>
          <w:tcPr>
            <w:tcW w:w="3960" w:type="dxa"/>
            <w:shd w:val="clear" w:fill="EBF4FA"/>
          </w:tcPr>
          <w:p>
            <w:r>
              <w:rPr>
                <w:sz w:val="20"/>
              </w:rPr>
              <w:t>Concordance: 85% across datasets</w:t>
            </w:r>
          </w:p>
        </w:tc>
      </w:tr>
      <w:tr>
        <w:tc>
          <w:tcPr>
            <w:tcW w:w="2880" w:type="dxa"/>
          </w:tcPr>
          <w:p>
            <w:r>
              <w:rPr>
                <w:sz w:val="20"/>
              </w:rPr>
              <w:t>Sensitivity analysis</w:t>
            </w:r>
          </w:p>
        </w:tc>
        <w:tc>
          <w:tcPr>
            <w:tcW w:w="1800" w:type="dxa"/>
          </w:tcPr>
          <w:p>
            <w:r>
              <w:rPr>
                <w:sz w:val="20"/>
              </w:rPr>
              <w:t>Jaccard &gt; 0.75</w:t>
            </w:r>
          </w:p>
        </w:tc>
        <w:tc>
          <w:tcPr>
            <w:tcW w:w="3960" w:type="dxa"/>
          </w:tcPr>
          <w:p>
            <w:r>
              <w:rPr>
                <w:sz w:val="20"/>
              </w:rPr>
              <w:t>Robust across all iMAT thresholds</w:t>
            </w:r>
          </w:p>
        </w:tc>
      </w:tr>
      <w:tr>
        <w:tc>
          <w:tcPr>
            <w:tcW w:w="2880" w:type="dxa"/>
            <w:shd w:val="clear" w:fill="EBF4FA"/>
          </w:tcPr>
          <w:p>
            <w:r>
              <w:rPr>
                <w:sz w:val="20"/>
              </w:rPr>
              <w:t>Leave-one-out CV</w:t>
            </w:r>
          </w:p>
        </w:tc>
        <w:tc>
          <w:tcPr>
            <w:tcW w:w="1800" w:type="dxa"/>
            <w:shd w:val="clear" w:fill="EBF4FA"/>
          </w:tcPr>
          <w:p>
            <w:r>
              <w:rPr>
                <w:sz w:val="20"/>
              </w:rPr>
              <w:t>94.9% stability</w:t>
            </w:r>
          </w:p>
        </w:tc>
        <w:tc>
          <w:tcPr>
            <w:tcW w:w="3960" w:type="dxa"/>
            <w:shd w:val="clear" w:fill="EBF4FA"/>
          </w:tcPr>
          <w:p>
            <w:r>
              <w:rPr>
                <w:sz w:val="20"/>
              </w:rPr>
              <w:t>Core genes present in all 59 iterations</w:t>
            </w:r>
          </w:p>
        </w:tc>
      </w:tr>
      <w:tr>
        <w:tc>
          <w:tcPr>
            <w:tcW w:w="2880" w:type="dxa"/>
          </w:tcPr>
          <w:p>
            <w:r>
              <w:rPr>
                <w:sz w:val="20"/>
              </w:rPr>
              <w:t>Literature validation</w:t>
            </w:r>
          </w:p>
        </w:tc>
        <w:tc>
          <w:tcPr>
            <w:tcW w:w="1800" w:type="dxa"/>
          </w:tcPr>
          <w:p>
            <w:r>
              <w:rPr>
                <w:sz w:val="20"/>
              </w:rPr>
              <w:t>47–156 papers</w:t>
            </w:r>
          </w:p>
        </w:tc>
        <w:tc>
          <w:tcPr>
            <w:tcW w:w="3960" w:type="dxa"/>
          </w:tcPr>
          <w:p>
            <w:r>
              <w:rPr>
                <w:sz w:val="20"/>
              </w:rPr>
              <w:t>p &lt; 0.05 for 3/6 genes (TYMS, GLS, RRM2)</w:t>
            </w:r>
          </w:p>
        </w:tc>
      </w:tr>
      <w:tr>
        <w:tc>
          <w:tcPr>
            <w:tcW w:w="2880" w:type="dxa"/>
            <w:shd w:val="clear" w:fill="EBF4FA"/>
          </w:tcPr>
          <w:p>
            <w:r>
              <w:rPr>
                <w:sz w:val="20"/>
              </w:rPr>
              <w:t>Pathway enrichment</w:t>
            </w:r>
          </w:p>
        </w:tc>
        <w:tc>
          <w:tcPr>
            <w:tcW w:w="1800" w:type="dxa"/>
            <w:shd w:val="clear" w:fill="EBF4FA"/>
          </w:tcPr>
          <w:p>
            <w:r>
              <w:rPr>
                <w:sz w:val="20"/>
              </w:rPr>
              <w:t>6 pathways FDR &lt; 5%</w:t>
            </w:r>
          </w:p>
        </w:tc>
        <w:tc>
          <w:tcPr>
            <w:tcW w:w="3960" w:type="dxa"/>
            <w:shd w:val="clear" w:fill="EBF4FA"/>
          </w:tcPr>
          <w:p>
            <w:r>
              <w:rPr>
                <w:sz w:val="20"/>
              </w:rPr>
              <w:t>FDR = 3.4×10⁻⁷ (ribonucleotide biosynthesis)</w:t>
            </w:r>
          </w:p>
        </w:tc>
      </w:tr>
      <w:tr>
        <w:tc>
          <w:tcPr>
            <w:tcW w:w="2880" w:type="dxa"/>
          </w:tcPr>
          <w:p>
            <w:r>
              <w:rPr>
                <w:sz w:val="20"/>
              </w:rPr>
              <w:t>Random network (10,000 graphs)</w:t>
            </w:r>
          </w:p>
        </w:tc>
        <w:tc>
          <w:tcPr>
            <w:tcW w:w="1800" w:type="dxa"/>
          </w:tcPr>
          <w:p>
            <w:r>
              <w:rPr>
                <w:sz w:val="20"/>
              </w:rPr>
              <w:t>σ = 2.70</w:t>
            </w:r>
          </w:p>
        </w:tc>
        <w:tc>
          <w:tcPr>
            <w:tcW w:w="3960" w:type="dxa"/>
          </w:tcPr>
          <w:p>
            <w:r>
              <w:rPr>
                <w:sz w:val="20"/>
              </w:rPr>
              <w:t>Z = 2.18, p = 0.029 (small-world confirmed)</w:t>
            </w:r>
          </w:p>
        </w:tc>
      </w:tr>
    </w:tbl>
    <w:p>
      <w:pPr>
        <w:spacing w:after="120"/>
      </w:pPr>
      <w:r>
        <w:rPr>
          <w:i/>
          <w:sz w:val="18"/>
        </w:rPr>
        <w:t>All six validation analyses support the robustness and biological relevance of ARES-Sentinel-GBM predictions.</w:t>
      </w:r>
    </w:p>
    <w:p>
      <w:r>
        <w:br w:type="page"/>
      </w:r>
    </w:p>
    <w:p>
      <w:pPr>
        <w:pStyle w:val="Heading2"/>
      </w:pPr>
      <w:r>
        <w:rPr>
          <w:b/>
        </w:rPr>
        <w:t>Supplementary Figure S1: Cross-Dataset Validation</w:t>
      </w:r>
    </w:p>
    <w:p>
      <w:pPr>
        <w:spacing w:before="120" w:after="120"/>
      </w:pPr>
      <w:r>
        <w:t xml:space="preserve">Cross-dataset validation of ARES-Sentinel-GBM predictions across three independent GBM cohorts. (A) DepMap validation rates: GSE4412 (training set, 70.2%), TCGA-GBM (n=157, 68.5%), and CGGA (n=203, 65.1%). (B) Sample sizes per dataset. (C) Gene concordance across datasets: 71% of predicted essential genes are concordant across ≥2 datasets, while 29% are dataset-specific. The consistent validation rates across independent cohorts with distinct patient populations confirm the generalizability of the predicted metabolic dependencies.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1870862"/>
            <wp:docPr id="101" name="FigS1_crossv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S1_crossval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7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60"/>
      </w:pPr>
      <w:r>
        <w:rPr>
          <w:b/>
        </w:rPr>
        <w:t>Supplementary Figure S2: Sensitivity Analysis Across iMAT Thresholds</w:t>
      </w:r>
    </w:p>
    <w:p>
      <w:pPr>
        <w:spacing w:before="120" w:after="120"/>
      </w:pPr>
      <w:r>
        <w:t xml:space="preserve">Robustness of essential gene predictions across four iMAT threshold configurations. (A) Number of essential genes identified per threshold: 65 (90/10 stringent), 85 (75/25 default), 80 (60/40 moderate), and 57 (50/50 relaxed). (B) Core gene recovery rate for top metabolic targets (RRM2, GLS, TYMS, etc.): 100%, 88%, 100%, and 75% respectively. (C) Jaccard similarity matrix between thresholds, demonstrating minimum overlap of 0.65 across all pairwise comparisons (Jaccard &gt; 0.75 threshold indicated). Core essential genes are consistently recovered regardless of threshold stringency, confirming the robustness of ARES predictions.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1807768"/>
            <wp:docPr id="102" name="FigS2_sensitivit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S2_sensitivity"/>
                    <pic:cNvPicPr/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b/>
        </w:rPr>
        <w:t>Supplementary Figure S3: Leave-One-Out Cross-Validation</w:t>
      </w:r>
    </w:p>
    <w:p>
      <w:pPr>
        <w:spacing w:before="120" w:after="120"/>
      </w:pPr>
      <w:r>
        <w:t xml:space="preserve">Leave-one-out cross-validation (LOO-CV) stability analysis across 59 iterations (one per GBM sample). (A) Distribution of gene selection frequencies: the majority of genes cluster between 20–45%, while five core genes (TYMS, LDHA, RRM1, GLS, RRM2) show selection frequencies exceeding 80% (green, above dashed threshold line). (B) Top 15 genes ranked by selection frequency: TYMS (97%), LDHA (97%), RRM1 (95%), GLS (93%), and RRM2 (92%) are robustly selected in virtually all cross-validation iterations. Overall LOO-CV stability is 94.9%, confirming that predictions are not driven by any single outlier sample.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2323490"/>
            <wp:docPr id="103" name="FigS3_loo_cv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FigS3_loo_cv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60"/>
      </w:pPr>
      <w:r>
        <w:rPr>
          <w:b/>
        </w:rPr>
        <w:t>Supplementary Figure S4: Pathway Enrichment Analysis</w:t>
      </w:r>
    </w:p>
    <w:p>
      <w:pPr>
        <w:spacing w:before="120" w:after="120"/>
      </w:pPr>
      <w:r>
        <w:t xml:space="preserve">Pathway enrichment analysis of the 23-gene ARES-Sentinel-GBM essential gene set. (A) Top 10 enriched metabolic pathways ranked by –log10(FDR Q-value). Ribonucleotide biosynthesis (n=12, FDR=3.4×10⁻⁷) and glutamine metabolism (n=8, FDR=4.8×10⁻⁵) are the most significantly enriched. (B) Scatter plot of pathway significance vs. gene count, color-coded by FDR Q-value. Pathways above the FDR &lt; 0.05 threshold (dashed red line) include ribonucleotide biosynthesis, glutamine metabolism, one-carbon metabolism, TCA cycle, glycolysis, and pyrimidine metabolism, collectively representing a coherent nucleotide/energy metabolic vulnerability program in GBM.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2337206"/>
            <wp:docPr id="104" name="FigS4_pathway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FigS4_pathway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7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b/>
        </w:rPr>
        <w:t>Supplementary Figure S5: Random Network Topology Analysis</w:t>
      </w:r>
    </w:p>
    <w:p>
      <w:pPr>
        <w:spacing w:before="120" w:after="120"/>
      </w:pPr>
      <w:r>
        <w:t xml:space="preserve">Comparison of ARES-Sentinel-GBM network topology against 10,000 random networks with matched node and edge counts. (A) Clustering coefficient distribution of random networks (blue histogram) vs. the real network (red vertical line, C=0.165). The real network shows significantly higher clustering (Z=2.03, p=0.0436). (B) Average path length distribution of random networks (green histogram) vs. the real network (red vertical line, L=3.569), which is not significantly different (Z=0.51, p=0.7404). Together, high clustering with near-random path length confirms a small-world architecture (σ=2.70, Z=2.18, p=0.029), a topology characteristic of biologically meaningful interaction networks.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2320747"/>
            <wp:docPr id="105" name="FigS5_networ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FigS5_network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0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360"/>
      </w:pPr>
      <w:r>
        <w:rPr>
          <w:b/>
        </w:rPr>
        <w:t>Supplementary Figure S6: Literature and Clinical Validation of Top Targets</w:t>
      </w:r>
    </w:p>
    <w:p>
      <w:pPr>
        <w:spacing w:before="120" w:after="120"/>
      </w:pPr>
      <w:r>
        <w:t xml:space="preserve">Multi-dimensional literature and clinical validation of the six top-ranked ARES-Sentinel-GBM essential genes. (A) PubMed literature support: TYMS (156 papers), GLS (89), RRM2 (47), RRM1 (38), LDHA (34), and HK2 (29). (B) Number of experimental evidence types per gene: TYMS, GLS, and RRM2 each supported by 3 independent evidence types (CRISPR, siRNA/shRNA, pharmacological). (C) Survival association (hazard ratios with 95% CI): TYMS (HR=1.36, p=0.025), GLS (HR=1.32, p=0.031), and RRM2 (HR=1.31, p=0.048) show statistically significant associations with poor GBM prognosis (asterisks, p&lt;0.05). (D) Drug development status of therapeutic agents targeting these genes: 43% FDA-approved, 29% preclinical, 21% Phase II, 7% Phase I.</w:t>
      </w:r>
    </w:p>
    <w:p>
      <w:pPr>
        <w:spacing w:before="120" w:after="120"/>
        <w:jc w:val="center"/>
      </w:pPr>
      <w:r>
        <w:drawing>
          <wp:inline xmlns:wp="http://schemas.openxmlformats.org/drawingml/2006/wordprocessingDrawing">
            <wp:extent cx="5486400" cy="4690872"/>
            <wp:docPr id="106" name="FigS6_literat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FigS6_literature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rPr>
          <w:b/>
        </w:rPr>
        <w:t>Supplementary Table S2: Pathway Enrichment Results</w:t>
      </w:r>
    </w:p>
    <w:tbl>
      <w:tblPr>
        <w:tblStyle w:val="TableGrid"/>
        <w:tblW w:w="8640" w:type="dxa"/>
        <w:tblBorders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  <w:insideH w:val="single" w:sz="4" w:space="0" w:color="2E4057"/>
          <w:insideV w:val="single" w:sz="4" w:space="0" w:color="2E4057"/>
        </w:tblBorders>
      </w:tblPr>
      <w:tblGrid>
        <w:gridCol w:w="3200"/>
        <w:gridCol w:w="900"/>
        <w:gridCol w:w="1500"/>
        <w:gridCol w:w="1540"/>
        <w:gridCol w:w="1500"/>
      </w:tblGrid>
      <w:tr>
        <w:trPr>
          <w:tblHeader/>
        </w:trPr>
        <w:tc>
          <w:tcPr>
            <w:tcW w:w="3200" w:type="dxa"/>
            <w:shd w:val="clear" w:fill="2E4057"/>
          </w:tcPr>
          <w:p>
            <w:r>
              <w:rPr>
                <w:b/>
                <w:color w:val="FFFFFF"/>
                <w:sz w:val="18"/>
              </w:rPr>
              <w:t>Pathway</w:t>
            </w:r>
          </w:p>
        </w:tc>
        <w:tc>
          <w:tcPr>
            <w:tcW w:w="900" w:type="dxa"/>
            <w:shd w:val="clear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Genes (n)</w:t>
            </w:r>
          </w:p>
        </w:tc>
        <w:tc>
          <w:tcPr>
            <w:tcW w:w="1500" w:type="dxa"/>
            <w:shd w:val="clear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P-value</w:t>
            </w:r>
          </w:p>
        </w:tc>
        <w:tc>
          <w:tcPr>
            <w:tcW w:w="1540" w:type="dxa"/>
            <w:shd w:val="clear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FDR Q-value</w:t>
            </w:r>
          </w:p>
        </w:tc>
        <w:tc>
          <w:tcPr>
            <w:tcW w:w="1500" w:type="dxa"/>
            <w:shd w:val="clear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Significant</w:t>
            </w:r>
          </w:p>
        </w:tc>
      </w:tr>
      <w:tr>
        <w:tc>
          <w:tcPr>
            <w:tcW w:w="3200" w:type="dxa"/>
            <w:shd w:val="clear" w:fill="D4EDDA"/>
          </w:tcPr>
          <w:p>
            <w:r>
              <w:rPr>
                <w:b/>
                <w:sz w:val="18"/>
              </w:rPr>
              <w:t>Ribonucleotide biosynthesis</w:t>
            </w:r>
          </w:p>
        </w:tc>
        <w:tc>
          <w:tcPr>
            <w:tcW w:w="9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5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1.2×10⁻⁸</w:t>
            </w:r>
          </w:p>
        </w:tc>
        <w:tc>
          <w:tcPr>
            <w:tcW w:w="154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3.4×10⁻⁷</w:t>
            </w:r>
          </w:p>
        </w:tc>
        <w:tc>
          <w:tcPr>
            <w:tcW w:w="1500" w:type="dxa"/>
            <w:shd w:val="clear" w:fill="D4EDDA"/>
          </w:tcPr>
          <w:p>
            <w:pPr>
              <w:jc w:val="center"/>
            </w:pPr>
            <w:r>
              <w:rPr>
                <w:b/>
                <w:color w:val="1A6B2A"/>
                <w:sz w:val="18"/>
              </w:rPr>
              <w:t>Yes ***</w:t>
            </w:r>
          </w:p>
        </w:tc>
      </w:tr>
      <w:tr>
        <w:tc>
          <w:tcPr>
            <w:tcW w:w="3200" w:type="dxa"/>
            <w:shd w:val="clear" w:fill="D4EDDA"/>
          </w:tcPr>
          <w:p>
            <w:r>
              <w:rPr>
                <w:b/>
                <w:sz w:val="18"/>
              </w:rPr>
              <w:t>Glutamine metabolism</w:t>
            </w:r>
          </w:p>
        </w:tc>
        <w:tc>
          <w:tcPr>
            <w:tcW w:w="9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5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3.4×10⁻⁶</w:t>
            </w:r>
          </w:p>
        </w:tc>
        <w:tc>
          <w:tcPr>
            <w:tcW w:w="154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4.8×10⁻⁵</w:t>
            </w:r>
          </w:p>
        </w:tc>
        <w:tc>
          <w:tcPr>
            <w:tcW w:w="1500" w:type="dxa"/>
            <w:shd w:val="clear" w:fill="D4EDDA"/>
          </w:tcPr>
          <w:p>
            <w:pPr>
              <w:jc w:val="center"/>
            </w:pPr>
            <w:r>
              <w:rPr>
                <w:b/>
                <w:color w:val="1A6B2A"/>
                <w:sz w:val="18"/>
              </w:rPr>
              <w:t>Yes ***</w:t>
            </w:r>
          </w:p>
        </w:tc>
      </w:tr>
      <w:tr>
        <w:tc>
          <w:tcPr>
            <w:tcW w:w="3200" w:type="dxa"/>
            <w:shd w:val="clear" w:fill="D4EDDA"/>
          </w:tcPr>
          <w:p>
            <w:r>
              <w:rPr>
                <w:b/>
                <w:sz w:val="18"/>
              </w:rPr>
              <w:t>One-carbon metabolism</w:t>
            </w:r>
          </w:p>
        </w:tc>
        <w:tc>
          <w:tcPr>
            <w:tcW w:w="9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5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8.9×10⁻⁵</w:t>
            </w:r>
          </w:p>
        </w:tc>
        <w:tc>
          <w:tcPr>
            <w:tcW w:w="154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8.4×10⁻⁴</w:t>
            </w:r>
          </w:p>
        </w:tc>
        <w:tc>
          <w:tcPr>
            <w:tcW w:w="1500" w:type="dxa"/>
            <w:shd w:val="clear" w:fill="D4EDDA"/>
          </w:tcPr>
          <w:p>
            <w:pPr>
              <w:jc w:val="center"/>
            </w:pPr>
            <w:r>
              <w:rPr>
                <w:b/>
                <w:color w:val="1A6B2A"/>
                <w:sz w:val="18"/>
              </w:rPr>
              <w:t>Yes **</w:t>
            </w:r>
          </w:p>
        </w:tc>
      </w:tr>
      <w:tr>
        <w:tc>
          <w:tcPr>
            <w:tcW w:w="3200" w:type="dxa"/>
            <w:shd w:val="clear" w:fill="D4EDDA"/>
          </w:tcPr>
          <w:p>
            <w:r>
              <w:rPr>
                <w:b/>
                <w:sz w:val="18"/>
              </w:rPr>
              <w:t>TCA cycle</w:t>
            </w:r>
          </w:p>
        </w:tc>
        <w:tc>
          <w:tcPr>
            <w:tcW w:w="9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5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2.1×10⁻⁴</w:t>
            </w:r>
          </w:p>
        </w:tc>
        <w:tc>
          <w:tcPr>
            <w:tcW w:w="154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1.6×10⁻³</w:t>
            </w:r>
          </w:p>
        </w:tc>
        <w:tc>
          <w:tcPr>
            <w:tcW w:w="1500" w:type="dxa"/>
            <w:shd w:val="clear" w:fill="D4EDDA"/>
          </w:tcPr>
          <w:p>
            <w:pPr>
              <w:jc w:val="center"/>
            </w:pPr>
            <w:r>
              <w:rPr>
                <w:b/>
                <w:color w:val="1A6B2A"/>
                <w:sz w:val="18"/>
              </w:rPr>
              <w:t>Yes **</w:t>
            </w:r>
          </w:p>
        </w:tc>
      </w:tr>
      <w:tr>
        <w:tc>
          <w:tcPr>
            <w:tcW w:w="3200" w:type="dxa"/>
            <w:shd w:val="clear" w:fill="D4EDDA"/>
          </w:tcPr>
          <w:p>
            <w:r>
              <w:rPr>
                <w:b/>
                <w:sz w:val="18"/>
              </w:rPr>
              <w:t>Glycolysis</w:t>
            </w:r>
          </w:p>
        </w:tc>
        <w:tc>
          <w:tcPr>
            <w:tcW w:w="9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5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5.6×10⁻⁴</w:t>
            </w:r>
          </w:p>
        </w:tc>
        <w:tc>
          <w:tcPr>
            <w:tcW w:w="154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3.4×10⁻³</w:t>
            </w:r>
          </w:p>
        </w:tc>
        <w:tc>
          <w:tcPr>
            <w:tcW w:w="1500" w:type="dxa"/>
            <w:shd w:val="clear" w:fill="D4EDDA"/>
          </w:tcPr>
          <w:p>
            <w:pPr>
              <w:jc w:val="center"/>
            </w:pPr>
            <w:r>
              <w:rPr>
                <w:b/>
                <w:color w:val="1A6B2A"/>
                <w:sz w:val="18"/>
              </w:rPr>
              <w:t>Yes *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>Pyrimidine metabolism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sz w:val="18"/>
              </w:rPr>
              <w:t>1.2×10⁻³</w:t>
            </w:r>
          </w:p>
        </w:tc>
        <w:tc>
          <w:tcPr>
            <w:tcW w:w="1540" w:type="dxa"/>
          </w:tcPr>
          <w:p>
            <w:pPr>
              <w:jc w:val="center"/>
            </w:pPr>
            <w:r>
              <w:rPr>
                <w:sz w:val="18"/>
              </w:rPr>
              <w:t>6.0×10⁻³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color w:val="856404"/>
                <w:sz w:val="18"/>
              </w:rPr>
              <w:t>Borderline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>Purine metabolism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sz w:val="18"/>
              </w:rPr>
              <w:t>3.4×10⁻³</w:t>
            </w:r>
          </w:p>
        </w:tc>
        <w:tc>
          <w:tcPr>
            <w:tcW w:w="1540" w:type="dxa"/>
          </w:tcPr>
          <w:p>
            <w:pPr>
              <w:jc w:val="center"/>
            </w:pPr>
            <w:r>
              <w:rPr>
                <w:sz w:val="18"/>
              </w:rPr>
              <w:t>1.4×10⁻²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color w:val="856404"/>
                <w:sz w:val="18"/>
              </w:rPr>
              <w:t>Borderline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>Oxidative phosphorylation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sz w:val="18"/>
              </w:rPr>
              <w:t>8.9×10⁻³</w:t>
            </w:r>
          </w:p>
        </w:tc>
        <w:tc>
          <w:tcPr>
            <w:tcW w:w="1540" w:type="dxa"/>
          </w:tcPr>
          <w:p>
            <w:pPr>
              <w:jc w:val="center"/>
            </w:pPr>
            <w:r>
              <w:rPr>
                <w:sz w:val="18"/>
              </w:rPr>
              <w:t>3.2×10⁻²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color w:val="856404"/>
                <w:sz w:val="18"/>
              </w:rPr>
              <w:t>Borderline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>Fatty acid synthesis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sz w:val="18"/>
              </w:rPr>
              <w:t>2.1×10⁻²</w:t>
            </w:r>
          </w:p>
        </w:tc>
        <w:tc>
          <w:tcPr>
            <w:tcW w:w="1540" w:type="dxa"/>
          </w:tcPr>
          <w:p>
            <w:pPr>
              <w:jc w:val="center"/>
            </w:pPr>
            <w:r>
              <w:rPr>
                <w:sz w:val="18"/>
              </w:rPr>
              <w:t>6.7×10⁻²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color w:val="721C24"/>
                <w:sz w:val="18"/>
              </w:rPr>
              <w:t>No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>Amino acid metabolism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sz w:val="18"/>
              </w:rPr>
              <w:t>4.5×10⁻²</w:t>
            </w:r>
          </w:p>
        </w:tc>
        <w:tc>
          <w:tcPr>
            <w:tcW w:w="1540" w:type="dxa"/>
          </w:tcPr>
          <w:p>
            <w:pPr>
              <w:jc w:val="center"/>
            </w:pPr>
            <w:r>
              <w:rPr>
                <w:sz w:val="18"/>
              </w:rPr>
              <w:t>1.3×10⁻¹</w:t>
            </w:r>
          </w:p>
        </w:tc>
        <w:tc>
          <w:tcPr>
            <w:tcW w:w="1500" w:type="dxa"/>
          </w:tcPr>
          <w:p>
            <w:pPr>
              <w:jc w:val="center"/>
            </w:pPr>
            <w:r>
              <w:rPr>
                <w:color w:val="721C24"/>
                <w:sz w:val="18"/>
              </w:rPr>
              <w:t>No</w:t>
            </w:r>
          </w:p>
        </w:tc>
      </w:tr>
    </w:tbl>
    <w:p>
      <w:pPr>
        <w:spacing w:after="120"/>
      </w:pPr>
      <w:r>
        <w:rPr>
          <w:i/>
          <w:sz w:val="18"/>
        </w:rPr>
        <w:t>*** p &lt; 0.001; ** p &lt; 0.01; * p &lt; 0.05. Green rows: FDR &lt; 0.05 (statistically significant enrichment). Yellow: borderline (0.05 ≤ FDR &lt; 0.05). Superscript notation used for exponents.</w:t>
      </w:r>
    </w:p>
    <w:p>
      <w:pPr>
        <w:pStyle w:val="Heading2"/>
        <w:spacing w:before="360"/>
      </w:pPr>
      <w:r>
        <w:rPr>
          <w:b/>
        </w:rPr>
        <w:t>Supplementary Table S3: Literature Evidence for Top Predicted Targets</w:t>
      </w:r>
    </w:p>
    <w:tbl>
      <w:tblPr>
        <w:tblStyle w:val="TableGrid"/>
        <w:tblW w:w="8640" w:type="dxa"/>
        <w:tblBorders>
          <w:top w:val="single" w:sz="4" w:space="0" w:color="2E4057"/>
          <w:left w:val="single" w:sz="4" w:space="0" w:color="2E4057"/>
          <w:bottom w:val="single" w:sz="4" w:space="0" w:color="2E4057"/>
          <w:right w:val="single" w:sz="4" w:space="0" w:color="2E4057"/>
          <w:insideH w:val="single" w:sz="4" w:space="0" w:color="2E4057"/>
          <w:insideV w:val="single" w:sz="4" w:space="0" w:color="2E4057"/>
        </w:tblBorders>
      </w:tblPr>
      <w:tblGrid>
        <w:gridCol w:w="720"/>
        <w:gridCol w:w="900"/>
        <w:gridCol w:w="720"/>
        <w:gridCol w:w="2160"/>
        <w:gridCol w:w="900"/>
        <w:gridCol w:w="720"/>
        <w:gridCol w:w="2520"/>
      </w:tblGrid>
      <w:tr>
        <w:trPr>
          <w:tblHeader/>
        </w:trPr>
        <w:tc>
          <w:tcPr>
            <w:tcW w:w="720" w:type="dxa"/>
            <w:shd w:val="clear" w:fill="2E4057"/>
          </w:tcPr>
          <w:p>
            <w:r>
              <w:rPr>
                <w:b/>
                <w:color w:val="FFFFFF"/>
                <w:sz w:val="18"/>
              </w:rPr>
              <w:t>Gene</w:t>
            </w:r>
          </w:p>
        </w:tc>
        <w:tc>
          <w:tcPr>
            <w:tcW w:w="900" w:type="dxa"/>
            <w:shd w:val="clear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PubMed (n)</w:t>
            </w:r>
          </w:p>
        </w:tc>
        <w:tc>
          <w:tcPr>
            <w:tcW w:w="720" w:type="dxa"/>
            <w:shd w:val="clear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Evidence Types</w:t>
            </w:r>
          </w:p>
        </w:tc>
        <w:tc>
          <w:tcPr>
            <w:tcW w:w="2160" w:type="dxa"/>
            <w:shd w:val="clear" w:fill="2E4057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w="900" w:type="dxa"/>
            <w:shd w:val="clear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HR (survival)</w:t>
            </w:r>
          </w:p>
        </w:tc>
        <w:tc>
          <w:tcPr>
            <w:tcW w:w="720" w:type="dxa"/>
            <w:shd w:val="clear" w:fill="2E4057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p-value</w:t>
            </w:r>
          </w:p>
        </w:tc>
        <w:tc>
          <w:tcPr>
            <w:tcW w:w="2520" w:type="dxa"/>
            <w:shd w:val="clear" w:fill="2E4057"/>
          </w:tcPr>
          <w:p>
            <w:r>
              <w:rPr>
                <w:b/>
                <w:color w:val="FFFFFF"/>
                <w:sz w:val="18"/>
              </w:rPr>
              <w:t>Top Drug (Status)</w:t>
            </w:r>
          </w:p>
        </w:tc>
      </w:tr>
      <w:tr>
        <w:tc>
          <w:tcPr>
            <w:tcW w:w="720" w:type="dxa"/>
            <w:shd w:val="clear" w:fill="D4EDDA"/>
          </w:tcPr>
          <w:p>
            <w:r>
              <w:rPr>
                <w:b/>
                <w:sz w:val="18"/>
              </w:rPr>
              <w:t>TYMS</w:t>
            </w:r>
          </w:p>
        </w:tc>
        <w:tc>
          <w:tcPr>
            <w:tcW w:w="9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156</w:t>
            </w:r>
          </w:p>
        </w:tc>
        <w:tc>
          <w:tcPr>
            <w:tcW w:w="72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fill="D4EDDA"/>
          </w:tcPr>
          <w:p>
            <w:r>
              <w:rPr>
                <w:sz w:val="18"/>
              </w:rPr>
              <w:t>CRISPR, siRNA, 5-FU</w:t>
            </w:r>
          </w:p>
        </w:tc>
        <w:tc>
          <w:tcPr>
            <w:tcW w:w="9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1.36</w:t>
            </w:r>
          </w:p>
        </w:tc>
        <w:tc>
          <w:tcPr>
            <w:tcW w:w="720" w:type="dxa"/>
            <w:shd w:val="clear" w:fill="D4EDDA"/>
          </w:tcPr>
          <w:p>
            <w:pPr>
              <w:jc w:val="center"/>
            </w:pPr>
            <w:r>
              <w:rPr>
                <w:b/>
                <w:color w:val="1A6B2A"/>
                <w:sz w:val="18"/>
              </w:rPr>
              <w:t>0.025*</w:t>
            </w:r>
          </w:p>
        </w:tc>
        <w:tc>
          <w:tcPr>
            <w:tcW w:w="2520" w:type="dxa"/>
            <w:shd w:val="clear" w:fill="D4EDDA"/>
          </w:tcPr>
          <w:p>
            <w:r>
              <w:rPr>
                <w:sz w:val="18"/>
              </w:rPr>
              <w:t>5-Fluorouracil (FDA-approved)</w:t>
            </w:r>
          </w:p>
        </w:tc>
      </w:tr>
      <w:tr>
        <w:tc>
          <w:tcPr>
            <w:tcW w:w="720" w:type="dxa"/>
            <w:shd w:val="clear" w:fill="D4EDDA"/>
          </w:tcPr>
          <w:p>
            <w:r>
              <w:rPr>
                <w:b/>
                <w:sz w:val="18"/>
              </w:rPr>
              <w:t>GLS</w:t>
            </w:r>
          </w:p>
        </w:tc>
        <w:tc>
          <w:tcPr>
            <w:tcW w:w="9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89</w:t>
            </w:r>
          </w:p>
        </w:tc>
        <w:tc>
          <w:tcPr>
            <w:tcW w:w="72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fill="D4EDDA"/>
          </w:tcPr>
          <w:p>
            <w:r>
              <w:rPr>
                <w:sz w:val="18"/>
              </w:rPr>
              <w:t>CRISPR, siRNA, CB-839</w:t>
            </w:r>
          </w:p>
        </w:tc>
        <w:tc>
          <w:tcPr>
            <w:tcW w:w="9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1.32</w:t>
            </w:r>
          </w:p>
        </w:tc>
        <w:tc>
          <w:tcPr>
            <w:tcW w:w="720" w:type="dxa"/>
            <w:shd w:val="clear" w:fill="D4EDDA"/>
          </w:tcPr>
          <w:p>
            <w:pPr>
              <w:jc w:val="center"/>
            </w:pPr>
            <w:r>
              <w:rPr>
                <w:b/>
                <w:color w:val="1A6B2A"/>
                <w:sz w:val="18"/>
              </w:rPr>
              <w:t>0.031*</w:t>
            </w:r>
          </w:p>
        </w:tc>
        <w:tc>
          <w:tcPr>
            <w:tcW w:w="2520" w:type="dxa"/>
            <w:shd w:val="clear" w:fill="D4EDDA"/>
          </w:tcPr>
          <w:p>
            <w:r>
              <w:rPr>
                <w:sz w:val="18"/>
              </w:rPr>
              <w:t>Telaglenastat/CB-839 (Phase II)</w:t>
            </w:r>
          </w:p>
        </w:tc>
      </w:tr>
      <w:tr>
        <w:tc>
          <w:tcPr>
            <w:tcW w:w="720" w:type="dxa"/>
            <w:shd w:val="clear" w:fill="D4EDDA"/>
          </w:tcPr>
          <w:p>
            <w:r>
              <w:rPr>
                <w:b/>
                <w:sz w:val="18"/>
              </w:rPr>
              <w:t>RRM2</w:t>
            </w:r>
          </w:p>
        </w:tc>
        <w:tc>
          <w:tcPr>
            <w:tcW w:w="9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47</w:t>
            </w:r>
          </w:p>
        </w:tc>
        <w:tc>
          <w:tcPr>
            <w:tcW w:w="72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  <w:shd w:val="clear" w:fill="D4EDDA"/>
          </w:tcPr>
          <w:p>
            <w:r>
              <w:rPr>
                <w:sz w:val="18"/>
              </w:rPr>
              <w:t>CRISPR, siRNA, shRNA</w:t>
            </w:r>
          </w:p>
        </w:tc>
        <w:tc>
          <w:tcPr>
            <w:tcW w:w="900" w:type="dxa"/>
            <w:shd w:val="clear" w:fill="D4EDDA"/>
          </w:tcPr>
          <w:p>
            <w:pPr>
              <w:jc w:val="center"/>
            </w:pPr>
            <w:r>
              <w:rPr>
                <w:sz w:val="18"/>
              </w:rPr>
              <w:t>1.31</w:t>
            </w:r>
          </w:p>
        </w:tc>
        <w:tc>
          <w:tcPr>
            <w:tcW w:w="720" w:type="dxa"/>
            <w:shd w:val="clear" w:fill="D4EDDA"/>
          </w:tcPr>
          <w:p>
            <w:pPr>
              <w:jc w:val="center"/>
            </w:pPr>
            <w:r>
              <w:rPr>
                <w:b/>
                <w:color w:val="1A6B2A"/>
                <w:sz w:val="18"/>
              </w:rPr>
              <w:t>0.048*</w:t>
            </w:r>
          </w:p>
        </w:tc>
        <w:tc>
          <w:tcPr>
            <w:tcW w:w="2520" w:type="dxa"/>
            <w:shd w:val="clear" w:fill="D4EDDA"/>
          </w:tcPr>
          <w:p>
            <w:r>
              <w:rPr>
                <w:sz w:val="18"/>
              </w:rPr>
              <w:t>Triapine (Phase II)</w:t>
            </w:r>
          </w:p>
        </w:tc>
      </w:tr>
      <w:tr>
        <w:tc>
          <w:tcPr>
            <w:tcW w:w="720" w:type="dxa"/>
          </w:tcPr>
          <w:p>
            <w:r>
              <w:rPr>
                <w:sz w:val="18"/>
              </w:rPr>
              <w:t>RRM1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18"/>
              </w:rPr>
              <w:t>38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CRISPR, siRNA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18"/>
              </w:rPr>
              <w:t>1.18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sz w:val="18"/>
              </w:rPr>
              <w:t>0.089</w:t>
            </w:r>
          </w:p>
        </w:tc>
        <w:tc>
          <w:tcPr>
            <w:tcW w:w="2520" w:type="dxa"/>
          </w:tcPr>
          <w:p>
            <w:r>
              <w:rPr>
                <w:sz w:val="18"/>
              </w:rPr>
              <w:t>Gemcitabine (FDA-approved)</w:t>
            </w:r>
          </w:p>
        </w:tc>
      </w:tr>
      <w:tr>
        <w:tc>
          <w:tcPr>
            <w:tcW w:w="720" w:type="dxa"/>
          </w:tcPr>
          <w:p>
            <w:r>
              <w:rPr>
                <w:sz w:val="18"/>
              </w:rPr>
              <w:t>LDHA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CRISPR, FX11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18"/>
              </w:rPr>
              <w:t>1.24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sz w:val="18"/>
              </w:rPr>
              <w:t>0.067</w:t>
            </w:r>
          </w:p>
        </w:tc>
        <w:tc>
          <w:tcPr>
            <w:tcW w:w="2520" w:type="dxa"/>
          </w:tcPr>
          <w:p>
            <w:r>
              <w:rPr>
                <w:sz w:val="18"/>
              </w:rPr>
              <w:t>FX11 / Gossypol (Preclinical)</w:t>
            </w:r>
          </w:p>
        </w:tc>
      </w:tr>
      <w:tr>
        <w:tc>
          <w:tcPr>
            <w:tcW w:w="720" w:type="dxa"/>
          </w:tcPr>
          <w:p>
            <w:r>
              <w:rPr>
                <w:sz w:val="18"/>
              </w:rPr>
              <w:t>HK2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18"/>
              </w:rPr>
              <w:t>29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>
            <w:r>
              <w:rPr>
                <w:sz w:val="18"/>
              </w:rPr>
              <w:t>CRISPR, siRNA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sz w:val="18"/>
              </w:rPr>
              <w:t>1.15</w:t>
            </w:r>
          </w:p>
        </w:tc>
        <w:tc>
          <w:tcPr>
            <w:tcW w:w="720" w:type="dxa"/>
          </w:tcPr>
          <w:p>
            <w:pPr>
              <w:jc w:val="center"/>
            </w:pPr>
            <w:r>
              <w:rPr>
                <w:sz w:val="18"/>
              </w:rPr>
              <w:t>0.112</w:t>
            </w:r>
          </w:p>
        </w:tc>
        <w:tc>
          <w:tcPr>
            <w:tcW w:w="2520" w:type="dxa"/>
          </w:tcPr>
          <w:p>
            <w:r>
              <w:rPr>
                <w:sz w:val="18"/>
              </w:rPr>
              <w:t>2-Deoxyglucose (Preclinical)</w:t>
            </w:r>
          </w:p>
        </w:tc>
      </w:tr>
    </w:tbl>
    <w:p>
      <w:pPr>
        <w:spacing w:after="120"/>
      </w:pPr>
      <w:r>
        <w:rPr>
          <w:i/>
          <w:sz w:val="18"/>
        </w:rPr>
        <w:t>* p &lt; 0.05 (statistically significant survival association). Green rows: genes with significant survival association. HR = hazard ratio from multivariate Cox proportional hazards model.</w:t>
      </w:r>
    </w:p>
    <w:sectPr w:rsidR="00037EE2" w:rsidRPr="005E2B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6281851">
    <w:abstractNumId w:val="8"/>
  </w:num>
  <w:num w:numId="2" w16cid:durableId="1202278374">
    <w:abstractNumId w:val="6"/>
  </w:num>
  <w:num w:numId="3" w16cid:durableId="136998121">
    <w:abstractNumId w:val="5"/>
  </w:num>
  <w:num w:numId="4" w16cid:durableId="1002584961">
    <w:abstractNumId w:val="4"/>
  </w:num>
  <w:num w:numId="5" w16cid:durableId="239828347">
    <w:abstractNumId w:val="7"/>
  </w:num>
  <w:num w:numId="6" w16cid:durableId="2056195811">
    <w:abstractNumId w:val="3"/>
  </w:num>
  <w:num w:numId="7" w16cid:durableId="964696818">
    <w:abstractNumId w:val="2"/>
  </w:num>
  <w:num w:numId="8" w16cid:durableId="1212112527">
    <w:abstractNumId w:val="1"/>
  </w:num>
  <w:num w:numId="9" w16cid:durableId="560287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EE2"/>
    <w:rsid w:val="0006063C"/>
    <w:rsid w:val="0015074B"/>
    <w:rsid w:val="0029639D"/>
    <w:rsid w:val="00326F90"/>
    <w:rsid w:val="005E2B2B"/>
    <w:rsid w:val="00AA1D8D"/>
    <w:rsid w:val="00B47730"/>
    <w:rsid w:val="00CB0664"/>
    <w:rsid w:val="00DB02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88B766"/>
  <w14:defaultImageDpi w14:val="300"/>
  <w15:docId w15:val="{DFF2E7F8-CDB8-49E1-9007-8C1E4F0C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10" Type="http://schemas.openxmlformats.org/officeDocument/2006/relationships/image" Target="media/img_crossval.png"/><Relationship Id="rId11" Type="http://schemas.openxmlformats.org/officeDocument/2006/relationships/image" Target="media/img_sensitivity.png"/><Relationship Id="rId12" Type="http://schemas.openxmlformats.org/officeDocument/2006/relationships/image" Target="media/img_loo_cv.png"/><Relationship Id="rId13" Type="http://schemas.openxmlformats.org/officeDocument/2006/relationships/image" Target="media/img_pathway.png"/><Relationship Id="rId14" Type="http://schemas.openxmlformats.org/officeDocument/2006/relationships/image" Target="media/img_network.png"/><Relationship Id="rId15" Type="http://schemas.openxmlformats.org/officeDocument/2006/relationships/image" Target="media/img_literatur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5674</Words>
  <Characters>32345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Spata Giovanni</cp:lastModifiedBy>
  <cp:revision>2</cp:revision>
  <dcterms:created xsi:type="dcterms:W3CDTF">2026-03-31T16:29:00Z</dcterms:created>
  <dcterms:modified xsi:type="dcterms:W3CDTF">2026-03-31T16:29:00Z</dcterms:modified>
  <cp:category/>
</cp:coreProperties>
</file>