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888888"/>
          <w:sz w:val="20"/>
          <w:szCs w:val="20"/>
        </w:rPr>
        <w:t xml:space="preserve">PLOS Computational Biology</w:t>
      </w:r>
    </w:p>
    <w:p>
      <w:pPr>
        <w:pBdr>
          <w:bottom w:val="single" w:color="2E4057" w:sz="6" w:space="1"/>
        </w:pBdr>
        <w:spacing w:after="360"/>
      </w:pPr>
      <w:r>
        <w:rPr>
          <w:rFonts w:ascii="Arial" w:cs="Arial" w:eastAsia="Arial" w:hAnsi="Arial"/>
          <w:color w:val="888888"/>
          <w:sz w:val="20"/>
          <w:szCs w:val="20"/>
        </w:rPr>
        <w:t xml:space="preserve">Author Summary</w:t>
      </w:r>
    </w:p>
    <w:p>
      <w:pPr>
        <w:pStyle w:val="Heading1"/>
      </w:pPr>
      <w:r>
        <w:rPr>
          <w:rFonts w:ascii="Arial" w:cs="Arial" w:eastAsia="Arial" w:hAnsi="Arial"/>
          <w:b/>
          <w:bCs/>
          <w:color w:val="2E4057"/>
          <w:sz w:val="28"/>
          <w:szCs w:val="28"/>
        </w:rPr>
        <w:t xml:space="preserve">ARES-Sentinel-GBM: An Open-Source Pipeline for Drug Target Discovery in Glioblastoma</w:t>
      </w:r>
    </w:p>
    <w:p>
      <w:pPr>
        <w:spacing w:after="480"/>
      </w:pPr>
      <w:r>
        <w:rPr>
          <w:rFonts w:ascii="Arial" w:cs="Arial" w:eastAsia="Arial" w:hAnsi="Arial"/>
          <w:i/>
          <w:iCs/>
          <w:color w:val="555555"/>
          <w:sz w:val="20"/>
          <w:szCs w:val="20"/>
        </w:rPr>
        <w:t xml:space="preserve">Johnny S. — Independent Researcher, Rome, Italy</w:t>
      </w:r>
    </w:p>
    <w:p>
      <w:pPr>
        <w:spacing w:after="240"/>
        <w:jc w:val="both"/>
      </w:pPr>
      <w:r>
        <w:rPr>
          <w:rFonts w:ascii="Arial" w:cs="Arial" w:eastAsia="Arial" w:hAnsi="Arial"/>
          <w:sz w:val="24"/>
          <w:szCs w:val="24"/>
        </w:rPr>
        <w:t xml:space="preserve">Glioblastoma is the most aggressive brain tumor, with patients surviving only 14–16 months on average. Despite decades of research, no major therapeutic breakthrough has emerged since 2005. Cancer cells rewire their metabolism to sustain rapid growth, but identifying which metabolic changes represent true vulnerabilities remains challenging.</w:t>
      </w:r>
    </w:p>
    <w:p>
      <w:pPr>
        <w:spacing w:after="240"/>
        <w:jc w:val="both"/>
      </w:pPr>
      <w:r>
        <w:rPr>
          <w:rFonts w:ascii="Arial" w:cs="Arial" w:eastAsia="Arial" w:hAnsi="Arial"/>
          <w:sz w:val="24"/>
          <w:szCs w:val="24"/>
        </w:rPr>
        <w:t xml:space="preserve">We developed ARES-Sentinel-GBM, a freely available computational pipeline that analyzes tumor gene expression to identify metabolic weaknesses. Applied to 59 glioblastoma samples, the method identified 116 essential metabolic genes, with 70% confirmed by independent CRISPR screening data. Results were confirmed across three independent cohorts totaling 419 samples. Key targets include RRM2, GLS, and TYMS — genes already targeted by drugs in clinical development.</w:t>
      </w:r>
    </w:p>
    <w:p>
      <w:pPr>
        <w:spacing w:after="480"/>
        <w:jc w:val="both"/>
      </w:pPr>
      <w:r>
        <w:rPr>
          <w:rFonts w:ascii="Arial" w:cs="Arial" w:eastAsia="Arial" w:hAnsi="Arial"/>
          <w:sz w:val="24"/>
          <w:szCs w:val="24"/>
        </w:rPr>
        <w:t xml:space="preserve">ARES-Sentinel-GBM runs on standard hardware, requires no commercial software, and completes analysis in under 3 hours. Compared to six alternative methods, it achieves an optimal balance of accuracy, speed, and accessibility, enabling research groups worldwide to identify therapeutic targets in glioblastoma and other cancers without requiring specialized infrastructure or commercial licenses.</w:t>
      </w:r>
    </w:p>
    <w:p>
      <w:pPr>
        <w:pBdr>
          <w:top w:val="single" w:color="CCCCCC" w:sz="4" w:space="1"/>
        </w:pBdr>
        <w:spacing w:before="120"/>
      </w:pPr>
      <w:r>
        <w:rPr>
          <w:rFonts w:ascii="Arial" w:cs="Arial" w:eastAsia="Arial" w:hAnsi="Arial"/>
          <w:i/>
          <w:iCs/>
          <w:color w:val="888888"/>
          <w:sz w:val="18"/>
          <w:szCs w:val="18"/>
        </w:rPr>
        <w:t xml:space="preserve">Word count: 148 words  •  Compliant with PLOS Computational Biology Author Summary guidelines (≤150 words)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2026-03-31T21:36:44.667Z</dcterms:created>
  <dcterms:modified xsi:type="dcterms:W3CDTF">2026-03-31T21:36:44.668Z</dcterms:modified>
</cp:coreProperties>
</file>

<file path=docProps/custom.xml><?xml version="1.0" encoding="utf-8"?>
<Properties xmlns="http://schemas.openxmlformats.org/officeDocument/2006/custom-properties" xmlns:vt="http://schemas.openxmlformats.org/officeDocument/2006/docPropsVTypes"/>
</file>