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B2A4A"/>
        </w:rPr>
        <w:t>Scoring Crédit Cameroun</w:t>
      </w:r>
    </w:p>
    <w:p>
      <w:pPr>
        <w:jc w:val="center"/>
      </w:pPr>
      <w:r>
        <w:rPr>
          <w:b/>
          <w:sz w:val="28"/>
        </w:rPr>
        <w:t>Plan de la semaine de marge : correctifs et amélioration de l'application</w:t>
        <w:br/>
        <w:t>23 – 31 août 2026</w:t>
      </w:r>
    </w:p>
    <w:p>
      <w:pPr>
        <w:jc w:val="center"/>
      </w:pPr>
      <w:r>
        <w:rPr>
          <w:i/>
          <w:color w:val="64748B"/>
          <w:sz w:val="20"/>
        </w:rPr>
        <w:t>Document préparé avec l'aide de Claude — 22 août 2026</w:t>
        <w:br/>
        <w:t>Structure alignée sur docs/Analyse_et_Plan_Projet.docx</w:t>
      </w:r>
    </w:p>
    <w:p/>
    <w:p>
      <w:pPr>
        <w:pStyle w:val="Heading1"/>
      </w:pPr>
      <w:r>
        <w:rPr>
          <w:color w:val="1B2A4A"/>
        </w:rPr>
        <w:t>Contexte</w:t>
      </w:r>
    </w:p>
    <w:p>
      <w:r>
        <w:rPr>
          <w:b w:val="0"/>
          <w:i w:val="0"/>
        </w:rPr>
        <w:t>Suite au point d'équipe du vendredi 21 août, une liste de correctifs a été établie pour professionnaliser l'application avant la soutenance. Ce document reprend cette liste, la complète de quelques points trouvés en creusant le code cette semaine, et l'organise selon la même logique que le plan de réalisation initial (objectif, responsable, dates, ordre de succession) — dans la fenêtre du 23 au 31 août, deadline finale du projet.</w:t>
      </w:r>
    </w:p>
    <w:p>
      <w:pPr>
        <w:pStyle w:val="Heading1"/>
      </w:pPr>
      <w:r>
        <w:rPr>
          <w:color w:val="1B2A4A"/>
        </w:rPr>
        <w:t>Objectif de la semaine</w:t>
      </w:r>
    </w:p>
    <w:p>
      <w:r>
        <w:rPr>
          <w:b w:val="0"/>
          <w:i w:val="0"/>
        </w:rPr>
        <w:t>Livrer une application professionnalisée (authentification réelle, données dynamiques ou limite clarifiée, terminologie et calculs harmonisés, explicabilité SHAP renforcée, identité visuelle propre), sans régression fonctionnelle et sans compromettre le temps réservé à la rédaction du rapport et à la préparation de la soutenance.</w:t>
      </w:r>
    </w:p>
    <w:p>
      <w:r>
        <w:rPr>
          <w:b w:val="0"/>
          <w:i w:val="0"/>
        </w:rPr>
        <w:t>Principe de calendrier retenu : certaines tâches de style (choix du nom, du logo, de la palette) ne touchent pas encore le code partagé et peuvent démarrer dès le dimanche, en parallèle du reste. Le cœur de la semaine (lundi à jeudi) est concentré sur les chantiers les plus structurants — authentification et données dynamiques (Marie-Thérèse), explicabilité SHAP (Andy). L'intégration du style dans le code de l'application (Aristide) est volontairement placée en fin de semaine, une fois ces chantiers structurants terminés, pour limiter les conflits sur app_v2.py — même fichier touché par les trois personnes.</w:t>
      </w:r>
    </w:p>
    <w:p>
      <w:pPr>
        <w:pStyle w:val="Heading1"/>
      </w:pPr>
      <w:r>
        <w:rPr>
          <w:color w:val="1B2A4A"/>
        </w:rPr>
        <w:t>1. Décision préalable — actée le 22 août</w:t>
      </w:r>
    </w:p>
    <w:p>
      <w:r>
        <w:rPr>
          <w:b w:val="0"/>
          <w:i w:val="0"/>
        </w:rPr>
        <w:t>Décision de l'équipe : vraie persistance. Chaque analyse réalisée doit être enregistrée en base, pour alimenter le dashboard et l'historique — pas seulement pendant la session en cours.</w:t>
      </w:r>
    </w:p>
    <w:p>
      <w:r>
        <w:rPr>
          <w:b/>
          <w:i w:val="0"/>
        </w:rPr>
        <w:t>Conséquence technique importante : Streamlit Community Cloud a un système de fichiers éphémère — un fichier SQLite local (comme app/data/scoring_credit.db aujourd'hui) est réinitialisé à chaque redéploiement. Une vraie persistance nécessite donc une base hébergée à l'extérieur de Streamlit Cloud, à laquelle l'application se connecte à distance.</w:t>
      </w:r>
    </w:p>
    <w:p>
      <w:r>
        <w:rPr>
          <w:b w:val="0"/>
          <w:i w:val="0"/>
        </w:rPr>
        <w:t>Solution retenue : Supabase (Postgres hébergé, offre gratuite, connexion simple depuis Python). Le schéma déjà conçu par Marie-Thérèse (tables agents et demandes) s'y transpose directement, sans redesign — seule la couche de connexion change (identifiants gérés via st.secrets, jamais en dur dans le code).</w:t>
      </w:r>
    </w:p>
    <w:p>
      <w:r>
        <w:rPr>
          <w:b w:val="0"/>
          <w:i/>
        </w:rPr>
        <w:t>Ce choix ajoute du travail réel par rapport à la version initiale de ce plan (création du projet Supabase, migration du schéma, gestion des secrets) : le calendrier ci-dessous en tient compte, avec une marge de fin de semaine plus courte que prévu initialement (voir section 8 — risques).</w:t>
      </w:r>
    </w:p>
    <w:p/>
    <w:p>
      <w:pPr>
        <w:pStyle w:val="Heading1"/>
      </w:pPr>
      <w:r>
        <w:rPr>
          <w:color w:val="1B2A4A"/>
        </w:rPr>
        <w:t>2. Marie-Thérèse (avec l'aide de Claude)</w:t>
      </w:r>
    </w:p>
    <w:p>
      <w:r>
        <w:rPr>
          <w:b/>
          <w:color w:val="178449"/>
          <w:sz w:val="24"/>
        </w:rPr>
        <w:t>Objectif de son bloc : authentification réelle, données dynamiques, terminologie et logique de calcul harmonisées — cœur des points 1 et 2 de la liste du 21 août.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4252"/>
            <w:shd w:val="clear" w:color="auto" w:fill="1B2A4A"/>
          </w:tcPr>
          <w:p>
            <w:r/>
            <w:r>
              <w:rPr>
                <w:b/>
                <w:color w:val="FFFFFF"/>
              </w:rPr>
              <w:t>Tâche</w:t>
            </w:r>
          </w:p>
        </w:tc>
        <w:tc>
          <w:tcPr>
            <w:tcW w:type="dxa" w:w="1814"/>
            <w:shd w:val="clear" w:color="auto" w:fill="1B2A4A"/>
          </w:tcPr>
          <w:p>
            <w:r/>
            <w:r>
              <w:rPr>
                <w:b/>
                <w:color w:val="FFFFFF"/>
              </w:rPr>
              <w:t>Dates</w:t>
            </w:r>
          </w:p>
        </w:tc>
        <w:tc>
          <w:tcPr>
            <w:tcW w:type="dxa" w:w="1020"/>
            <w:shd w:val="clear" w:color="auto" w:fill="1B2A4A"/>
          </w:tcPr>
          <w:p>
            <w:r/>
            <w:r>
              <w:rPr>
                <w:b/>
                <w:color w:val="FFFFFF"/>
              </w:rPr>
              <w:t>Durée</w:t>
            </w:r>
          </w:p>
        </w:tc>
        <w:tc>
          <w:tcPr>
            <w:tcW w:type="dxa" w:w="3685"/>
            <w:shd w:val="clear" w:color="auto" w:fill="1B2A4A"/>
          </w:tcPr>
          <w:p>
            <w:r/>
            <w:r>
              <w:rPr>
                <w:b/>
                <w:color w:val="FFFFFF"/>
              </w:rPr>
              <w:t>But de la tâche</w:t>
            </w:r>
          </w:p>
        </w:tc>
      </w:tr>
      <w:tr>
        <w:tc>
          <w:tcPr>
            <w:tcW w:type="dxa" w:w="4252"/>
          </w:tcPr>
          <w:p>
            <w:r/>
            <w:r>
              <w:rPr>
                <w:sz w:val="20"/>
              </w:rPr>
              <w:t>Créer le projet Supabase, migrer le schéma existant (tables agents et demandes, consolidées depuis les 2 fichiers SQLite locaux) en Postgres hébergé, configurer les identifiants de connexion via st.secrets.</w:t>
            </w:r>
          </w:p>
        </w:tc>
        <w:tc>
          <w:tcPr>
            <w:tcW w:type="dxa" w:w="1814"/>
          </w:tcPr>
          <w:p>
            <w:r/>
            <w:r>
              <w:rPr>
                <w:sz w:val="20"/>
              </w:rPr>
              <w:t>Dim 23 août</w:t>
            </w:r>
          </w:p>
        </w:tc>
        <w:tc>
          <w:tcPr>
            <w:tcW w:type="dxa" w:w="1020"/>
          </w:tcPr>
          <w:p>
            <w:r/>
            <w:r>
              <w:rPr>
                <w:sz w:val="20"/>
              </w:rPr>
              <w:t>1 j</w:t>
            </w:r>
          </w:p>
        </w:tc>
        <w:tc>
          <w:tcPr>
            <w:tcW w:type="dxa" w:w="3685"/>
          </w:tcPr>
          <w:p>
            <w:r/>
            <w:r>
              <w:rPr>
                <w:sz w:val="20"/>
              </w:rPr>
              <w:t>Base hébergée nécessaire pour une vraie persistance sur Streamlit Cloud (voir section 1). Remplace la simple consolidation des 2 .db prévue dans la version précédente de ce plan — désormais migrés vers Supabase plutôt que fusionnés localement.</w:t>
            </w:r>
          </w:p>
        </w:tc>
      </w:tr>
      <w:tr>
        <w:tc>
          <w:tcPr>
            <w:tcW w:type="dxa" w:w="4252"/>
          </w:tcPr>
          <w:p>
            <w:r/>
            <w:r>
              <w:rPr>
                <w:sz w:val="20"/>
              </w:rPr>
              <w:t>Brancher l'écran de connexion sur la table agents (identifiant + mot de passe déjà hachés en SHA-256) hébergée sur Supabase, et ajouter l'écran d'inscription, avec gestion des erreurs et redirection vers le dashboard.</w:t>
            </w:r>
          </w:p>
        </w:tc>
        <w:tc>
          <w:tcPr>
            <w:tcW w:type="dxa" w:w="1814"/>
          </w:tcPr>
          <w:p>
            <w:r/>
            <w:r>
              <w:rPr>
                <w:sz w:val="20"/>
              </w:rPr>
              <w:t>Lun 24 – Mar 25 août</w:t>
            </w:r>
          </w:p>
        </w:tc>
        <w:tc>
          <w:tcPr>
            <w:tcW w:type="dxa" w:w="1020"/>
          </w:tcPr>
          <w:p>
            <w:r/>
            <w:r>
              <w:rPr>
                <w:sz w:val="20"/>
              </w:rPr>
              <w:t>1,5 j</w:t>
            </w:r>
          </w:p>
        </w:tc>
        <w:tc>
          <w:tcPr>
            <w:tcW w:type="dxa" w:w="3685"/>
          </w:tcPr>
          <w:p>
            <w:r/>
            <w:r>
              <w:rPr>
                <w:sz w:val="20"/>
              </w:rPr>
              <w:t>Remplacer l'authentification factice actuelle (accepte n'importe quel identifiant) par une vraie vérification — condition de base pour présenter l'app comme professionnelle.</w:t>
            </w:r>
          </w:p>
        </w:tc>
      </w:tr>
      <w:tr>
        <w:tc>
          <w:tcPr>
            <w:tcW w:type="dxa" w:w="4252"/>
          </w:tcPr>
          <w:p>
            <w:r/>
            <w:r>
              <w:rPr>
                <w:sz w:val="20"/>
              </w:rPr>
              <w:t>Rendre le dashboard et la page historique dynamiques : chaque demande analysée est enregistrée dans la table demandes sur Supabase, les visuels/tableaux lisent depuis la base plutôt que depuis les données de démo codées en dur.</w:t>
            </w:r>
          </w:p>
        </w:tc>
        <w:tc>
          <w:tcPr>
            <w:tcW w:type="dxa" w:w="1814"/>
          </w:tcPr>
          <w:p>
            <w:r/>
            <w:r>
              <w:rPr>
                <w:sz w:val="20"/>
              </w:rPr>
              <w:t>Mer 26 – Jeu 27 août</w:t>
            </w:r>
          </w:p>
        </w:tc>
        <w:tc>
          <w:tcPr>
            <w:tcW w:type="dxa" w:w="1020"/>
          </w:tcPr>
          <w:p>
            <w:r/>
            <w:r>
              <w:rPr>
                <w:sz w:val="20"/>
              </w:rPr>
              <w:t>2,5 j</w:t>
            </w:r>
          </w:p>
        </w:tc>
        <w:tc>
          <w:tcPr>
            <w:tcW w:type="dxa" w:w="3685"/>
          </w:tcPr>
          <w:p>
            <w:r/>
            <w:r>
              <w:rPr>
                <w:sz w:val="20"/>
              </w:rPr>
              <w:t>Remplacer les données factices (get_historique_demandes()) par un vrai suivi persistant des demandes traitées. Durée revue a la hausse (+0,5 j par rapport a la premiere version du plan) : premiere integration d'une base distante, plus de risque d'imprevu que du SQLite local.</w:t>
            </w:r>
          </w:p>
        </w:tc>
      </w:tr>
      <w:tr>
        <w:tc>
          <w:tcPr>
            <w:tcW w:type="dxa" w:w="4252"/>
          </w:tcPr>
          <w:p>
            <w:r/>
            <w:r>
              <w:rPr>
                <w:sz w:val="20"/>
              </w:rPr>
              <w:t>Renommer « montant accordé » en « montant disponible » partout (pages + PDF), afficher ce montant uniquement pour les statuts ÉTUDE APPROFONDIE et REFUSÉ, et corriger le calcul de mensualité (basé sur le montant demandé si ACCORDÉ, sur le montant disponible sinon).</w:t>
            </w:r>
          </w:p>
        </w:tc>
        <w:tc>
          <w:tcPr>
            <w:tcW w:type="dxa" w:w="1814"/>
          </w:tcPr>
          <w:p>
            <w:r/>
            <w:r>
              <w:rPr>
                <w:sz w:val="20"/>
              </w:rPr>
              <w:t>Ven 28 août (matin)</w:t>
            </w:r>
          </w:p>
        </w:tc>
        <w:tc>
          <w:tcPr>
            <w:tcW w:type="dxa" w:w="1020"/>
          </w:tcPr>
          <w:p>
            <w:r/>
            <w:r>
              <w:rPr>
                <w:sz w:val="20"/>
              </w:rPr>
              <w:t>0,5 j</w:t>
            </w:r>
          </w:p>
        </w:tc>
        <w:tc>
          <w:tcPr>
            <w:tcW w:type="dxa" w:w="3685"/>
          </w:tcPr>
          <w:p>
            <w:r/>
            <w:r>
              <w:rPr>
                <w:sz w:val="20"/>
              </w:rPr>
              <w:t>Cohérence terminologique et logique métier plus juste (point 2 de la liste du 21 août).</w:t>
            </w:r>
          </w:p>
        </w:tc>
      </w:tr>
    </w:tbl>
    <w:p>
      <w:r>
        <w:rPr>
          <w:b w:val="0"/>
          <w:i/>
        </w:rPr>
        <w:t>Au passage : vérifier que le formulaire d'inscription hache bien le mot de passe (même méthode que les comptes déjà en base) avant de l'enregistrer — ne pas régresser sur un point déjà bien fait.</w:t>
      </w:r>
    </w:p>
    <w:p/>
    <w:p>
      <w:pPr>
        <w:pStyle w:val="Heading1"/>
      </w:pPr>
      <w:r>
        <w:rPr>
          <w:color w:val="1B2A4A"/>
        </w:rPr>
        <w:t>3. Andy (avec l'aide de Claude)</w:t>
      </w:r>
    </w:p>
    <w:p>
      <w:r>
        <w:rPr>
          <w:b/>
          <w:color w:val="178449"/>
          <w:sz w:val="24"/>
        </w:rPr>
        <w:t>Objectif de son bloc : rendre les graphiques SHAP compréhensibles pour un non-technicien — deuxième moitié du point 3 de la liste du 21 août.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4252"/>
            <w:shd w:val="clear" w:color="auto" w:fill="1B2A4A"/>
          </w:tcPr>
          <w:p>
            <w:r/>
            <w:r>
              <w:rPr>
                <w:b/>
                <w:color w:val="FFFFFF"/>
              </w:rPr>
              <w:t>Tâche</w:t>
            </w:r>
          </w:p>
        </w:tc>
        <w:tc>
          <w:tcPr>
            <w:tcW w:type="dxa" w:w="1814"/>
            <w:shd w:val="clear" w:color="auto" w:fill="1B2A4A"/>
          </w:tcPr>
          <w:p>
            <w:r/>
            <w:r>
              <w:rPr>
                <w:b/>
                <w:color w:val="FFFFFF"/>
              </w:rPr>
              <w:t>Dates</w:t>
            </w:r>
          </w:p>
        </w:tc>
        <w:tc>
          <w:tcPr>
            <w:tcW w:type="dxa" w:w="1020"/>
            <w:shd w:val="clear" w:color="auto" w:fill="1B2A4A"/>
          </w:tcPr>
          <w:p>
            <w:r/>
            <w:r>
              <w:rPr>
                <w:b/>
                <w:color w:val="FFFFFF"/>
              </w:rPr>
              <w:t>Durée</w:t>
            </w:r>
          </w:p>
        </w:tc>
        <w:tc>
          <w:tcPr>
            <w:tcW w:type="dxa" w:w="3685"/>
            <w:shd w:val="clear" w:color="auto" w:fill="1B2A4A"/>
          </w:tcPr>
          <w:p>
            <w:r/>
            <w:r>
              <w:rPr>
                <w:b/>
                <w:color w:val="FFFFFF"/>
              </w:rPr>
              <w:t>But de la tâche</w:t>
            </w:r>
          </w:p>
        </w:tc>
      </w:tr>
      <w:tr>
        <w:tc>
          <w:tcPr>
            <w:tcW w:type="dxa" w:w="4252"/>
          </w:tcPr>
          <w:p>
            <w:r/>
            <w:r>
              <w:rPr>
                <w:sz w:val="20"/>
              </w:rPr>
              <w:t>Ajouter légendes, descriptions et infobulles sur le waterfall plot et le graphique d'importance des variables (shap_view.py).</w:t>
            </w:r>
          </w:p>
        </w:tc>
        <w:tc>
          <w:tcPr>
            <w:tcW w:type="dxa" w:w="1814"/>
          </w:tcPr>
          <w:p>
            <w:r/>
            <w:r>
              <w:rPr>
                <w:sz w:val="20"/>
              </w:rPr>
              <w:t>Dim 23 – Lun 24 août</w:t>
            </w:r>
          </w:p>
        </w:tc>
        <w:tc>
          <w:tcPr>
            <w:tcW w:type="dxa" w:w="1020"/>
          </w:tcPr>
          <w:p>
            <w:r/>
            <w:r>
              <w:rPr>
                <w:sz w:val="20"/>
              </w:rPr>
              <w:t>1,5 j</w:t>
            </w:r>
          </w:p>
        </w:tc>
        <w:tc>
          <w:tcPr>
            <w:tcW w:type="dxa" w:w="3685"/>
          </w:tcPr>
          <w:p>
            <w:r/>
            <w:r>
              <w:rPr>
                <w:sz w:val="20"/>
              </w:rPr>
              <w:t>Un agent de crédit non-data-scientist doit pouvoir lire les graphiques sans explication orale. Fichier propre à Andy — peut démarrer dès dimanche, sans dépendre du reste.</w:t>
            </w:r>
          </w:p>
        </w:tc>
      </w:tr>
      <w:tr>
        <w:tc>
          <w:tcPr>
            <w:tcW w:type="dxa" w:w="4252"/>
          </w:tcPr>
          <w:p>
            <w:r/>
            <w:r>
              <w:rPr>
                <w:sz w:val="20"/>
              </w:rPr>
              <w:t>Générer un texte d'interprétation automatique à partir des valeurs SHAP (ex. « Les revenus mensuels ont un impact positif sur le score »), affiché à côté des graphiques.</w:t>
            </w:r>
          </w:p>
        </w:tc>
        <w:tc>
          <w:tcPr>
            <w:tcW w:type="dxa" w:w="1814"/>
          </w:tcPr>
          <w:p>
            <w:r/>
            <w:r>
              <w:rPr>
                <w:sz w:val="20"/>
              </w:rPr>
              <w:t>Mar 25 – Mer 26 août</w:t>
            </w:r>
          </w:p>
        </w:tc>
        <w:tc>
          <w:tcPr>
            <w:tcW w:type="dxa" w:w="1020"/>
          </w:tcPr>
          <w:p>
            <w:r/>
            <w:r>
              <w:rPr>
                <w:sz w:val="20"/>
              </w:rPr>
              <w:t>1,5 j</w:t>
            </w:r>
          </w:p>
        </w:tc>
        <w:tc>
          <w:tcPr>
            <w:tcW w:type="dxa" w:w="3685"/>
          </w:tcPr>
          <w:p>
            <w:r/>
            <w:r>
              <w:rPr>
                <w:sz w:val="20"/>
              </w:rPr>
              <w:t>Traduire un signal statistique en phrase compréhensible — complémentaire aux facteurs textuels déjà affichés par ailleurs (calculer_facteurs_shap, déjà en place côté Aristide).</w:t>
            </w:r>
          </w:p>
        </w:tc>
      </w:tr>
    </w:tbl>
    <w:p/>
    <w:p>
      <w:pPr>
        <w:pStyle w:val="Heading1"/>
      </w:pPr>
      <w:r>
        <w:rPr>
          <w:color w:val="1B2A4A"/>
        </w:rPr>
        <w:t>4. Aristide (avec l'aide de Claude)</w:t>
      </w:r>
    </w:p>
    <w:p>
      <w:r>
        <w:rPr>
          <w:b/>
          <w:color w:val="178449"/>
          <w:sz w:val="24"/>
        </w:rPr>
        <w:t>Objectif de son bloc : identité visuelle (nom, logo, styles — première moitié du point 3 de la liste du 21 août) et nettoyage final avant livraison.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4252"/>
            <w:shd w:val="clear" w:color="auto" w:fill="1B2A4A"/>
          </w:tcPr>
          <w:p>
            <w:r/>
            <w:r>
              <w:rPr>
                <w:b/>
                <w:color w:val="FFFFFF"/>
              </w:rPr>
              <w:t>Tâche</w:t>
            </w:r>
          </w:p>
        </w:tc>
        <w:tc>
          <w:tcPr>
            <w:tcW w:type="dxa" w:w="1814"/>
            <w:shd w:val="clear" w:color="auto" w:fill="1B2A4A"/>
          </w:tcPr>
          <w:p>
            <w:r/>
            <w:r>
              <w:rPr>
                <w:b/>
                <w:color w:val="FFFFFF"/>
              </w:rPr>
              <w:t>Dates</w:t>
            </w:r>
          </w:p>
        </w:tc>
        <w:tc>
          <w:tcPr>
            <w:tcW w:type="dxa" w:w="1020"/>
            <w:shd w:val="clear" w:color="auto" w:fill="1B2A4A"/>
          </w:tcPr>
          <w:p>
            <w:r/>
            <w:r>
              <w:rPr>
                <w:b/>
                <w:color w:val="FFFFFF"/>
              </w:rPr>
              <w:t>Durée</w:t>
            </w:r>
          </w:p>
        </w:tc>
        <w:tc>
          <w:tcPr>
            <w:tcW w:type="dxa" w:w="3685"/>
            <w:shd w:val="clear" w:color="auto" w:fill="1B2A4A"/>
          </w:tcPr>
          <w:p>
            <w:r/>
            <w:r>
              <w:rPr>
                <w:b/>
                <w:color w:val="FFFFFF"/>
              </w:rPr>
              <w:t>But de la tâche</w:t>
            </w:r>
          </w:p>
        </w:tc>
      </w:tr>
      <w:tr>
        <w:tc>
          <w:tcPr>
            <w:tcW w:type="dxa" w:w="4252"/>
          </w:tcPr>
          <w:p>
            <w:r/>
            <w:r>
              <w:rPr>
                <w:sz w:val="20"/>
              </w:rPr>
              <w:t>Choisir un nom et concevoir un logo pour l'application ; définir une palette de couleurs et une typographie cibles (travail de conception, pas encore intégré dans le code).</w:t>
            </w:r>
          </w:p>
        </w:tc>
        <w:tc>
          <w:tcPr>
            <w:tcW w:type="dxa" w:w="1814"/>
          </w:tcPr>
          <w:p>
            <w:r/>
            <w:r>
              <w:rPr>
                <w:sz w:val="20"/>
              </w:rPr>
              <w:t>Dim 23 – Lun 24 août</w:t>
            </w:r>
          </w:p>
        </w:tc>
        <w:tc>
          <w:tcPr>
            <w:tcW w:type="dxa" w:w="1020"/>
          </w:tcPr>
          <w:p>
            <w:r/>
            <w:r>
              <w:rPr>
                <w:sz w:val="20"/>
              </w:rPr>
              <w:t>1 j</w:t>
            </w:r>
          </w:p>
        </w:tc>
        <w:tc>
          <w:tcPr>
            <w:tcW w:type="dxa" w:w="3685"/>
          </w:tcPr>
          <w:p>
            <w:r/>
            <w:r>
              <w:rPr>
                <w:sz w:val="20"/>
              </w:rPr>
              <w:t>Base dont dépendent tous les changements visuels suivants. Ne touche pas encore app_v2.py — peut démarrer dès dimanche, en parallèle de Marie-Thérèse et Andy, sans aucun risque de conflit.</w:t>
            </w:r>
          </w:p>
        </w:tc>
      </w:tr>
      <w:tr>
        <w:tc>
          <w:tcPr>
            <w:tcW w:type="dxa" w:w="4252"/>
          </w:tcPr>
          <w:p>
            <w:r/>
            <w:r>
              <w:rPr>
                <w:sz w:val="20"/>
              </w:rPr>
              <w:t>Intégrer nom, logo, palette et typographie dans le code de l'application (connexion, en-tête, sidebar, PDF, titre d'onglet, README).</w:t>
            </w:r>
          </w:p>
        </w:tc>
        <w:tc>
          <w:tcPr>
            <w:tcW w:type="dxa" w:w="1814"/>
          </w:tcPr>
          <w:p>
            <w:r/>
            <w:r>
              <w:rPr>
                <w:sz w:val="20"/>
              </w:rPr>
              <w:t>Ven 28 août (après-midi) – Sam 29 août</w:t>
            </w:r>
          </w:p>
        </w:tc>
        <w:tc>
          <w:tcPr>
            <w:tcW w:type="dxa" w:w="1020"/>
          </w:tcPr>
          <w:p>
            <w:r/>
            <w:r>
              <w:rPr>
                <w:sz w:val="20"/>
              </w:rPr>
              <w:t>1,5 j</w:t>
            </w:r>
          </w:p>
        </w:tc>
        <w:tc>
          <w:tcPr>
            <w:tcW w:type="dxa" w:w="3685"/>
          </w:tcPr>
          <w:p>
            <w:r/>
            <w:r>
              <w:rPr>
                <w:sz w:val="20"/>
              </w:rPr>
              <w:t>Volontairement placé après les chantiers de Marie-Thérèse et Andy (section 5) : cette tâche traverse tout app_v2.py, donc plus sûre une fois leurs modifications structurantes déjà fusionnées. Décalé d'une demi-journée par rapport a la premiere version du plan, le bloc Supabase de Marie-Thérèse se terminant désormais vendredi matin.</w:t>
            </w:r>
          </w:p>
        </w:tc>
      </w:tr>
      <w:tr>
        <w:tc>
          <w:tcPr>
            <w:tcW w:type="dxa" w:w="4252"/>
          </w:tcPr>
          <w:p>
            <w:r/>
            <w:r>
              <w:rPr>
                <w:sz w:val="20"/>
              </w:rPr>
              <w:t>Remplacer/limiter les emojis par une iconographie cohérente, revoir espacements et contrastes (en particulier sidebar et aperçu PDF).</w:t>
            </w:r>
          </w:p>
        </w:tc>
        <w:tc>
          <w:tcPr>
            <w:tcW w:type="dxa" w:w="1814"/>
          </w:tcPr>
          <w:p>
            <w:r/>
            <w:r>
              <w:rPr>
                <w:sz w:val="20"/>
              </w:rPr>
              <w:t>Sam 29 août</w:t>
            </w:r>
          </w:p>
        </w:tc>
        <w:tc>
          <w:tcPr>
            <w:tcW w:type="dxa" w:w="1020"/>
          </w:tcPr>
          <w:p>
            <w:r/>
            <w:r>
              <w:rPr>
                <w:sz w:val="20"/>
              </w:rPr>
              <w:t>0,5 j</w:t>
            </w:r>
          </w:p>
        </w:tc>
        <w:tc>
          <w:tcPr>
            <w:tcW w:type="dxa" w:w="3685"/>
          </w:tcPr>
          <w:p>
            <w:r/>
            <w:r>
              <w:rPr>
                <w:sz w:val="20"/>
              </w:rPr>
              <w:t>Finitions visuelles générales.</w:t>
            </w:r>
          </w:p>
        </w:tc>
      </w:tr>
      <w:tr>
        <w:tc>
          <w:tcPr>
            <w:tcW w:type="dxa" w:w="4252"/>
          </w:tcPr>
          <w:p>
            <w:r/>
            <w:r>
              <w:rPr>
                <w:sz w:val="20"/>
              </w:rPr>
              <w:t>Corriger le bug confirmé dans generer_pdf() : le champ « Objet du prêt » affiche actuellement « {objet} mois » (copier-coller de la ligne Durée).</w:t>
            </w:r>
          </w:p>
        </w:tc>
        <w:tc>
          <w:tcPr>
            <w:tcW w:type="dxa" w:w="1814"/>
          </w:tcPr>
          <w:p>
            <w:r/>
            <w:r>
              <w:rPr>
                <w:sz w:val="20"/>
              </w:rPr>
              <w:t>Sam 29 août</w:t>
            </w:r>
          </w:p>
        </w:tc>
        <w:tc>
          <w:tcPr>
            <w:tcW w:type="dxa" w:w="1020"/>
          </w:tcPr>
          <w:p>
            <w:r/>
            <w:r>
              <w:rPr>
                <w:sz w:val="20"/>
              </w:rPr>
              <w:t>0,5 j</w:t>
            </w:r>
          </w:p>
        </w:tc>
        <w:tc>
          <w:tcPr>
            <w:tcW w:type="dxa" w:w="3685"/>
          </w:tcPr>
          <w:p>
            <w:r/>
            <w:r>
              <w:rPr>
                <w:sz w:val="20"/>
              </w:rPr>
              <w:t>Bug concret déjà identifié, correction rapide.</w:t>
            </w:r>
          </w:p>
        </w:tc>
      </w:tr>
      <w:tr>
        <w:tc>
          <w:tcPr>
            <w:tcW w:type="dxa" w:w="4252"/>
          </w:tcPr>
          <w:p>
            <w:r/>
            <w:r>
              <w:rPr>
                <w:sz w:val="20"/>
              </w:rPr>
              <w:t>Corriger app/README.md (référence « streamlit run app.py » alors que le fichier s'appelle app_v2.py) et mettre à jour avec le nouveau nom de l'app.</w:t>
            </w:r>
          </w:p>
        </w:tc>
        <w:tc>
          <w:tcPr>
            <w:tcW w:type="dxa" w:w="1814"/>
          </w:tcPr>
          <w:p>
            <w:r/>
            <w:r>
              <w:rPr>
                <w:sz w:val="20"/>
              </w:rPr>
              <w:t>Sam 29 août</w:t>
            </w:r>
          </w:p>
        </w:tc>
        <w:tc>
          <w:tcPr>
            <w:tcW w:type="dxa" w:w="1020"/>
          </w:tcPr>
          <w:p>
            <w:r/>
            <w:r>
              <w:rPr>
                <w:sz w:val="20"/>
              </w:rPr>
              <w:t>-</w:t>
            </w:r>
          </w:p>
        </w:tc>
        <w:tc>
          <w:tcPr>
            <w:tcW w:type="dxa" w:w="3685"/>
          </w:tcPr>
          <w:p>
            <w:r/>
            <w:r>
              <w:rPr>
                <w:sz w:val="20"/>
              </w:rPr>
              <w:t>Cohérence documentaire — évite qu'un lecteur externe (jury) suive une commande fausse.</w:t>
            </w:r>
          </w:p>
        </w:tc>
      </w:tr>
      <w:tr>
        <w:tc>
          <w:tcPr>
            <w:tcW w:type="dxa" w:w="4252"/>
          </w:tcPr>
          <w:p>
            <w:r/>
            <w:r>
              <w:rPr>
                <w:sz w:val="20"/>
              </w:rPr>
              <w:t>Retirer le bloc de debug temporaire ajouté cette semaine dans app_v2.py (affiche le vecteur de features et des appels predict_proba bruts).</w:t>
            </w:r>
          </w:p>
        </w:tc>
        <w:tc>
          <w:tcPr>
            <w:tcW w:type="dxa" w:w="1814"/>
          </w:tcPr>
          <w:p>
            <w:r/>
            <w:r>
              <w:rPr>
                <w:sz w:val="20"/>
              </w:rPr>
              <w:t>Sam 29 août, une fois le bug du score confirmé résolu</w:t>
            </w:r>
          </w:p>
        </w:tc>
        <w:tc>
          <w:tcPr>
            <w:tcW w:type="dxa" w:w="1020"/>
          </w:tcPr>
          <w:p>
            <w:r/>
            <w:r>
              <w:rPr>
                <w:sz w:val="20"/>
              </w:rPr>
              <w:t>0,5 j</w:t>
            </w:r>
          </w:p>
        </w:tc>
        <w:tc>
          <w:tcPr>
            <w:tcW w:type="dxa" w:w="3685"/>
          </w:tcPr>
          <w:p>
            <w:r/>
            <w:r>
              <w:rPr>
                <w:sz w:val="20"/>
              </w:rPr>
              <w:t>Ne doit pas apparaître dans la version finale/soutenance — expose des détails internes du modèle sur une app publique.</w:t>
            </w:r>
          </w:p>
        </w:tc>
      </w:tr>
      <w:tr>
        <w:tc>
          <w:tcPr>
            <w:tcW w:type="dxa" w:w="4252"/>
          </w:tcPr>
          <w:p>
            <w:r/>
            <w:r>
              <w:rPr>
                <w:sz w:val="20"/>
              </w:rPr>
              <w:t>Retester le parcours complet (connexion → nouvelle demande → résultats → export PDF, y compris la persistance Supabase) après intégration de TOUS les correctifs de l'équipe, sur l'app déployée.</w:t>
            </w:r>
          </w:p>
        </w:tc>
        <w:tc>
          <w:tcPr>
            <w:tcW w:type="dxa" w:w="1814"/>
          </w:tcPr>
          <w:p>
            <w:r/>
            <w:r>
              <w:rPr>
                <w:sz w:val="20"/>
              </w:rPr>
              <w:t>Dim 30 août</w:t>
            </w:r>
          </w:p>
        </w:tc>
        <w:tc>
          <w:tcPr>
            <w:tcW w:type="dxa" w:w="1020"/>
          </w:tcPr>
          <w:p>
            <w:r/>
            <w:r>
              <w:rPr>
                <w:sz w:val="20"/>
              </w:rPr>
              <w:t>1 j</w:t>
            </w:r>
          </w:p>
        </w:tc>
        <w:tc>
          <w:tcPr>
            <w:tcW w:type="dxa" w:w="3685"/>
          </w:tcPr>
          <w:p>
            <w:r/>
            <w:r>
              <w:rPr>
                <w:sz w:val="20"/>
              </w:rPr>
              <w:t>Vérifier l'absence de régression avant la marge finale de rédaction/relecture — même logique que les « tests finaux » déjà faits en semaine 4.</w:t>
            </w:r>
          </w:p>
        </w:tc>
      </w:tr>
    </w:tbl>
    <w:p/>
    <w:p>
      <w:pPr>
        <w:pStyle w:val="Heading1"/>
      </w:pPr>
      <w:r>
        <w:rPr>
          <w:color w:val="1B2A4A"/>
        </w:rPr>
        <w:t>5. Ordre de succession (points de vigilance)</w:t>
      </w:r>
    </w:p>
    <w:p>
      <w:pPr>
        <w:pStyle w:val="ListBullet"/>
      </w:pPr>
      <w:r>
        <w:t>La décision de persistance (section 1) est actée — Marie-Thérèse peut démarrer directement la création du projet Supabase dimanche, sans attendre de validation supplémentaire.</w:t>
      </w:r>
    </w:p>
    <w:p>
      <w:pPr>
        <w:pStyle w:val="ListBullet"/>
      </w:pPr>
      <w:r>
        <w:t>app/app_v2.py est touché par les trois personnes cette semaine, exactement comme en semaine 4 où plusieurs conflits ont déjà eu lieu. Séquence recommandée : (1) Marie-Thérèse d'abord — modifications structurelles profondes ; (2) Andy ensuite — modifications localisées à la section résultats et à shap_view.py ; (3) Aristide en dernier pour l'intégration du style — traverse tout le fichier, donc plus sûre une fois le fond stabilisé. Le choix du nom/logo/palette par Aristide (section 4, dimanche-lundi) ne casse pas cette règle puisqu'il ne touche pas encore le code.</w:t>
      </w:r>
    </w:p>
    <w:p>
      <w:pPr>
        <w:pStyle w:val="ListBullet"/>
      </w:pPr>
      <w:r>
        <w:t>Si le calendrier ne permet pas ce séquencement strict, chacun doit pull fréquemment (au moins une fois par jour) et committer par petits blocs plutôt qu'un seul gros commit en fin de semaine — leçon retenue des fusions de cette semaine (Andy et Marie-Thérèse avaient chacun légèrement divergé de la branche aristide avant de fusionner).</w:t>
      </w:r>
    </w:p>
    <w:p>
      <w:pPr>
        <w:pStyle w:val="ListBullet"/>
      </w:pPr>
      <w:r>
        <w:t>Le retrait du bloc de debug (Aristide) doit se faire seulement après confirmation définitive que le bug du score constant est résolu sur le déploiement — pas avant, au cas où il faille encore l'utiliser pour diagnostiquer.</w:t>
      </w:r>
    </w:p>
    <w:p/>
    <w:p>
      <w:pPr>
        <w:pStyle w:val="Heading1"/>
      </w:pPr>
      <w:r>
        <w:rPr>
          <w:color w:val="1B2A4A"/>
        </w:rPr>
        <w:t>6. Point d'équipe</w:t>
      </w:r>
    </w:p>
    <w:p>
      <w:r>
        <w:rPr>
          <w:b w:val="0"/>
          <w:i w:val="0"/>
        </w:rPr>
        <w:t>Mercredi 26 août : point d'avancement à mi-semaine — vérifier en priorité que la migration Supabase (Marie-Thérèse) tient le calendrier, puisque c'est elle qui conditionne le démarrage de l'intégration du style (Aristide) et la marge de fin de semaine. Si retard constaté, décider immédiatement du repli prévu en section 8 plutôt que d'attendre vendredi.</w:t>
      </w:r>
    </w:p>
    <w:p/>
    <w:p>
      <w:pPr>
        <w:pStyle w:val="Heading1"/>
      </w:pPr>
      <w:r>
        <w:rPr>
          <w:color w:val="1B2A4A"/>
        </w:rPr>
        <w:t>7. Livrable de fin de semaine</w:t>
      </w:r>
    </w:p>
    <w:p>
      <w:r>
        <w:rPr>
          <w:b w:val="0"/>
          <w:i w:val="0"/>
        </w:rPr>
        <w:t>Application déployée sur Streamlit Community Cloud, sans le bloc de debug, avec :</w:t>
      </w:r>
    </w:p>
    <w:p>
      <w:pPr>
        <w:pStyle w:val="ListBullet"/>
      </w:pPr>
      <w:r>
        <w:t>authentification réelle (connexion + inscription) branchée sur Supabase ;</w:t>
      </w:r>
    </w:p>
    <w:p>
      <w:pPr>
        <w:pStyle w:val="ListBullet"/>
      </w:pPr>
      <w:r>
        <w:t>dashboard et historique connectés à de vraies données, persistantes entre deux redéploiements (section 1) ;</w:t>
      </w:r>
    </w:p>
    <w:p>
      <w:pPr>
        <w:pStyle w:val="ListBullet"/>
      </w:pPr>
      <w:r>
        <w:t>terminologie « montant disponible » harmonisée et logique de mensualité corrigée ;</w:t>
      </w:r>
    </w:p>
    <w:p>
      <w:pPr>
        <w:pStyle w:val="ListBullet"/>
      </w:pPr>
      <w:r>
        <w:t>graphiques SHAP accompagnés de légendes/tooltips et d'un texte d'interprétation automatique ;</w:t>
      </w:r>
    </w:p>
    <w:p>
      <w:pPr>
        <w:pStyle w:val="ListBullet"/>
      </w:pPr>
      <w:r>
        <w:t>nouvelle identité visuelle (nom, logo, palette, typographie) sur toutes les pages et le PDF ;</w:t>
      </w:r>
    </w:p>
    <w:p>
      <w:pPr>
        <w:pStyle w:val="ListBullet"/>
      </w:pPr>
      <w:r>
        <w:t>bug « Objet du prêt » du PDF corrigé, README à jour ;</w:t>
      </w:r>
    </w:p>
    <w:p>
      <w:pPr>
        <w:pStyle w:val="ListBullet"/>
      </w:pPr>
      <w:r>
        <w:t>parcours complet retesté sans régression, y compris la persistance Supabase.</w:t>
      </w:r>
    </w:p>
    <w:p>
      <w:r>
        <w:rPr>
          <w:b w:val="0"/>
          <w:i/>
        </w:rPr>
        <w:t>Marge réduite à la soirée du 30 et au 31 août pour la rédaction/finalisation du rapport académique et la préparation de la soutenance — nettement plus courte que la marge initialement prévue (29-31 août), du fait du travail supplémentaire qu'impose une vraie persistance (section 1 et 8). Pas de nouveaux correctifs après le 30 août, sauf urgence critique découverte au retest.</w:t>
      </w:r>
    </w:p>
    <w:p/>
    <w:p>
      <w:pPr>
        <w:pStyle w:val="Heading1"/>
      </w:pPr>
      <w:r>
        <w:rPr>
          <w:color w:val="1B2A4A"/>
        </w:rPr>
        <w:t>8. Risques et plan de repli</w:t>
      </w:r>
    </w:p>
    <w:p>
      <w:r>
        <w:rPr>
          <w:b w:val="0"/>
          <w:i w:val="0"/>
        </w:rPr>
        <w:t>Le choix d'une vraie persistance (section 1) est la bonne décision sur le fond, mais elle consomme une partie de la marge qui restait avant la deadline du 31 août — la migration vers Supabase est un chantier d'infrastructure nouveau pour l'équipe, avec plus d'inconnues qu'un simple fichier SQLite local.</w:t>
      </w:r>
    </w:p>
    <w:p>
      <w:pPr>
        <w:pStyle w:val="ListBullet"/>
      </w:pPr>
      <w:r>
        <w:t>Point de vigilance principal : le bloc Supabase de Marie-Thérèse (sections 1 et 2) est sur le chemin critique — tout retard s'y répercute directement sur le début du travail d'Aristide, puis sur la marge de fin de semaine.</w:t>
      </w:r>
    </w:p>
    <w:p>
      <w:pPr>
        <w:pStyle w:val="ListBullet"/>
      </w:pPr>
      <w:r>
        <w:t>Plan de repli si retard constaté au point d'équipe du mercredi 26 août : limiter la persistance Supabase à la table demandes (l'essentiel pour le dashboard/historique) et reporter l'authentification réelle sur Supabase après le 31 août si nécessaire, en gardant temporairement l'authentification actuelle. Décision à prendre en équipe à ce moment-là, pas unilatéralement.</w:t>
      </w:r>
    </w:p>
    <w:p>
      <w:pPr>
        <w:pStyle w:val="ListBullet"/>
      </w:pPr>
      <w:r>
        <w:t>Ne pas sacrifier le retest final (section 4, dimanche 30 août) pour gagner du temps ailleurs : une régression non détectée avant la soutenance coûte plus cher qu'un correctif esthétique manquant.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