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Scoring Crédit Cameroun</w:t>
      </w:r>
    </w:p>
    <w:p>
      <w:pPr>
        <w:jc w:val="center"/>
      </w:pPr>
      <w:r>
        <w:rPr>
          <w:i/>
          <w:sz w:val="28"/>
        </w:rPr>
        <w:t>Analyse du dataset et plan de réalisation (29 juillet – 31 août 2026)</w:t>
      </w:r>
    </w:p>
    <w:p>
      <w:pPr>
        <w:jc w:val="center"/>
      </w:pPr>
      <w:r>
        <w:rPr>
          <w:sz w:val="22"/>
        </w:rPr>
        <w:t>Projet de fin d'études — IUT de Douala</w:t>
        <w:br/>
        <w:t>Équipe : Aristide Mfoloum, Andy, Marie-Thérèse (rôles équivalents)</w:t>
        <w:br/>
        <w:t>Document préparé avec l'aide de Claude — 29 juillet 2026</w:t>
        <w:br/>
        <w:t>Deadline projet : 31 août 2026</w:t>
      </w:r>
    </w:p>
    <w:p>
      <w:r>
        <w:br w:type="page"/>
      </w:r>
    </w:p>
    <w:p>
      <w:pPr>
        <w:pStyle w:val="Heading1"/>
      </w:pPr>
      <w:r>
        <w:t>Sommaire</w:t>
      </w:r>
    </w:p>
    <w:p>
      <w:pPr>
        <w:pStyle w:val="ListBullet"/>
      </w:pPr>
      <w:r>
        <w:t>1. Contexte et périmètre du projet</w:t>
      </w:r>
    </w:p>
    <w:p>
      <w:pPr>
        <w:pStyle w:val="ListBullet"/>
      </w:pPr>
      <w:r>
        <w:t>2. Analyse franche du dataset camerounais</w:t>
      </w:r>
    </w:p>
    <w:p>
      <w:pPr>
        <w:pStyle w:val="ListBullet"/>
      </w:pPr>
      <w:r>
        <w:t>3. Décisions prises / à prendre sur le dataset</w:t>
      </w:r>
    </w:p>
    <w:p>
      <w:pPr>
        <w:pStyle w:val="ListBullet"/>
      </w:pPr>
      <w:r>
        <w:t>4. Variables utilisées pour l'analyse du risque vs variables exclues</w:t>
      </w:r>
    </w:p>
    <w:p>
      <w:pPr>
        <w:pStyle w:val="ListBullet"/>
      </w:pPr>
      <w:r>
        <w:t>5. Nouveau calendrier de réalisation (4 semaines + marge)</w:t>
      </w:r>
    </w:p>
    <w:p>
      <w:pPr>
        <w:pStyle w:val="ListBullet"/>
      </w:pPr>
      <w:r>
        <w:t>6. Répartition des rôles et principe d'équilibrage</w:t>
      </w:r>
    </w:p>
    <w:p>
      <w:pPr>
        <w:pStyle w:val="ListBullet"/>
      </w:pPr>
      <w:r>
        <w:t>7. Outils et organisation</w:t>
      </w:r>
    </w:p>
    <w:p>
      <w:r>
        <w:br w:type="page"/>
      </w:r>
    </w:p>
    <w:p>
      <w:pPr>
        <w:pStyle w:val="Heading1"/>
      </w:pPr>
      <w:r>
        <w:t>1. Contexte et périmètre du projet</w:t>
      </w:r>
    </w:p>
    <w:p>
      <w:pPr>
        <w:spacing w:after="120"/>
      </w:pPr>
      <w:r>
        <w:rPr>
          <w:b w:val="0"/>
          <w:i w:val="0"/>
          <w:sz w:val="22"/>
        </w:rPr>
        <w:t>Le projet vise à développer un modèle de scoring prédictif du risque de défaut de paiement, appliqué au secteur du crédit au Cameroun (banques traditionnelles et institutions de microfinance), avec restitution sous forme d'une application Streamlit permettant à un agent de crédit de saisir un profil client et d'obtenir un score de 0 à 100, une décision (Accordé / Étude approfondie / Refusé) et une explication du score.</w:t>
      </w:r>
    </w:p>
    <w:p>
      <w:pPr>
        <w:spacing w:after="120"/>
      </w:pPr>
      <w:r>
        <w:rPr>
          <w:b w:val="0"/>
          <w:i w:val="0"/>
          <w:sz w:val="22"/>
        </w:rPr>
        <w:t>Le périmètre retenu couvre tout type de crédit (pas uniquement le microcrédit au sens strict) : le terme « microcrédit » de la charte initiale désigne le type d'institution visée (organismes de microfinance), pas une contrainte sur la taille des prêts.</w:t>
      </w:r>
    </w:p>
    <w:p>
      <w:pPr>
        <w:spacing w:after="120"/>
      </w:pPr>
      <w:r>
        <w:rPr>
          <w:b w:val="0"/>
          <w:i w:val="0"/>
          <w:sz w:val="22"/>
        </w:rPr>
        <w:t>Précision importante actée le 29 juillet 2026 : l'application doit se prononcer sur l'octroi d'un crédit EN GÉNÉRAL, pour des besoins variés (consommation, commerce, agriculture, trésorerie, scolarité, santé...), et non sur un crédit immobilier en particulier. Or le dataset source est un dataset de prêts immobiliers américains (valeur de bien, ratio prêt/valeur, type d'occupation, type de construction). C'est pour cette raison que les champs propres au crédit immobilier sont explicitement sortis du périmètre du modèle principal (voir section 2.2 et section 4) : ils ne représentent pas le produit visé, et l'un d'entre eux (la valeur du bien) s'est révélé porteur d'une fuite de données majeure.</w:t>
      </w:r>
    </w:p>
    <w:p>
      <w:pPr>
        <w:spacing w:after="120"/>
      </w:pPr>
      <w:r>
        <w:rPr>
          <w:b w:val="0"/>
          <w:i w:val="0"/>
          <w:sz w:val="22"/>
        </w:rPr>
        <w:t>Ce document ne couvre que les tâches liées à la réalisation technique de l'application (données, modélisation, application). La rédaction du rapport académique n'est pas détaillée ici : elle reste portée par l'équipe pendant la semaine de marge avant la deadline du 31 août 2026.</w:t>
      </w:r>
    </w:p>
    <w:p>
      <w:pPr>
        <w:pStyle w:val="Heading1"/>
      </w:pPr>
      <w:r>
        <w:t>2. Analyse franche du dataset camerounais</w:t>
      </w:r>
    </w:p>
    <w:p>
      <w:pPr>
        <w:spacing w:after="120"/>
      </w:pPr>
      <w:r>
        <w:rPr>
          <w:b w:val="0"/>
          <w:i w:val="0"/>
          <w:sz w:val="22"/>
        </w:rPr>
        <w:t>Cette analyse porte sur trois fichiers : le dataset source Kaggle (Loan_Default.csv, 148 670 lignes), sa traduction camerounaise produite par Aristide (Loan_Default_Cameroun.csv, 34 colonnes, script 02_traduction_camerounaise.py) et la version enrichie de 8 variables contextuelles produite par Marie-Thérèse (Loan_Default_Cameroun_Enrichi.csv, 42 colonnes). L'analyse repose sur une lecture du code de traduction et sur un profilage statistique réel des 148 670 lignes (distributions et taux de défaut croisés par variable), pas seulement sur la documentation fournie.</w:t>
      </w:r>
    </w:p>
    <w:p>
      <w:pPr>
        <w:pStyle w:val="Heading2"/>
      </w:pPr>
      <w:r>
        <w:t>2.1 Ce qui est solide</w:t>
      </w:r>
    </w:p>
    <w:p>
      <w:pPr>
        <w:pStyle w:val="ListBullet"/>
      </w:pPr>
      <w:r>
        <w:t>Le facteur d'échelle monétaire (FACTEUR_ECHELLE = 20) appliqué aux colonnes financières n'est pas un taux de change brut USD/FCFA : il est calibré pour que le revenu mensuel médian obtenu se rapproche du salaire moyen formel camerounais (≈ 120 000 FCFA/mois), tout en préservant les ratios internes du dataset (LTV, ratio d'endettement, ratio prêt/revenu). C'est une hypothèse méthodologique explicite et documentée dans le code — un point fort, à conserver et à expliciter tel quel dans le rapport final.</w:t>
      </w:r>
    </w:p>
    <w:p>
      <w:pPr>
        <w:pStyle w:val="ListBullet"/>
      </w:pPr>
      <w:r>
        <w:t>Le renommage des colonnes (anglais → français) et le nettoyage initial (suppression des doublons) sont faits et versionnés dans le dépôt Git (scripts 01 et 02).</w:t>
      </w:r>
    </w:p>
    <w:p>
      <w:pPr>
        <w:pStyle w:val="ListBullet"/>
      </w:pPr>
      <w:r>
        <w:t>Parmi les 8 variables contextuelles ajoutées, secteur_activite porte un vrai signal discriminant, non redondant avec les autres colonnes.</w:t>
      </w:r>
    </w:p>
    <w:p>
      <w:pPr>
        <w:pStyle w:val="Heading2"/>
      </w:pPr>
      <w:r>
        <w:t>2.2 Découverte majeure : fuite massive dans property_value / LTV</w:t>
      </w:r>
    </w:p>
    <w:p>
      <w:pPr>
        <w:spacing w:after="120"/>
      </w:pPr>
      <w:r>
        <w:rPr>
          <w:b w:val="0"/>
          <w:i w:val="0"/>
          <w:sz w:val="22"/>
        </w:rPr>
        <w:t>En creusant la question du périmètre « crédit en général plutôt qu'immobilier » posée par Aristide le 29 juillet 2026, une vérification directe sur les 148 670 lignes du dataset source a révélé un problème plus grave que tout ce qui avait été identifié jusqu'ici — plus grave que les problèmes des 8 variables enrichies (section 2.3) :</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2E5395"/>
          </w:tcPr>
          <w:p>
            <w:r>
              <w:rPr>
                <w:b/>
                <w:color w:val="FFFFFF"/>
              </w:rPr>
              <w:t>Sous-groupe</w:t>
            </w:r>
          </w:p>
        </w:tc>
        <w:tc>
          <w:tcPr>
            <w:tcW w:type="dxa" w:w="2880"/>
            <w:shd w:val="clear" w:color="auto" w:fill="2E5395"/>
          </w:tcPr>
          <w:p>
            <w:r>
              <w:rPr>
                <w:b/>
                <w:color w:val="FFFFFF"/>
              </w:rPr>
              <w:t>Nombre de lignes</w:t>
            </w:r>
          </w:p>
        </w:tc>
        <w:tc>
          <w:tcPr>
            <w:tcW w:type="dxa" w:w="2880"/>
            <w:shd w:val="clear" w:color="auto" w:fill="2E5395"/>
          </w:tcPr>
          <w:p>
            <w:r>
              <w:rPr>
                <w:b/>
                <w:color w:val="FFFFFF"/>
              </w:rPr>
              <w:t>Taux de défaut</w:t>
            </w:r>
          </w:p>
        </w:tc>
      </w:tr>
      <w:tr>
        <w:tc>
          <w:tcPr>
            <w:tcW w:type="dxa" w:w="2880"/>
          </w:tcPr>
          <w:p>
            <w:r>
              <w:t>Lignes avec valeur_bien_fcfa renseignée</w:t>
            </w:r>
          </w:p>
        </w:tc>
        <w:tc>
          <w:tcPr>
            <w:tcW w:type="dxa" w:w="2880"/>
          </w:tcPr>
          <w:p>
            <w:r>
              <w:t>133 572 (89,8 %)</w:t>
            </w:r>
          </w:p>
        </w:tc>
        <w:tc>
          <w:tcPr>
            <w:tcW w:type="dxa" w:w="2880"/>
          </w:tcPr>
          <w:p>
            <w:r>
              <w:t>16,1 %</w:t>
            </w:r>
          </w:p>
        </w:tc>
      </w:tr>
      <w:tr>
        <w:tc>
          <w:tcPr>
            <w:tcW w:type="dxa" w:w="2880"/>
          </w:tcPr>
          <w:p>
            <w:r>
              <w:t>Lignes avec valeur_bien_fcfa manquante</w:t>
            </w:r>
          </w:p>
        </w:tc>
        <w:tc>
          <w:tcPr>
            <w:tcW w:type="dxa" w:w="2880"/>
          </w:tcPr>
          <w:p>
            <w:r>
              <w:t>15 098 (10,2 %)</w:t>
            </w:r>
          </w:p>
        </w:tc>
        <w:tc>
          <w:tcPr>
            <w:tcW w:type="dxa" w:w="2880"/>
          </w:tcPr>
          <w:p>
            <w:r>
              <w:t>100,0 %</w:t>
            </w:r>
          </w:p>
        </w:tc>
      </w:tr>
    </w:tbl>
    <w:p>
      <w:pPr>
        <w:spacing w:after="160"/>
      </w:pPr>
      <w:r>
        <w:rPr>
          <w:b w:val="0"/>
          <w:i w:val="0"/>
          <w:sz w:val="22"/>
        </w:rPr>
        <w:t>Ce n'est pas une coïncidence statistique : l'absence de valeur_bien_fcfa (et donc de ratio_pret_valeur, calculé à partir d'elle) encode presque directement le résultat. C'est très probablement un artefact de collecte du dataset source américain (la valeur du bien n'est plus mise à jour une fois qu'un prêt part en défaut/saisie), pas un signal de risque réel. Si ces colonnes restaient dans le modèle, celui-ci apprendrait en réalité à repérer « valeur manquante = défaut » plutôt qu'un vrai facteur de risque — un modèle qui semblerait presque parfait en test, et qui serait immédiatement invalidé dès qu'un jury demanderait pourquoi.</w:t>
      </w:r>
    </w:p>
    <w:p>
      <w:pPr>
        <w:spacing w:after="200"/>
      </w:pPr>
      <w:r>
        <w:rPr>
          <w:b w:val="0"/>
          <w:i w:val="0"/>
          <w:sz w:val="22"/>
        </w:rPr>
        <w:t>Décision : valeur_bien_fcfa, ratio_pret_valeur (LTV), type_construction, type_occupation, nombre_unites, garanti_par et type_garantie sont retirés du modèle principal (voir section 4). Ceci règle la fuite ET répond directement au recadrage de périmètre : ces champs sont spécifiques au crédit immobilier garanti, pas au crédit en général.</w:t>
      </w:r>
    </w:p>
    <w:p>
      <w:pPr>
        <w:pStyle w:val="Heading2"/>
      </w:pPr>
      <w:r>
        <w:t>2.3 Autres problèmes identifiés (variables enrichies)</w:t>
      </w:r>
    </w:p>
    <w:p>
      <w:pPr>
        <w:spacing w:after="160"/>
      </w:pPr>
      <w:r>
        <w:rPr>
          <w:b w:val="0"/>
          <w:i w:val="0"/>
          <w:sz w:val="22"/>
        </w:rPr>
        <w:t>Le profilage statistique des 8 variables contextuelles camerounaises (croisement avec la variable cible statut_remboursement sur les 148 670 lignes) fait ressortir d'autres problèmes concrets, résumés ci-dessous.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2E5395"/>
          </w:tcPr>
          <w:p>
            <w:r>
              <w:rPr>
                <w:b/>
                <w:color w:val="FFFFFF"/>
              </w:rPr>
              <w:t>Variable</w:t>
            </w:r>
          </w:p>
        </w:tc>
        <w:tc>
          <w:tcPr>
            <w:tcW w:type="dxa" w:w="2880"/>
            <w:shd w:val="clear" w:color="auto" w:fill="2E5395"/>
          </w:tcPr>
          <w:p>
            <w:r>
              <w:rPr>
                <w:b/>
                <w:color w:val="FFFFFF"/>
              </w:rPr>
              <w:t>Constat</w:t>
            </w:r>
          </w:p>
        </w:tc>
        <w:tc>
          <w:tcPr>
            <w:tcW w:type="dxa" w:w="2880"/>
            <w:shd w:val="clear" w:color="auto" w:fill="2E5395"/>
          </w:tcPr>
          <w:p>
            <w:r>
              <w:rPr>
                <w:b/>
                <w:color w:val="FFFFFF"/>
              </w:rPr>
              <w:t>Preuve chiffrée</w:t>
            </w:r>
          </w:p>
        </w:tc>
      </w:tr>
      <w:tr>
        <w:tc>
          <w:tcPr>
            <w:tcW w:type="dxa" w:w="2880"/>
          </w:tcPr>
          <w:p>
            <w:r>
              <w:t>statut_remboursement_label</w:t>
            </w:r>
          </w:p>
        </w:tc>
        <w:tc>
          <w:tcPr>
            <w:tcW w:type="dxa" w:w="2880"/>
          </w:tcPr>
          <w:p>
            <w:r>
              <w:t>Fuite de la cible (leakage)</w:t>
            </w:r>
          </w:p>
        </w:tc>
        <w:tc>
          <w:tcPr>
            <w:tcW w:type="dxa" w:w="2880"/>
          </w:tcPr>
          <w:p>
            <w:r>
              <w:t>Doublon exact de statut_remboursement : 75,36 % / 24,64 % dans les deux colonnes, ligne pour ligne.</w:t>
            </w:r>
          </w:p>
        </w:tc>
      </w:tr>
      <w:tr>
        <w:tc>
          <w:tcPr>
            <w:tcW w:type="dxa" w:w="2880"/>
          </w:tcPr>
          <w:p>
            <w:r>
              <w:t>zone_geographique</w:t>
            </w:r>
          </w:p>
        </w:tc>
        <w:tc>
          <w:tcPr>
            <w:tcW w:type="dxa" w:w="2880"/>
          </w:tcPr>
          <w:p>
            <w:r>
              <w:t>Redondance totale avec region_cameroun</w:t>
            </w:r>
          </w:p>
        </w:tc>
        <w:tc>
          <w:tcPr>
            <w:tcW w:type="dxa" w:w="2880"/>
          </w:tcPr>
          <w:p>
            <w:r>
              <w:t>Correspondance déterministe 1:1 sur les 148 670 lignes (chaque région ne produit qu'une seule zone).</w:t>
            </w:r>
          </w:p>
        </w:tc>
      </w:tr>
      <w:tr>
        <w:tc>
          <w:tcPr>
            <w:tcW w:type="dxa" w:w="2880"/>
          </w:tcPr>
          <w:p>
            <w:r>
              <w:t>membre_tontine</w:t>
            </w:r>
          </w:p>
        </w:tc>
        <w:tc>
          <w:tcPr>
            <w:tcW w:type="dxa" w:w="2880"/>
          </w:tcPr>
          <w:p>
            <w:r>
              <w:t>Aucun signal (bruit)</w:t>
            </w:r>
          </w:p>
        </w:tc>
        <w:tc>
          <w:tcPr>
            <w:tcW w:type="dxa" w:w="2880"/>
          </w:tcPr>
          <w:p>
            <w:r>
              <w:t>Taux de défaut quasi identique Oui/Non : 24,8 % vs 24,6 %.</w:t>
            </w:r>
          </w:p>
        </w:tc>
      </w:tr>
      <w:tr>
        <w:tc>
          <w:tcPr>
            <w:tcW w:type="dxa" w:w="2880"/>
          </w:tcPr>
          <w:p>
            <w:r>
              <w:t>utilisation_mobile_money</w:t>
            </w:r>
          </w:p>
        </w:tc>
        <w:tc>
          <w:tcPr>
            <w:tcW w:type="dxa" w:w="2880"/>
          </w:tcPr>
          <w:p>
            <w:r>
              <w:t>Aucun signal (bruit)</w:t>
            </w:r>
          </w:p>
        </w:tc>
        <w:tc>
          <w:tcPr>
            <w:tcW w:type="dxa" w:w="2880"/>
          </w:tcPr>
          <w:p>
            <w:r>
              <w:t>Taux de défaut plat sur les 3 catégories : 24,5 % à 24,9 %.</w:t>
            </w:r>
          </w:p>
        </w:tc>
      </w:tr>
      <w:tr>
        <w:tc>
          <w:tcPr>
            <w:tcW w:type="dxa" w:w="2880"/>
          </w:tcPr>
          <w:p>
            <w:r>
              <w:t>activite_saisonniere</w:t>
            </w:r>
          </w:p>
        </w:tc>
        <w:tc>
          <w:tcPr>
            <w:tcW w:type="dxa" w:w="2880"/>
          </w:tcPr>
          <w:p>
            <w:r>
              <w:t>Aucun signal (bruit)</w:t>
            </w:r>
          </w:p>
        </w:tc>
        <w:tc>
          <w:tcPr>
            <w:tcW w:type="dxa" w:w="2880"/>
          </w:tcPr>
          <w:p>
            <w:r>
              <w:t>Taux de défaut plat : 24,1 % vs 25,0 %.</w:t>
            </w:r>
          </w:p>
        </w:tc>
      </w:tr>
      <w:tr>
        <w:tc>
          <w:tcPr>
            <w:tcW w:type="dxa" w:w="2880"/>
          </w:tcPr>
          <w:p>
            <w:r>
              <w:t>niveau_education</w:t>
            </w:r>
          </w:p>
        </w:tc>
        <w:tc>
          <w:tcPr>
            <w:tcW w:type="dxa" w:w="2880"/>
          </w:tcPr>
          <w:p>
            <w:r>
              <w:t>Aucun signal (bruit)</w:t>
            </w:r>
          </w:p>
        </w:tc>
        <w:tc>
          <w:tcPr>
            <w:tcW w:type="dxa" w:w="2880"/>
          </w:tcPr>
          <w:p>
            <w:r>
              <w:t>Taux de défaut plat sur les 4 niveaux : 24,0 % à 25,5 %.</w:t>
            </w:r>
          </w:p>
        </w:tc>
      </w:tr>
      <w:tr>
        <w:tc>
          <w:tcPr>
            <w:tcW w:type="dxa" w:w="2880"/>
          </w:tcPr>
          <w:p>
            <w:r>
              <w:t>categorie_risque</w:t>
            </w:r>
          </w:p>
        </w:tc>
        <w:tc>
          <w:tcPr>
            <w:tcW w:type="dxa" w:w="2880"/>
          </w:tcPr>
          <w:p>
            <w:r>
              <w:t>Proxy suspect, risque de fuite</w:t>
            </w:r>
          </w:p>
        </w:tc>
        <w:tc>
          <w:tcPr>
            <w:tcW w:type="dxa" w:w="2880"/>
          </w:tcPr>
          <w:p>
            <w:r>
              <w:t>Ordre interne non monotone : « Faible risque » affiche 16,5 % de défaut, soit plus que « Risque modéré » (13,5 %).</w:t>
            </w:r>
          </w:p>
        </w:tc>
      </w:tr>
      <w:tr>
        <w:tc>
          <w:tcPr>
            <w:tcW w:type="dxa" w:w="2880"/>
          </w:tcPr>
          <w:p>
            <w:r>
              <w:t>region_cameroun</w:t>
            </w:r>
          </w:p>
        </w:tc>
        <w:tc>
          <w:tcPr>
            <w:tcW w:type="dxa" w:w="2880"/>
          </w:tcPr>
          <w:p>
            <w:r>
              <w:t>Couverture partielle, distribution héritée</w:t>
            </w:r>
          </w:p>
        </w:tc>
        <w:tc>
          <w:tcPr>
            <w:tcW w:type="dxa" w:w="2880"/>
          </w:tcPr>
          <w:p>
            <w:r>
              <w:t>Seulement 4 régions sur les 10 régions du Cameroun (Centre 50 %, Littoral 43 %, Ouest 6 %, Nord 0,8 %) : remapping fixe des 4 régions US d'origine. Complement du 30 juillet : le gradient de defaut observe (22,5 % Centre a 30,4 % Nord) est statistiquement reel mais herite du remapping fixe des 4 regions US d'origine (south/North/central/North-East) — il reflete un effet regional americain reetiquete, pas un mecanisme camerounais reel. L'estimation pour Nord repose en outre sur seulement 1235 lignes (0,8 % du dataset).</w:t>
            </w:r>
          </w:p>
        </w:tc>
      </w:tr>
    </w:tbl>
    <w:p>
      <w:pPr>
        <w:spacing w:after="200"/>
      </w:pPr>
      <w:r>
        <w:rPr>
          <w:b w:val="0"/>
          <w:i w:val="0"/>
          <w:sz w:val="22"/>
        </w:rPr>
        <w:t>En synthèse : sur les 8 variables censées incarner la « contextualisation camerounaise » du projet, une seule (secteur_activite) apporte un signal prédictif réel et indépendant. Une constitue une fuite pure de la cible, une est un doublon d'une autre variable, quatre sont statistiquement du bruit (générées de façon aléatoire malgré la mention de « distributions réalistes » dans la documentation), et une (categorie_risque) est un indicateur composite dont la logique de construction n'est pas fiable en l'état.</w:t>
      </w:r>
    </w:p>
    <w:p>
      <w:pPr>
        <w:pStyle w:val="Heading2"/>
      </w:pPr>
      <w:r>
        <w:t>2.4 Autres points d'attention (mineurs)</w:t>
      </w:r>
    </w:p>
    <w:p>
      <w:pPr>
        <w:pStyle w:val="ListBullet"/>
      </w:pPr>
      <w:r>
        <w:t>Certaines valeurs catégorielles héritées du dataset source restent non traduites ou sans équivalent direct au Cameroun : type_construction (codes « sb »/« mh »), nombre_unites (« 1U »/« 2U »...), type_credit_bureau et type_credit_coemprunteur (codes de bureaux de crédit américains/génériques EXP/EQUI/CIB/CRIF, sans équivalent individuel direct au Cameroun). À documenter explicitement comme simplification méthodologique dans le dictionnaire de données.</w:t>
      </w:r>
    </w:p>
    <w:p>
      <w:pPr>
        <w:pStyle w:val="ListBullet"/>
      </w:pPr>
      <w:r>
        <w:t>Aucun des travaux d'Andy (fichier Power BI, description) ni de Marie-Thérèse (dataset enrichi, dictionnaires) n'est pour l'instant présent dans le dépôt Git : les branches andy et marie-therese sont vides. Ce n'est pas un problème de données mais un problème de méthode de travail, à corriger en priorité.</w:t>
      </w:r>
    </w:p>
    <w:p>
      <w:pPr>
        <w:pStyle w:val="Heading1"/>
      </w:pPr>
      <w:r>
        <w:t>3. Décisions sur le dataset (tranchées le 29 juillet 2026)</w:t>
      </w:r>
    </w:p>
    <w:p>
      <w:pPr>
        <w:spacing w:after="120"/>
      </w:pPr>
      <w:r>
        <w:rPr>
          <w:b w:val="0"/>
          <w:i w:val="0"/>
          <w:sz w:val="22"/>
        </w:rPr>
        <w:t>Décision déjà validée : le facteur d'échelle FACTEUR_ECHELLE = 20 et le périmètre « tout crédit » (pas uniquement microcrédit informel) sont conservés tels quels.</w:t>
      </w:r>
    </w:p>
    <w:p>
      <w:pPr>
        <w:spacing w:after="160"/>
      </w:pPr>
      <w:r>
        <w:rPr>
          <w:b w:val="0"/>
          <w:i w:val="0"/>
          <w:sz w:val="22"/>
        </w:rPr>
        <w:t>Les points suivants ont été tranchés avec Claude le 29 juillet 2026, précisément pour éviter que la Semaine 1 (voir section 5) ne se transforme en session de débat : chaque ligne est une règle prête à implémenter, pas une option à discuter en équipe.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2E5395"/>
          </w:tcPr>
          <w:p>
            <w:r>
              <w:rPr>
                <w:b/>
                <w:color w:val="FFFFFF"/>
              </w:rPr>
              <w:t>Variable</w:t>
            </w:r>
          </w:p>
        </w:tc>
        <w:tc>
          <w:tcPr>
            <w:tcW w:type="dxa" w:w="2880"/>
            <w:shd w:val="clear" w:color="auto" w:fill="2E5395"/>
          </w:tcPr>
          <w:p>
            <w:r>
              <w:rPr>
                <w:b/>
                <w:color w:val="FFFFFF"/>
              </w:rPr>
              <w:t>Décision</w:t>
            </w:r>
          </w:p>
        </w:tc>
        <w:tc>
          <w:tcPr>
            <w:tcW w:type="dxa" w:w="2880"/>
            <w:shd w:val="clear" w:color="auto" w:fill="2E5395"/>
          </w:tcPr>
          <w:p>
            <w:r>
              <w:rPr>
                <w:b/>
                <w:color w:val="FFFFFF"/>
              </w:rPr>
              <w:t>Règle concrète à implémenter</w:t>
            </w:r>
          </w:p>
        </w:tc>
      </w:tr>
      <w:tr>
        <w:tc>
          <w:tcPr>
            <w:tcW w:type="dxa" w:w="2880"/>
          </w:tcPr>
          <w:p>
            <w:r>
              <w:t>statut_remboursement_label</w:t>
            </w:r>
          </w:p>
        </w:tc>
        <w:tc>
          <w:tcPr>
            <w:tcW w:type="dxa" w:w="2880"/>
          </w:tcPr>
          <w:p>
            <w:r>
              <w:t>Supprimée du dataset v2</w:t>
            </w:r>
          </w:p>
        </w:tc>
        <w:tc>
          <w:tcPr>
            <w:tcW w:type="dxa" w:w="2880"/>
          </w:tcPr>
          <w:p>
            <w:r>
              <w:t>Recréée uniquement à la volée dans l'app pour l'affichage (mapping direct depuis statut_remboursement), jamais stockée comme colonne.</w:t>
            </w:r>
          </w:p>
        </w:tc>
      </w:tr>
      <w:tr>
        <w:tc>
          <w:tcPr>
            <w:tcW w:type="dxa" w:w="2880"/>
          </w:tcPr>
          <w:p>
            <w:r>
              <w:t>zone_geographique</w:t>
            </w:r>
          </w:p>
        </w:tc>
        <w:tc>
          <w:tcPr>
            <w:tcW w:type="dxa" w:w="2880"/>
          </w:tcPr>
          <w:p>
            <w:r>
              <w:t>Supprimee ; region_cameroun conservee telle quelle (4 regions) mais EXCLUE des features du modele le 30 juillet, pour la meme raison que le module immobilier : son gradient de defaut reflete l'effet regional americain herite du remapping fixe, pas un mecanisme camerounais reel. Reste dans le formulaire a titre descriptif uniquement (lieu de residence), comme niveau_education.</w:t>
            </w:r>
          </w:p>
        </w:tc>
        <w:tc>
          <w:tcPr>
            <w:tcW w:type="dxa" w:w="2880"/>
          </w:tcPr>
          <w:p>
            <w:r>
              <w:t>Aucune reconstruction de la variance urbain/rural : la couverture partielle (4/10 régions) est documentée comme hypothèse dans le rapport, pas corrigée dans ce calendrier.</w:t>
            </w:r>
          </w:p>
        </w:tc>
      </w:tr>
      <w:tr>
        <w:tc>
          <w:tcPr>
            <w:tcW w:type="dxa" w:w="2880"/>
          </w:tcPr>
          <w:p>
            <w:r>
              <w:t>membre_tontine</w:t>
            </w:r>
          </w:p>
        </w:tc>
        <w:tc>
          <w:tcPr>
            <w:tcW w:type="dxa" w:w="2880"/>
          </w:tcPr>
          <w:p>
            <w:r>
              <w:t>Regénérée, conditionnée sur secteur_activite ; confirmee EXCLUE des features du modele le 30 juillet (signal quasi nul verifie), conservee au formulaire a titre descriptif uniquement, comme niveau_education.</w:t>
            </w:r>
          </w:p>
        </w:tc>
        <w:tc>
          <w:tcPr>
            <w:tcW w:type="dxa" w:w="2880"/>
          </w:tcPr>
          <w:p>
            <w:r>
              <w:t>P(Oui) ≈ 55 % pour Agriculture / Petit commerce / Artisanat, ≈ 25 % pour Salarié formel / Commerce-Négoce / Profession libérale (tirage binomial autour de ces probabilités).</w:t>
            </w:r>
          </w:p>
        </w:tc>
      </w:tr>
      <w:tr>
        <w:tc>
          <w:tcPr>
            <w:tcW w:type="dxa" w:w="2880"/>
          </w:tcPr>
          <w:p>
            <w:r>
              <w:t>utilisation_mobile_money</w:t>
            </w:r>
          </w:p>
        </w:tc>
        <w:tc>
          <w:tcPr>
            <w:tcW w:type="dxa" w:w="2880"/>
          </w:tcPr>
          <w:p>
            <w:r>
              <w:t>Regénérée, conditionnée sur region_cameroun et niveau_education ; confirmee EXCLUE des features du modele le 30 juillet (signal quasi nul verifie), conservee au formulaire a titre descriptif uniquement, comme niveau_education.</w:t>
            </w:r>
          </w:p>
        </w:tc>
        <w:tc>
          <w:tcPr>
            <w:tcW w:type="dxa" w:w="2880"/>
          </w:tcPr>
          <w:p>
            <w:r>
              <w:t>Pénétration plus forte en zone urbaine (Centre/Littoral) et pour les niveaux d'éducation plus élevés ; 3 catégories inchangées.</w:t>
            </w:r>
          </w:p>
        </w:tc>
      </w:tr>
      <w:tr>
        <w:tc>
          <w:tcPr>
            <w:tcW w:type="dxa" w:w="2880"/>
          </w:tcPr>
          <w:p>
            <w:r>
              <w:t>activite_saisonniere</w:t>
            </w:r>
          </w:p>
        </w:tc>
        <w:tc>
          <w:tcPr>
            <w:tcW w:type="dxa" w:w="2880"/>
          </w:tcPr>
          <w:p>
            <w:r>
              <w:t>Regénérée, quasi-déterministe sur secteur_activite ; confirmee EXCLUE des features du modele le 30 juillet (signal quasi nul verifie), conservee au formulaire a titre descriptif uniquement, comme niveau_education.</w:t>
            </w:r>
          </w:p>
        </w:tc>
        <w:tc>
          <w:tcPr>
            <w:tcW w:type="dxa" w:w="2880"/>
          </w:tcPr>
          <w:p>
            <w:r>
              <w:t>Oui ≈ 85 % pour Agriculture, ≈ 35 % pour Petit commerce / Commerce-Négoce, ≈ 10 % pour Salarié formel / Profession libérale / Artisanat.</w:t>
            </w:r>
          </w:p>
        </w:tc>
      </w:tr>
      <w:tr>
        <w:tc>
          <w:tcPr>
            <w:tcW w:type="dxa" w:w="2880"/>
          </w:tcPr>
          <w:p>
            <w:r>
              <w:t>niveau_education</w:t>
            </w:r>
          </w:p>
        </w:tc>
        <w:tc>
          <w:tcPr>
            <w:tcW w:type="dxa" w:w="2880"/>
          </w:tcPr>
          <w:p>
            <w:r>
              <w:t>Conservée, mais EXCLUE des features du modèle</w:t>
            </w:r>
          </w:p>
        </w:tc>
        <w:tc>
          <w:tcPr>
            <w:tcW w:type="dxa" w:w="2880"/>
          </w:tcPr>
          <w:p>
            <w:r>
              <w:t>Reste dans le formulaire à titre descriptif uniquement ; pas de signal artificiel fabriqué, variable non centrale au projet.</w:t>
            </w:r>
          </w:p>
        </w:tc>
      </w:tr>
      <w:tr>
        <w:tc>
          <w:tcPr>
            <w:tcW w:type="dxa" w:w="2880"/>
          </w:tcPr>
          <w:p>
            <w:r>
              <w:t>categorie_risque</w:t>
            </w:r>
          </w:p>
        </w:tc>
        <w:tc>
          <w:tcPr>
            <w:tcW w:type="dxa" w:w="2880"/>
          </w:tcPr>
          <w:p>
            <w:r>
              <w:t>Confirmée comme sortie, jamais comme entrée</w:t>
            </w:r>
          </w:p>
        </w:tc>
        <w:tc>
          <w:tcPr>
            <w:tcW w:type="dxa" w:w="2880"/>
          </w:tcPr>
          <w:p>
            <w:r>
              <w:t>Recalculée après le score prédit : ≥70 Faible risque, 55-69 Risque modéré, 40-54 Risque élevé, &lt;40 Très haut risque.</w:t>
            </w:r>
          </w:p>
        </w:tc>
      </w:tr>
      <w:tr>
        <w:tc>
          <w:tcPr>
            <w:tcW w:type="dxa" w:w="2880"/>
          </w:tcPr>
          <w:p>
            <w:r>
              <w:t>genre</w:t>
            </w:r>
          </w:p>
        </w:tc>
        <w:tc>
          <w:tcPr>
            <w:tcW w:type="dxa" w:w="2880"/>
          </w:tcPr>
          <w:p>
            <w:r>
              <w:t>Exclu des features du modèle</w:t>
            </w:r>
          </w:p>
        </w:tc>
        <w:tc>
          <w:tcPr>
            <w:tcW w:type="dxa" w:w="2880"/>
          </w:tcPr>
          <w:p>
            <w:r>
              <w:t>Reste dans le formulaire à titre descriptif uniquement, pour écarter tout risque de discrimination par genre dans l'octroi de crédit.</w:t>
            </w:r>
          </w:p>
        </w:tc>
      </w:tr>
      <w:tr>
        <w:tc>
          <w:tcPr>
            <w:tcW w:type="dxa" w:w="2880"/>
          </w:tcPr>
          <w:p>
            <w:r>
              <w:t>Codes hérités (type_construction, nombre_unites, bureaux de crédit)</w:t>
            </w:r>
          </w:p>
        </w:tc>
        <w:tc>
          <w:tcPr>
            <w:tcW w:type="dxa" w:w="2880"/>
          </w:tcPr>
          <w:p>
            <w:r>
              <w:t>Conservés bruts, documentés uniquement</w:t>
            </w:r>
          </w:p>
        </w:tc>
        <w:tc>
          <w:tcPr>
            <w:tcW w:type="dxa" w:w="2880"/>
          </w:tcPr>
          <w:p>
            <w:r>
              <w:t>Pas de renommage : les colonnes de bureau de crédit sont de toute façon exclues du modèle (section 4).</w:t>
            </w:r>
          </w:p>
        </w:tc>
      </w:tr>
      <w:tr>
        <w:tc>
          <w:tcPr>
            <w:tcW w:type="dxa" w:w="2880"/>
          </w:tcPr>
          <w:p>
            <w:r>
              <w:t>valeur_bien_fcfa, ratio_pret_valeur, type_construction, type_occupation, nombre_unites, garanti_par, type_garantie</w:t>
            </w:r>
          </w:p>
        </w:tc>
        <w:tc>
          <w:tcPr>
            <w:tcW w:type="dxa" w:w="2880"/>
          </w:tcPr>
          <w:p>
            <w:r>
              <w:t>Retirées du modèle principal (module immobilier optionnel hors périmètre V1)</w:t>
            </w:r>
          </w:p>
        </w:tc>
        <w:tc>
          <w:tcPr>
            <w:tcW w:type="dxa" w:w="2880"/>
          </w:tcPr>
          <w:p>
            <w:r>
              <w:t>Corrige à la fois la fuite majeure de la section 2.2 et le recadrage de périmètre : le produit vise le crédit en général, pas le crédit immobilier garanti.</w:t>
            </w:r>
          </w:p>
        </w:tc>
      </w:tr>
      <w:tr>
        <w:tc>
          <w:tcPr>
            <w:tcW w:type="dxa" w:w="2880"/>
          </w:tcPr>
          <w:p>
            <w:r>
              <w:t>objet_pret (valeur p3)</w:t>
            </w:r>
          </w:p>
        </w:tc>
        <w:tc>
          <w:tcPr>
            <w:tcW w:type="dxa" w:w="2880"/>
          </w:tcPr>
          <w:p>
            <w:r>
              <w:t>Relibellée de « Amelioration_habitat » à « Investissement_activite »</w:t>
            </w:r>
          </w:p>
        </w:tc>
        <w:tc>
          <w:tcPr>
            <w:tcW w:type="dxa" w:w="2880"/>
          </w:tcPr>
          <w:p>
            <w:r>
              <w:t>Déjà implémenté dans scripts/02_traduction_camerounaise.py et ré-exécuté ; les 3 autres valeurs (Achat, Refinancement, Autre) étaient déjà génériques, aucun changement nécessaire.</w:t>
            </w:r>
          </w:p>
        </w:tc>
      </w:tr>
    </w:tbl>
    <w:p>
      <w:pPr>
        <w:spacing w:after="200"/>
      </w:pPr>
      <w:r>
        <w:rPr>
          <w:b w:val="0"/>
          <w:i w:val="0"/>
          <w:sz w:val="22"/>
        </w:rPr>
        <w:t>Justification du principe de génération retenu pour membre_tontine, utilisation_mobile_money et activite_saisonniere : ces trois variables sont conditionnées sur secteur_activite et region_cameroun — deux colonnes déjà présentes dans les données réelles et déjà corrélées avec le défaut (le secteur d'activité affiche 23-24 % de défaut pour les 3 secteurs dominants contre 34-37 % pour les 3 secteurs minoritaires, cf. section 2). En les générant à partir de ces colonnes plutôt qu'au hasard pur, elles héritent d'une corrélation avec le risque réaliste et transitive, sans jamais lire la colonne cible pendant la génération — donc sans fuite, à la différence de categorie_risque.</w:t>
      </w:r>
    </w:p>
    <w:p>
      <w:r>
        <w:br w:type="page"/>
      </w:r>
    </w:p>
    <w:p>
      <w:pPr>
        <w:pStyle w:val="Heading1"/>
      </w:pPr>
      <w:r>
        <w:t>4. Variables utilisées pour l'analyse du risque vs variables exclues</w:t>
      </w:r>
    </w:p>
    <w:p>
      <w:pPr>
        <w:spacing w:after="120"/>
      </w:pPr>
      <w:r>
        <w:rPr>
          <w:b w:val="0"/>
          <w:i w:val="0"/>
          <w:sz w:val="22"/>
        </w:rPr>
        <w:t>Point essentiel soulevé par Aristide le 29 juillet 2026 : l'application doit pouvoir accueillir les données d'un nouveau client camerounais, saisies via un formulaire, et se prononcer sur l'octroi du crédit — en se plaçant du point de vue d'une institution financière AVANT toute décision. Cela signifie qu'une variable ne peut être utilisée comme feature du modèle QUE si elle est réellement connaissable au moment de la demande, avant toute décision d'octroi. Plusieurs des 42 colonnes ne remplissent pas cette condition, indépendamment des problèmes de bruit/redondance déjà identifiés en section 2.</w:t>
      </w:r>
    </w:p>
    <w:p>
      <w:pPr>
        <w:pStyle w:val="Heading2"/>
      </w:pPr>
      <w:r>
        <w:t>4.1 Catégorie A — Champs saisis dans le formulaire (features du modèle)</w:t>
      </w:r>
    </w:p>
    <w:p>
      <w:pPr>
        <w:spacing w:after="120"/>
      </w:pPr>
      <w:r>
        <w:rPr>
          <w:b w:val="0"/>
          <w:i/>
          <w:sz w:val="22"/>
        </w:rPr>
        <w:t>Informations que le client ou l'agent de crédit peut raisonnablement déclarer au moment de la demande, avant toute décision. Certains de ces champs sont exclus des features du modele (conserves a titre descriptif uniquement, ou utilises comme regle de decision plutot que comme signal statistique) : voir l'annotation specifique de chaque ligne ci-dessous.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2E5395"/>
          </w:tcPr>
          <w:p>
            <w:r>
              <w:rPr>
                <w:b/>
                <w:color w:val="FFFFFF"/>
              </w:rPr>
              <w:t>Variable</w:t>
            </w:r>
          </w:p>
        </w:tc>
        <w:tc>
          <w:tcPr>
            <w:tcW w:type="dxa" w:w="4320"/>
            <w:shd w:val="clear" w:color="auto" w:fill="2E5395"/>
          </w:tcPr>
          <w:p>
            <w:r>
              <w:rPr>
                <w:b/>
                <w:color w:val="FFFFFF"/>
              </w:rPr>
              <w:t>Pourquoi elle est saisissable à la demande</w:t>
            </w:r>
          </w:p>
        </w:tc>
      </w:tr>
      <w:tr>
        <w:tc>
          <w:tcPr>
            <w:tcW w:type="dxa" w:w="4320"/>
          </w:tcPr>
          <w:p>
            <w:r>
              <w:t>genre, tranche_age</w:t>
            </w:r>
          </w:p>
        </w:tc>
        <w:tc>
          <w:tcPr>
            <w:tcW w:type="dxa" w:w="4320"/>
          </w:tcPr>
          <w:p>
            <w:r>
              <w:t>Identité du demandeur — déclaratif, immédiat. (Point d'attention légal/éthique : voir 4.4.)</w:t>
            </w:r>
          </w:p>
        </w:tc>
      </w:tr>
      <w:tr>
        <w:tc>
          <w:tcPr>
            <w:tcW w:type="dxa" w:w="4320"/>
          </w:tcPr>
          <w:p>
            <w:r>
              <w:t>revenu_mensuel_fcfa</w:t>
            </w:r>
          </w:p>
        </w:tc>
        <w:tc>
          <w:tcPr>
            <w:tcW w:type="dxa" w:w="4320"/>
          </w:tcPr>
          <w:p>
            <w:r>
              <w:t>Revenu déclaré par le client — cœur de l'évaluation de capacité de remboursement.</w:t>
            </w:r>
          </w:p>
        </w:tc>
      </w:tr>
      <w:tr>
        <w:tc>
          <w:tcPr>
            <w:tcW w:type="dxa" w:w="4320"/>
          </w:tcPr>
          <w:p>
            <w:r>
              <w:t>region_cameroun / zone_geographique (une seule des deux conservee)</w:t>
            </w:r>
          </w:p>
        </w:tc>
        <w:tc>
          <w:tcPr>
            <w:tcW w:type="dxa" w:w="4320"/>
          </w:tcPr>
          <w:p>
            <w:r>
              <w:t>Lieu de residence du client — declaratif. EXCLUE des features du modele le 30 juillet (gradient de defaut herite du remapping US, pas un signal camerounais reel — voir section 2/3), conservee a titre descriptif uniquement.</w:t>
            </w:r>
          </w:p>
        </w:tc>
      </w:tr>
      <w:tr>
        <w:tc>
          <w:tcPr>
            <w:tcW w:type="dxa" w:w="4320"/>
          </w:tcPr>
          <w:p>
            <w:r>
              <w:t>secteur_activite, niveau_education</w:t>
            </w:r>
          </w:p>
        </w:tc>
        <w:tc>
          <w:tcPr>
            <w:tcW w:type="dxa" w:w="4320"/>
          </w:tcPr>
          <w:p>
            <w:r>
              <w:t>Profil socio-économique du client — déclaratif.</w:t>
            </w:r>
          </w:p>
        </w:tc>
      </w:tr>
      <w:tr>
        <w:tc>
          <w:tcPr>
            <w:tcW w:type="dxa" w:w="4320"/>
          </w:tcPr>
          <w:p>
            <w:r>
              <w:t>membre_tontine, utilisation_mobile_money, activite_saisonniere</w:t>
            </w:r>
          </w:p>
        </w:tc>
        <w:tc>
          <w:tcPr>
            <w:tcW w:type="dxa" w:w="4320"/>
          </w:tcPr>
          <w:p>
            <w:r>
              <w:t>Conservees dans le formulaire a titre descriptif uniquement (comme niveau_education) — EXCLUES des features du modele : l'audit du 30 juillet confirme un taux de defaut quasi identique entre categories pour les 3 variables (ex. membre_tontine : 24.8% Non vs 24.5% Oui).</w:t>
            </w:r>
          </w:p>
        </w:tc>
      </w:tr>
      <w:tr>
        <w:tc>
          <w:tcPr>
            <w:tcW w:type="dxa" w:w="4320"/>
          </w:tcPr>
          <w:p>
            <w:r>
              <w:t>montant_pret_fcfa, duree_mois, objet_pret, type_pret</w:t>
            </w:r>
          </w:p>
        </w:tc>
        <w:tc>
          <w:tcPr>
            <w:tcW w:type="dxa" w:w="4320"/>
          </w:tcPr>
          <w:p>
            <w:r>
              <w:t>Caractéristiques de la demande de crédit elle-même — c'est ce que le client demande. objet_pret est volontairement libellé en catégories générales (Achat, Refinancement, Investissement_activite, Autre) et non en catégories immobilières, pour coller au crédit en général (voir 4.5).</w:t>
            </w:r>
          </w:p>
        </w:tc>
      </w:tr>
      <w:tr>
        <w:tc>
          <w:tcPr>
            <w:tcW w:type="dxa" w:w="4320"/>
          </w:tcPr>
          <w:p>
            <w:r>
              <w:t>usage_professionnel, credit_ouvert</w:t>
            </w:r>
          </w:p>
        </w:tc>
        <w:tc>
          <w:tcPr>
            <w:tcW w:type="dxa" w:w="4320"/>
          </w:tcPr>
          <w:p>
            <w:r>
              <w:t>Déclaratif sur la situation financière actuelle du client.</w:t>
            </w:r>
          </w:p>
        </w:tc>
      </w:tr>
      <w:tr>
        <w:tc>
          <w:tcPr>
            <w:tcW w:type="dxa" w:w="4320"/>
          </w:tcPr>
          <w:p>
            <w:r>
              <w:t>mode_soumission</w:t>
            </w:r>
          </w:p>
        </w:tc>
        <w:tc>
          <w:tcPr>
            <w:tcW w:type="dxa" w:w="4320"/>
          </w:tcPr>
          <w:p>
            <w:r>
              <w:t>Canal de la demande (agence / en ligne) — declaratif. Signal reel confirme le 30 juillet (28,4% de defaut en agence vs 17,5% en ligne), a l'inverse de l'hypothese initiale de signal faible.</w:t>
            </w:r>
          </w:p>
        </w:tc>
      </w:tr>
      <w:tr>
        <w:tc>
          <w:tcPr>
            <w:tcW w:type="dxa" w:w="4320"/>
          </w:tcPr>
          <w:p>
            <w:r>
              <w:t>anciennete_activite_mois (nouvelle)</w:t>
            </w:r>
          </w:p>
        </w:tc>
        <w:tc>
          <w:tcPr>
            <w:tcW w:type="dxa" w:w="4320"/>
          </w:tcPr>
          <w:p>
            <w:r>
              <w:t>Duree d'exercice de l'activite actuelle du client — declaratif, aussi simple a demander que l'age. Ajoutee le 30 juillet : variable de stabilite standard dans le scoring credit/microfinance, absente du dataset Kaggle source. Collectee pour enrichir le formulaire et les versions futures du modele ; non utilisee dans les features du modele V1 (aucune donnee d'entrainement historique disponible pour cette variable).</w:t>
            </w:r>
          </w:p>
        </w:tc>
      </w:tr>
      <w:tr>
        <w:tc>
          <w:tcPr>
            <w:tcW w:type="dxa" w:w="4320"/>
          </w:tcPr>
          <w:p>
            <w:r>
              <w:t>personnes_a_charge (nouvelle)</w:t>
            </w:r>
          </w:p>
        </w:tc>
        <w:tc>
          <w:tcPr>
            <w:tcW w:type="dxa" w:w="4320"/>
          </w:tcPr>
          <w:p>
            <w:r>
              <w:t>Nombre de personnes a charge du foyer — declaratif. Ajoutee le 30 juillet : corrige le revenu declare en revenu disponible reel, standard dans le scoring africain, absente du dataset Kaggle source. Meme statut que anciennete_activite_mois : collectee pour le formulaire, non utilisee dans les features du modele V1.</w:t>
            </w:r>
          </w:p>
        </w:tc>
      </w:tr>
      <w:tr>
        <w:tc>
          <w:tcPr>
            <w:tcW w:type="dxa" w:w="4320"/>
          </w:tcPr>
          <w:p>
            <w:r>
              <w:t>garant_caution (nouvelle)</w:t>
            </w:r>
          </w:p>
        </w:tc>
        <w:tc>
          <w:tcPr>
            <w:tcW w:type="dxa" w:w="4320"/>
          </w:tcPr>
          <w:p>
            <w:r>
              <w:t>Presence d'un garant ou d'une caution solidaire pour ce pret — declaratif. Ajoutee le 30 juillet : contrairement aux autres variables de cette section, ce n'est pas un signal statistique a apprendre mais un levier de politique de credit — un mecanisme qui change la consequence en cas de defaut (recours possible), pas une description du risque intrinseque du client. Utilisee directement dans la logique de decision (pas comme feature brute du modele ML) : un dossier en « Etude approfondie » avec garant peut basculer vers « Accorde sous condition ». Pas besoin de donnees d'entrainement historiques pour cette regle, contrairement a une feature statistique.</w:t>
            </w:r>
          </w:p>
        </w:tc>
      </w:tr>
      <w:tr>
        <w:tc>
          <w:tcPr>
            <w:tcW w:type="dxa" w:w="4320"/>
          </w:tcPr>
          <w:p>
            <w:r>
              <w:t>statut_logement (nouvelle)</w:t>
            </w:r>
          </w:p>
        </w:tc>
        <w:tc>
          <w:tcPr>
            <w:tcW w:type="dxa" w:w="4320"/>
          </w:tcPr>
          <w:p>
            <w:r>
              <w:t>Statut du logement du client (Proprietaire / Locataire / Heberge) — declaratif. Ajoutee le 30 juillet a la demande d'Aristide, malgre une reserve signalee : risque de recouper des facteurs deja captures (revenu, secteur d'activite) et d'encoder indirectement une variable regionale/socio-economique plutot qu'un vrai signal de remboursement, sans preuve statistique disponible pour trancher (absente du dataset Kaggle source). Conservee a titre descriptif uniquement dans le formulaire, comme niveau_education — EXCLUE des features du modele ET non utilisee comme regle de decision pour le moment, a la difference de garant_caution.</w:t>
            </w:r>
          </w:p>
        </w:tc>
      </w:tr>
    </w:tbl>
    <w:p>
      <w:pPr>
        <w:pStyle w:val="Heading2"/>
      </w:pPr>
      <w:r>
        <w:t>4.2 Catégorie B — Calculées automatiquement par l'application (jamais demandées)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2E5395"/>
          </w:tcPr>
          <w:p>
            <w:r>
              <w:rPr>
                <w:b/>
                <w:color w:val="FFFFFF"/>
              </w:rPr>
              <w:t>Variable</w:t>
            </w:r>
          </w:p>
        </w:tc>
        <w:tc>
          <w:tcPr>
            <w:tcW w:type="dxa" w:w="4320"/>
            <w:shd w:val="clear" w:color="auto" w:fill="2E5395"/>
          </w:tcPr>
          <w:p>
            <w:r>
              <w:rPr>
                <w:b/>
                <w:color w:val="FFFFFF"/>
              </w:rPr>
              <w:t>Comment elle est obtenue</w:t>
            </w:r>
          </w:p>
        </w:tc>
      </w:tr>
      <w:tr>
        <w:tc>
          <w:tcPr>
            <w:tcW w:type="dxa" w:w="4320"/>
          </w:tcPr>
          <w:p>
            <w:r>
              <w:t>ratio_endettement</w:t>
            </w:r>
          </w:p>
        </w:tc>
        <w:tc>
          <w:tcPr>
            <w:tcW w:type="dxa" w:w="4320"/>
          </w:tcPr>
          <w:p>
            <w:r>
              <w:t>Calculé à partir du revenu déclaré et des charges mensuelles actuelles déclarées (champ à ajouter au formulaire : charges_mensuelles_fcfa).</w:t>
            </w:r>
          </w:p>
        </w:tc>
      </w:tr>
      <w:tr>
        <w:tc>
          <w:tcPr>
            <w:tcW w:type="dxa" w:w="4320"/>
          </w:tcPr>
          <w:p>
            <w:r>
              <w:t>categorie_risque</w:t>
            </w:r>
          </w:p>
        </w:tc>
        <w:tc>
          <w:tcPr>
            <w:tcW w:type="dxa" w:w="4320"/>
          </w:tcPr>
          <w:p>
            <w:r>
              <w:t>Recalculée APRÈS la prédiction, à partir du score de 0 à 100 renvoyé par le modèle (mêmes seuils que la jauge 3 couleurs, avec un palier intermédiaire). Ce n'est plus une variable d'entrée : c'est une des sorties de l'application, au même titre que la décision.</w:t>
            </w:r>
          </w:p>
        </w:tc>
      </w:tr>
    </w:tbl>
    <w:p>
      <w:pPr>
        <w:pStyle w:val="Heading2"/>
      </w:pPr>
      <w:r>
        <w:t>4.3 Catégorie C — Exclues du modèle et du formulaire</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2E5395"/>
          </w:tcPr>
          <w:p>
            <w:r>
              <w:rPr>
                <w:b/>
                <w:color w:val="FFFFFF"/>
              </w:rPr>
              <w:t>Variable</w:t>
            </w:r>
          </w:p>
        </w:tc>
        <w:tc>
          <w:tcPr>
            <w:tcW w:type="dxa" w:w="4320"/>
            <w:shd w:val="clear" w:color="auto" w:fill="2E5395"/>
          </w:tcPr>
          <w:p>
            <w:r>
              <w:rPr>
                <w:b/>
                <w:color w:val="FFFFFF"/>
              </w:rPr>
              <w:t>Raison de l'exclusion</w:t>
            </w:r>
          </w:p>
        </w:tc>
      </w:tr>
      <w:tr>
        <w:tc>
          <w:tcPr>
            <w:tcW w:type="dxa" w:w="4320"/>
          </w:tcPr>
          <w:p>
            <w:r>
              <w:t>statut_remboursement, statut_remboursement_label</w:t>
            </w:r>
          </w:p>
        </w:tc>
        <w:tc>
          <w:tcPr>
            <w:tcW w:type="dxa" w:w="4320"/>
          </w:tcPr>
          <w:p>
            <w:r>
              <w:t>Ce sont la cible du modèle (ou son doublon) : c'est justement ce que l'application doit prédire, pas une donnée d'entrée.</w:t>
            </w:r>
          </w:p>
        </w:tc>
      </w:tr>
      <w:tr>
        <w:tc>
          <w:tcPr>
            <w:tcW w:type="dxa" w:w="4320"/>
          </w:tcPr>
          <w:p>
            <w:r>
              <w:t>valeur_bien_fcfa, ratio_pret_valeur (LTV), type_construction, type_occupation, garanti_par, type_garantie, nombre_unites</w:t>
            </w:r>
          </w:p>
        </w:tc>
        <w:tc>
          <w:tcPr>
            <w:tcW w:type="dxa" w:w="4320"/>
          </w:tcPr>
          <w:p>
            <w:r>
              <w:t>Spécifiques au crédit immobilier garanti, hors périmètre « crédit en général » (section 1). De plus, valeur_bien_fcfa porte une fuite majeure : les lignes où elle est manquante affichent 100 % de défaut contre 16,1 % pour les autres (section 2.2) — un artefact du dataset source, pas un signal réel. Module optionnel hors V1, pas le modèle principal.</w:t>
            </w:r>
          </w:p>
        </w:tc>
      </w:tr>
      <w:tr>
        <w:tc>
          <w:tcPr>
            <w:tcW w:type="dxa" w:w="4320"/>
          </w:tcPr>
          <w:p>
            <w:r>
              <w:t>taux_interet, ecart_taux_interet, frais_initiaux_fcfa</w:t>
            </w:r>
          </w:p>
        </w:tc>
        <w:tc>
          <w:tcPr>
            <w:tcW w:type="dxa" w:w="4320"/>
          </w:tcPr>
          <w:p>
            <w:r>
              <w:t>Fixés/ajustés par la banque APRÈS évaluation du risque — inconnus au moment de la demande pour un nouveau client. frais_initiaux_fcfa ajoutée à cette exclusion le 31 juillet 2026 : même logique que taux_interet (montant réglé par l'établissement après octroi, pas déclaré par le client).</w:t>
            </w:r>
          </w:p>
        </w:tc>
      </w:tr>
      <w:tr>
        <w:tc>
          <w:tcPr>
            <w:tcW w:type="dxa" w:w="4320"/>
          </w:tcPr>
          <w:p>
            <w:r>
              <w:t>score_credit_bureau, type_credit_bureau, type_credit_coemprunteur</w:t>
            </w:r>
          </w:p>
        </w:tc>
        <w:tc>
          <w:tcPr>
            <w:tcW w:type="dxa" w:w="4320"/>
          </w:tcPr>
          <w:p>
            <w:r>
              <w:t>Supposent l'existence d'un bureau de crédit individuel consulté par la banque. Cette infrastructure est peu fiable/généralisée au Cameroun pour les profils non bancarisés ou informels — précisément le public que le projet veut mieux évaluer. À exclure du modèle principal (ou à traiter en option « historique connu / aucun historique », jamais comme un champ obligatoire).</w:t>
            </w:r>
          </w:p>
        </w:tc>
      </w:tr>
      <w:tr>
        <w:tc>
          <w:tcPr>
            <w:tcW w:type="dxa" w:w="4320"/>
          </w:tcPr>
          <w:p>
            <w:r>
              <w:t>solvabilite (Credit_Worthiness), plafond_pret (loan_limit), approbation_anticipee</w:t>
            </w:r>
          </w:p>
        </w:tc>
        <w:tc>
          <w:tcPr>
            <w:tcW w:type="dxa" w:w="4320"/>
          </w:tcPr>
          <w:p>
            <w:r>
              <w:t>Ressemblent à des résultats d'une évaluation ou d'une pré-décision déjà faite par un établissement américain, pas à une donnée fournie par le client lui-même. Risque de fuite similaire à categorie_risque.</w:t>
            </w:r>
          </w:p>
        </w:tc>
      </w:tr>
      <w:tr>
        <w:tc>
          <w:tcPr>
            <w:tcW w:type="dxa" w:w="4320"/>
          </w:tcPr>
          <w:p>
            <w:r>
              <w:t>amortissement_negatif, interet_seul, paiement_forfaitaire</w:t>
            </w:r>
          </w:p>
        </w:tc>
        <w:tc>
          <w:tcPr>
            <w:tcW w:type="dxa" w:w="4320"/>
          </w:tcPr>
          <w:p>
            <w:r>
              <w:t>Modalités contractuelles fixées à l'octroi du prêt par la banque, pas des informations que le client fournit avant la décision.</w:t>
            </w:r>
          </w:p>
        </w:tc>
      </w:tr>
      <w:tr>
        <w:tc>
          <w:tcPr>
            <w:tcW w:type="dxa" w:w="4320"/>
          </w:tcPr>
          <w:p>
            <w:r>
              <w:t>id_client, annee</w:t>
            </w:r>
          </w:p>
        </w:tc>
        <w:tc>
          <w:tcPr>
            <w:tcW w:type="dxa" w:w="4320"/>
          </w:tcPr>
          <w:p>
            <w:r>
              <w:t>Identifiant et constante (année = 2019 pour toutes les lignes) : aucune valeur analytique.</w:t>
            </w:r>
          </w:p>
        </w:tc>
      </w:tr>
    </w:tbl>
    <w:p>
      <w:pPr>
        <w:pStyle w:val="Heading2"/>
      </w:pPr>
      <w:r>
        <w:t>4.4 Points tranchés le 29 juillet 2026</w:t>
      </w:r>
    </w:p>
    <w:p>
      <w:pPr>
        <w:pStyle w:val="ListBullet"/>
      </w:pPr>
      <w:r>
        <w:t>Genre : exclu des features réellement utilisées par le modèle. Dans plusieurs juridictions, la discrimination par genre en matière d'octroi de crédit est encadrée voire interdite ; le champ reste dans le formulaire à titre descriptif uniquement, mais n'alimente pas le modèle. À justifier explicitement dans le rapport.</w:t>
      </w:r>
    </w:p>
    <w:p>
      <w:pPr>
        <w:pStyle w:val="ListBullet"/>
      </w:pPr>
      <w:r>
        <w:t>Score de bureau de crédit (score_credit_bureau) : exclu du modèle principal. Le public visé par un projet d'inclusion financière (secteur informel, primo-emprunteurs) n'aura souvent NI score de bureau NI historique de crédit formel ; le modèle final doit rester utilisable pour ce public sans dépendre d'une donnée absente pour une grande partie des cas réels d'usage.</w:t>
      </w:r>
    </w:p>
    <w:p>
      <w:pPr>
        <w:pStyle w:val="Heading2"/>
      </w:pPr>
      <w:r>
        <w:t>4.5 Recadrage « crédit en général » (29 juillet 2026)</w:t>
      </w:r>
    </w:p>
    <w:p>
      <w:pPr>
        <w:spacing w:after="120"/>
      </w:pPr>
      <w:r>
        <w:rPr>
          <w:b w:val="0"/>
          <w:i w:val="0"/>
          <w:sz w:val="22"/>
        </w:rPr>
        <w:t>Constat : le dataset source est un dataset de prêts immobiliers américains, et deux éléments le trahissaient au-delà des champs de garantie déjà traités en 4.3 : objet_pret (loan_purpose) n'avait que 4 valeurs, dont une explicitement immobilière (« Amelioration_habitat », home improvement), et duree_mois va jusqu'à 360 mois (30 ans, un terme de crédit immobilier), avec 121 685 lignes (81,8 %) exactement à 360.</w:t>
      </w:r>
    </w:p>
    <w:p>
      <w:pPr>
        <w:spacing w:after="200"/>
      </w:pPr>
      <w:r>
        <w:rPr>
          <w:b w:val="0"/>
          <w:i w:val="0"/>
          <w:sz w:val="22"/>
        </w:rPr>
        <w:t>Décisions : objet_pret est relibellée (« Amelioration_habitat » devient « Investissement_activite », déjà implémenté dans le script 02 — les 3 autres valeurs étaient déjà génériques). duree_mois est conservée telle quelle : c'est une vraie donnée numérique (durée du financement en mois), valable quel que soit l'objet du crédit ; sa distribution historique dominée par les longs termes est documentée comme une limitation héritée du dataset source, pas corrigée artificiellement. Combiné au retrait des champs immobiliers en 4.3, le modèle et le formulaire décrivent désormais un crédit générique (consommation, commerce, agriculture, trésorerie, scolarité, santé...), sans présupposer de garantie ni de finalité immobilière.</w:t>
      </w:r>
    </w:p>
    <w:p>
      <w:pPr>
        <w:pStyle w:val="Heading2"/>
        <w:spacing w:after="200"/>
      </w:pPr>
      <w:r>
        <w:t>4.6 Point tranché le 31 juillet 2026</w:t>
      </w:r>
    </w:p>
    <w:p>
      <w:pPr>
        <w:spacing w:after="200"/>
      </w:pPr>
      <w:r>
        <w:t>Décision (Claude, validée par Aristide) : taux_interet et frais_initiaux_fcfa sont tous deux exclus des features du modèle, par cohérence avec le principe posé en section 4 (une variable n'est une feature valide que si elle est réellement connaissable au moment de la demande, avant toute décision d'octroi). taux_interet était déjà exclu dans le tableau de la section 4.3 ; frais_initiaux_fcfa y est ajouté ce jour, car le dictionnaire de données de Marie-Thérèse le gardait par erreur comme feature ML tout en documentant elle-même qu'il est «généralement fixé après octroi, pas à l'entrée» — un décalage entraînement/production classique (le modèle apprendrait sur une information qu'il n'aura jamais en usage réel). Les deux variables restent disponibles dans les données historiques pour analyse, mais ne font pas partie de la liste de features validée en Semaine 2.</w:t>
      </w:r>
    </w:p>
    <w:p>
      <w:r>
        <w:br w:type="page"/>
      </w:r>
    </w:p>
    <w:p>
      <w:pPr>
        <w:pStyle w:val="Heading1"/>
      </w:pPr>
      <w:r>
        <w:t>5. Nouveau calendrier de réalisation</w:t>
      </w:r>
    </w:p>
    <w:p>
      <w:pPr>
        <w:spacing w:after="120"/>
      </w:pPr>
      <w:r>
        <w:rPr>
          <w:b w:val="0"/>
          <w:i w:val="0"/>
          <w:sz w:val="22"/>
        </w:rPr>
        <w:t>Calendrier de 4 semaines pleines (29 juillet au 23 août 2026), suivi d'une semaine de marge avant la deadline du 31 août 2026, réservée au rapport, à la relecture et à la préparation de la soutenance. Chaque tâche indique ses dates précises, sa durée en jours, et son but spécifique — en complément de la justification d'ensemble donnée à la fin de chaque semaine.</w:t>
      </w:r>
    </w:p>
    <w:p>
      <w:pPr>
        <w:pStyle w:val="Heading2"/>
      </w:pPr>
      <w:r>
        <w:t>Semaine 1 — mercredi 29 juillet – dimanche 2 août 2026 (5 jours)</w:t>
      </w:r>
    </w:p>
    <w:p>
      <w:pPr>
        <w:spacing w:after="120"/>
      </w:pPr>
      <w:r>
        <w:rPr>
          <w:b/>
          <w:i w:val="0"/>
          <w:color w:val="2E5395"/>
          <w:sz w:val="24"/>
        </w:rPr>
        <w:t>Assainissement et consolidation du dataset</w:t>
      </w:r>
    </w:p>
    <w:p>
      <w:pPr>
        <w:spacing w:after="40"/>
      </w:pPr>
      <w:r>
        <w:rPr>
          <w:b/>
          <w:i w:val="0"/>
          <w:sz w:val="22"/>
        </w:rPr>
        <w:t>Objectif de la semaine</w:t>
      </w:r>
    </w:p>
    <w:p>
      <w:pPr>
        <w:spacing w:after="160"/>
      </w:pPr>
      <w:r>
        <w:rPr>
          <w:b w:val="0"/>
          <w:i w:val="0"/>
          <w:sz w:val="22"/>
        </w:rPr>
        <w:t>Obtenir un unique dataset camerounais propre, versionné dans Git (script 03_enrichissement_camerounais.py, reproductible par toute l'équipe), débarrassé des problèmes de fuite/redondance/bruit identifiés en section 2 — constat du 30 juillet : les anciens livrables locaux d'Andy et Marie-Thérèse (CSV enrichi, tableau Power BI) sont supplantés par ce script, pas complétés par eux ; l'objectif devient de leur donner accès au nouveau dataset plutôt que d'archiver l'ancien.</w:t>
      </w:r>
    </w:p>
    <w:p>
      <w:pPr>
        <w:spacing w:after="60"/>
      </w:pPr>
      <w:r>
        <w:rPr>
          <w:b/>
          <w:i w:val="0"/>
          <w:sz w:val="22"/>
        </w:rPr>
        <w:t>Aristide (avec l'aide de Claude)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4472C4"/>
          </w:tcPr>
          <w:p>
            <w:r>
              <w:rPr>
                <w:b/>
                <w:color w:val="FFFFFF"/>
                <w:sz w:val="20"/>
              </w:rPr>
              <w:t>Tâche</w:t>
            </w:r>
          </w:p>
        </w:tc>
        <w:tc>
          <w:tcPr>
            <w:tcW w:type="dxa" w:w="2160"/>
            <w:shd w:val="clear" w:color="auto" w:fill="4472C4"/>
          </w:tcPr>
          <w:p>
            <w:r>
              <w:rPr>
                <w:b/>
                <w:color w:val="FFFFFF"/>
                <w:sz w:val="20"/>
              </w:rPr>
              <w:t>Dates</w:t>
            </w:r>
          </w:p>
        </w:tc>
        <w:tc>
          <w:tcPr>
            <w:tcW w:type="dxa" w:w="2160"/>
            <w:shd w:val="clear" w:color="auto" w:fill="4472C4"/>
          </w:tcPr>
          <w:p>
            <w:r>
              <w:rPr>
                <w:b/>
                <w:color w:val="FFFFFF"/>
                <w:sz w:val="20"/>
              </w:rPr>
              <w:t>Durée</w:t>
            </w:r>
          </w:p>
        </w:tc>
        <w:tc>
          <w:tcPr>
            <w:tcW w:type="dxa" w:w="2160"/>
            <w:shd w:val="clear" w:color="auto" w:fill="4472C4"/>
          </w:tcPr>
          <w:p>
            <w:r>
              <w:rPr>
                <w:b/>
                <w:color w:val="FFFFFF"/>
                <w:sz w:val="20"/>
              </w:rPr>
              <w:t>But de la tâche</w:t>
            </w:r>
          </w:p>
        </w:tc>
      </w:tr>
      <w:tr>
        <w:tc>
          <w:tcPr>
            <w:tcW w:type="dxa" w:w="2160"/>
          </w:tcPr>
          <w:p>
            <w:r>
              <w:rPr>
                <w:sz w:val="20"/>
              </w:rPr>
              <w:t>Construire le script 03_enrichissement_camerounais.py implémentant directement les règles déjà tranchées en section 3 : suppression de statut_remboursement_label et zone_geographique, génération de membre_tontine / utilisation_mobile_money / activite_saisonniere conditionnée sur secteur_activite et region_cameroun.</w:t>
            </w:r>
          </w:p>
        </w:tc>
        <w:tc>
          <w:tcPr>
            <w:tcW w:type="dxa" w:w="2160"/>
          </w:tcPr>
          <w:p>
            <w:r>
              <w:rPr>
                <w:sz w:val="20"/>
              </w:rPr>
              <w:t>Mer 29 – Jeu 30 juillet</w:t>
            </w:r>
          </w:p>
        </w:tc>
        <w:tc>
          <w:tcPr>
            <w:tcW w:type="dxa" w:w="2160"/>
          </w:tcPr>
          <w:p>
            <w:r>
              <w:rPr>
                <w:sz w:val="20"/>
              </w:rPr>
              <w:t>2 j</w:t>
            </w:r>
          </w:p>
        </w:tc>
        <w:tc>
          <w:tcPr>
            <w:tcW w:type="dxa" w:w="2160"/>
          </w:tcPr>
          <w:p>
            <w:r>
              <w:rPr>
                <w:sz w:val="20"/>
              </w:rPr>
              <w:t>Coder directement une spécification déjà arbitrée, sans étape de décision intermédiaire : la Semaine 1 devient une semaine d'exécution, pas de débat.</w:t>
            </w:r>
          </w:p>
        </w:tc>
      </w:tr>
      <w:tr>
        <w:tc>
          <w:tcPr>
            <w:tcW w:type="dxa" w:w="2160"/>
          </w:tcPr>
          <w:p>
            <w:r>
              <w:t>Finaliser le script et le notebook d'enrichissement (deja pousses sur la branche aristide), ouvrir une Pull Request vers main. Livrable = script versionne + notebook, pas le CSV brut (gitignore, genere, ~31 Mo, non reproductible a l'identique par git).</w:t>
            </w:r>
          </w:p>
        </w:tc>
        <w:tc>
          <w:tcPr>
            <w:tcW w:type="dxa" w:w="2160"/>
          </w:tcPr>
          <w:p>
            <w:r>
              <w:rPr>
                <w:sz w:val="20"/>
              </w:rPr>
              <w:t>Ven 31 juillet (matin)</w:t>
            </w:r>
          </w:p>
        </w:tc>
        <w:tc>
          <w:tcPr>
            <w:tcW w:type="dxa" w:w="2160"/>
          </w:tcPr>
          <w:p>
            <w:r>
              <w:rPr>
                <w:sz w:val="20"/>
              </w:rPr>
              <w:t>0,5 j</w:t>
            </w:r>
          </w:p>
        </w:tc>
        <w:tc>
          <w:tcPr>
            <w:tcW w:type="dxa" w:w="2160"/>
          </w:tcPr>
          <w:p>
            <w:r>
              <w:rPr>
                <w:sz w:val="20"/>
              </w:rPr>
              <w:t>Avoir un livrable concret prêt AVANT le point d'équipe de vendredi, pour que la validation porte sur quelque chose de réel.</w:t>
            </w:r>
          </w:p>
        </w:tc>
      </w:tr>
      <w:tr>
        <w:tc>
          <w:tcPr>
            <w:tcW w:type="dxa" w:w="2160"/>
          </w:tcPr>
          <w:p>
            <w:r>
              <w:rPr>
                <w:sz w:val="20"/>
              </w:rPr>
              <w:t>Ajustements suite aux retours de la réunion d'équipe.</w:t>
            </w:r>
          </w:p>
        </w:tc>
        <w:tc>
          <w:tcPr>
            <w:tcW w:type="dxa" w:w="2160"/>
          </w:tcPr>
          <w:p>
            <w:r>
              <w:rPr>
                <w:sz w:val="20"/>
              </w:rPr>
              <w:t>Sam 1 – Dim 2 août</w:t>
            </w:r>
          </w:p>
        </w:tc>
        <w:tc>
          <w:tcPr>
            <w:tcW w:type="dxa" w:w="2160"/>
          </w:tcPr>
          <w:p>
            <w:r>
              <w:rPr>
                <w:sz w:val="20"/>
              </w:rPr>
              <w:t>2 j (marge)</w:t>
            </w:r>
          </w:p>
        </w:tc>
        <w:tc>
          <w:tcPr>
            <w:tcW w:type="dxa" w:w="2160"/>
          </w:tcPr>
          <w:p>
            <w:r>
              <w:rPr>
                <w:sz w:val="20"/>
              </w:rPr>
              <w:t>Absorber les retours sans décaler le début de la semaine 2.</w:t>
            </w:r>
          </w:p>
        </w:tc>
      </w:tr>
    </w:tbl>
    <w:p>
      <w:pPr>
        <w:spacing w:after="40"/>
      </w:pPr>
    </w:p>
    <w:p>
      <w:pPr>
        <w:spacing w:after="60"/>
      </w:pPr>
      <w:r>
        <w:rPr>
          <w:b/>
          <w:i w:val="0"/>
          <w:sz w:val="22"/>
        </w:rPr>
        <w:t>Marie-Thérèse (avec l'aide de Claude)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4472C4"/>
          </w:tcPr>
          <w:p>
            <w:r>
              <w:rPr>
                <w:b/>
                <w:color w:val="FFFFFF"/>
                <w:sz w:val="20"/>
              </w:rPr>
              <w:t>Tâche</w:t>
            </w:r>
          </w:p>
        </w:tc>
        <w:tc>
          <w:tcPr>
            <w:tcW w:type="dxa" w:w="2160"/>
            <w:shd w:val="clear" w:color="auto" w:fill="4472C4"/>
          </w:tcPr>
          <w:p>
            <w:r>
              <w:rPr>
                <w:b/>
                <w:color w:val="FFFFFF"/>
                <w:sz w:val="20"/>
              </w:rPr>
              <w:t>Dates</w:t>
            </w:r>
          </w:p>
        </w:tc>
        <w:tc>
          <w:tcPr>
            <w:tcW w:type="dxa" w:w="2160"/>
            <w:shd w:val="clear" w:color="auto" w:fill="4472C4"/>
          </w:tcPr>
          <w:p>
            <w:r>
              <w:rPr>
                <w:b/>
                <w:color w:val="FFFFFF"/>
                <w:sz w:val="20"/>
              </w:rPr>
              <w:t>Durée</w:t>
            </w:r>
          </w:p>
        </w:tc>
        <w:tc>
          <w:tcPr>
            <w:tcW w:type="dxa" w:w="2160"/>
            <w:shd w:val="clear" w:color="auto" w:fill="4472C4"/>
          </w:tcPr>
          <w:p>
            <w:r>
              <w:rPr>
                <w:b/>
                <w:color w:val="FFFFFF"/>
                <w:sz w:val="20"/>
              </w:rPr>
              <w:t>But de la tâche</w:t>
            </w:r>
          </w:p>
        </w:tc>
      </w:tr>
      <w:tr>
        <w:tc>
          <w:tcPr>
            <w:tcW w:type="dxa" w:w="2160"/>
          </w:tcPr>
          <w:p>
            <w:r>
              <w:rPr>
                <w:sz w:val="20"/>
              </w:rPr>
              <w:t>Récupérer le nouveau Loan_Default_Cameroun_Enrichi.csv (script 03 d'Aristide, via la branche aristide ou un fichier partagé) — l'ancien CSV enrichi et les deux dictionnaires restent en local, leur push n'a plus de valeur puisqu'ils sont remplacés par le script versionné.</w:t>
            </w:r>
          </w:p>
        </w:tc>
        <w:tc>
          <w:tcPr>
            <w:tcW w:type="dxa" w:w="2160"/>
          </w:tcPr>
          <w:p>
            <w:r>
              <w:rPr>
                <w:sz w:val="20"/>
              </w:rPr>
              <w:t>Mer 29 juillet</w:t>
            </w:r>
          </w:p>
        </w:tc>
        <w:tc>
          <w:tcPr>
            <w:tcW w:type="dxa" w:w="2160"/>
          </w:tcPr>
          <w:p>
            <w:r>
              <w:rPr>
                <w:sz w:val="20"/>
              </w:rPr>
              <w:t>1 j</w:t>
            </w:r>
          </w:p>
        </w:tc>
        <w:tc>
          <w:tcPr>
            <w:tcW w:type="dxa" w:w="2160"/>
          </w:tcPr>
          <w:p>
            <w:r>
              <w:rPr>
                <w:sz w:val="20"/>
              </w:rPr>
              <w:t>Disposer du dataset assaini avant le contrôle qualité du jeudi, sans perdre de temps à préserver un livrable devenu obsolète.</w:t>
            </w:r>
          </w:p>
        </w:tc>
      </w:tr>
      <w:tr>
        <w:tc>
          <w:tcPr>
            <w:tcW w:type="dxa" w:w="2160"/>
          </w:tcPr>
          <w:p>
            <w:r>
              <w:rPr>
                <w:sz w:val="20"/>
              </w:rPr>
              <w:t>Valider sur un échantillon que le script d'Aristide applique correctement les règles de génération tranchées (probabilités tontine/mobile money/saisonnalité par secteur et région).</w:t>
            </w:r>
          </w:p>
        </w:tc>
        <w:tc>
          <w:tcPr>
            <w:tcW w:type="dxa" w:w="2160"/>
          </w:tcPr>
          <w:p>
            <w:r>
              <w:rPr>
                <w:sz w:val="20"/>
              </w:rPr>
              <w:t>Jeu 30 juillet</w:t>
            </w:r>
          </w:p>
        </w:tc>
        <w:tc>
          <w:tcPr>
            <w:tcW w:type="dxa" w:w="2160"/>
          </w:tcPr>
          <w:p>
            <w:r>
              <w:rPr>
                <w:sz w:val="20"/>
              </w:rPr>
              <w:t>1 j</w:t>
            </w:r>
          </w:p>
        </w:tc>
        <w:tc>
          <w:tcPr>
            <w:tcW w:type="dxa" w:w="2160"/>
          </w:tcPr>
          <w:p>
            <w:r>
              <w:rPr>
                <w:sz w:val="20"/>
              </w:rPr>
              <w:t>Contrôle qualité du résultat, pas une nouvelle discussion sur le principe — les règles sont déjà fixées en section 3.</w:t>
            </w:r>
          </w:p>
        </w:tc>
      </w:tr>
      <w:tr>
        <w:tc>
          <w:tcPr>
            <w:tcW w:type="dxa" w:w="2160"/>
          </w:tcPr>
          <w:p>
            <w:r>
              <w:rPr>
                <w:sz w:val="20"/>
              </w:rPr>
              <w:t>Mettre à jour le dictionnaire de données avec les règles appliquées (section 3) et les codes hérités non traduits.</w:t>
            </w:r>
          </w:p>
        </w:tc>
        <w:tc>
          <w:tcPr>
            <w:tcW w:type="dxa" w:w="2160"/>
          </w:tcPr>
          <w:p>
            <w:r>
              <w:rPr>
                <w:sz w:val="20"/>
              </w:rPr>
              <w:t>Jeu 30 – Ven 31 juillet (matin)</w:t>
            </w:r>
          </w:p>
        </w:tc>
        <w:tc>
          <w:tcPr>
            <w:tcW w:type="dxa" w:w="2160"/>
          </w:tcPr>
          <w:p>
            <w:r>
              <w:rPr>
                <w:sz w:val="20"/>
              </w:rPr>
              <w:t>1 j</w:t>
            </w:r>
          </w:p>
        </w:tc>
        <w:tc>
          <w:tcPr>
            <w:tcW w:type="dxa" w:w="2160"/>
          </w:tcPr>
          <w:p>
            <w:r>
              <w:rPr>
                <w:sz w:val="20"/>
              </w:rPr>
              <w:t>Démarrer dès jeudi (temps libéré par l'abandon du push de l'ancien CSV) pour avoir une documentation à jour prête pour la réunion d'équipe du vendredi.</w:t>
            </w:r>
          </w:p>
        </w:tc>
      </w:tr>
    </w:tbl>
    <w:p>
      <w:pPr>
        <w:spacing w:after="40"/>
      </w:pPr>
    </w:p>
    <w:p>
      <w:pPr>
        <w:spacing w:after="60"/>
      </w:pPr>
      <w:r>
        <w:rPr>
          <w:b/>
          <w:i w:val="0"/>
          <w:sz w:val="22"/>
        </w:rPr>
        <w:t>Andy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4472C4"/>
          </w:tcPr>
          <w:p>
            <w:r>
              <w:rPr>
                <w:b/>
                <w:color w:val="FFFFFF"/>
                <w:sz w:val="20"/>
              </w:rPr>
              <w:t>Tâche</w:t>
            </w:r>
          </w:p>
        </w:tc>
        <w:tc>
          <w:tcPr>
            <w:tcW w:type="dxa" w:w="2160"/>
            <w:shd w:val="clear" w:color="auto" w:fill="4472C4"/>
          </w:tcPr>
          <w:p>
            <w:r>
              <w:rPr>
                <w:b/>
                <w:color w:val="FFFFFF"/>
                <w:sz w:val="20"/>
              </w:rPr>
              <w:t>Dates</w:t>
            </w:r>
          </w:p>
        </w:tc>
        <w:tc>
          <w:tcPr>
            <w:tcW w:type="dxa" w:w="2160"/>
            <w:shd w:val="clear" w:color="auto" w:fill="4472C4"/>
          </w:tcPr>
          <w:p>
            <w:r>
              <w:rPr>
                <w:b/>
                <w:color w:val="FFFFFF"/>
                <w:sz w:val="20"/>
              </w:rPr>
              <w:t>Durée</w:t>
            </w:r>
          </w:p>
        </w:tc>
        <w:tc>
          <w:tcPr>
            <w:tcW w:type="dxa" w:w="2160"/>
            <w:shd w:val="clear" w:color="auto" w:fill="4472C4"/>
          </w:tcPr>
          <w:p>
            <w:r>
              <w:rPr>
                <w:b/>
                <w:color w:val="FFFFFF"/>
                <w:sz w:val="20"/>
              </w:rPr>
              <w:t>But de la tâche</w:t>
            </w:r>
          </w:p>
        </w:tc>
      </w:tr>
      <w:tr>
        <w:tc>
          <w:tcPr>
            <w:tcW w:type="dxa" w:w="2160"/>
          </w:tcPr>
          <w:p>
            <w:r>
              <w:rPr>
                <w:sz w:val="20"/>
              </w:rPr>
              <w:t>Récupérer le nouveau Loan_Default_Cameroun_Enrichi.csv (script 03 d'Aristide, via la branche aristide ou un fichier partagé) — l'ancien .pbix reste en local, son push n'a plus de valeur : il a été construit sur des variables aujourd'hui supprimées ou régénérées (fuite, colonnes immobilières, tontine/mobile money/saisonnalité bruitées).</w:t>
            </w:r>
          </w:p>
        </w:tc>
        <w:tc>
          <w:tcPr>
            <w:tcW w:type="dxa" w:w="2160"/>
          </w:tcPr>
          <w:p>
            <w:r>
              <w:rPr>
                <w:sz w:val="20"/>
              </w:rPr>
              <w:t>Mer 29 juillet</w:t>
            </w:r>
          </w:p>
        </w:tc>
        <w:tc>
          <w:tcPr>
            <w:tcW w:type="dxa" w:w="2160"/>
          </w:tcPr>
          <w:p>
            <w:r>
              <w:rPr>
                <w:sz w:val="20"/>
              </w:rPr>
              <w:t>1 j</w:t>
            </w:r>
          </w:p>
        </w:tc>
        <w:tc>
          <w:tcPr>
            <w:tcW w:type="dxa" w:w="2160"/>
          </w:tcPr>
          <w:p>
            <w:r>
              <w:rPr>
                <w:sz w:val="20"/>
              </w:rPr>
              <w:t>Disposer du dataset assaini avant l'EDA, sans perdre de temps à archiver un tableau de bord devenu obsolète.</w:t>
            </w:r>
          </w:p>
        </w:tc>
      </w:tr>
      <w:tr>
        <w:tc>
          <w:tcPr>
            <w:tcW w:type="dxa" w:w="2160"/>
          </w:tcPr>
          <w:p>
            <w:r>
              <w:rPr>
                <w:sz w:val="20"/>
              </w:rPr>
              <w:t>EDA pour confirmer statistiquement l'effet des règles de génération appliquées, et alimenter la shortlist de features de la semaine 2.</w:t>
            </w:r>
          </w:p>
        </w:tc>
        <w:tc>
          <w:tcPr>
            <w:tcW w:type="dxa" w:w="2160"/>
          </w:tcPr>
          <w:p>
            <w:r>
              <w:rPr>
                <w:sz w:val="20"/>
              </w:rPr>
              <w:t>Jeu 30 – Ven 31 juillet (matin)</w:t>
            </w:r>
          </w:p>
        </w:tc>
        <w:tc>
          <w:tcPr>
            <w:tcW w:type="dxa" w:w="2160"/>
          </w:tcPr>
          <w:p>
            <w:r>
              <w:rPr>
                <w:sz w:val="20"/>
              </w:rPr>
              <w:t>1,5 j</w:t>
            </w:r>
          </w:p>
        </w:tc>
        <w:tc>
          <w:tcPr>
            <w:tcW w:type="dxa" w:w="2160"/>
          </w:tcPr>
          <w:p>
            <w:r>
              <w:rPr>
                <w:sz w:val="20"/>
              </w:rPr>
              <w:t>Vérifier par les chiffres que les nouvelles variables se comportent comme prévu, avant de les intégrer à la modélisation.</w:t>
            </w:r>
          </w:p>
        </w:tc>
      </w:tr>
    </w:tbl>
    <w:p>
      <w:pPr>
        <w:spacing w:after="40"/>
      </w:pPr>
    </w:p>
    <w:p>
      <w:pPr>
        <w:spacing w:after="40"/>
      </w:pPr>
      <w:r>
        <w:rPr>
          <w:b/>
        </w:rPr>
        <w:t>Ordre de succession (points de vigilance)</w:t>
      </w:r>
    </w:p>
    <w:p>
      <w:pPr>
        <w:spacing w:after="40"/>
      </w:pPr>
      <w:r>
        <w:t>1) Le script d'Aristide (mer 29 - jeu 30) doit etre pousse sur GitHub avant que Marie-Therese et Andy ne puissent recuperer le nouveau CSV : leurs taches du mercredi 29 sont donc en pratique decalees au jeudi 30 matin, pas executables des le mercredi comme le tableau le suggere litteralement - le mercredi sert a preparer l'environnement de travail, pas a charger un fichier qui n'existe pas encore. 2) Jeudi 30 : Marie-Therese ne peut valider le script qu'une fois la version d'Aristide poussee - Aristide pousse en priorite le matin pour laisser a Marie-Therese le temps de valider et a Andy de demarrer son EDA le meme jour. 3) Marie-Therese enchaine sa mise a jour du dictionnaire de donnees juste apres sa propre validation, le meme jour, pour documenter des regles confirmees et non supposees. 4) Vendredi 31 matin : les 3 livrables (PR d'Aristide, dictionnaire a jour de Marie-Therese, EDA d'Andy) doivent etre termines avant le point d'equipe d'1h - a caler en debut d'apres-midi plutot qu'en fin de matinee pour laisser une vraie marge.</w:t>
      </w:r>
    </w:p>
    <w:p>
      <w:pPr>
        <w:spacing w:after="40"/>
      </w:pPr>
      <w:r>
        <w:rPr>
          <w:b/>
          <w:i w:val="0"/>
          <w:sz w:val="22"/>
        </w:rPr>
        <w:t>Point d'équipe</w:t>
      </w:r>
    </w:p>
    <w:p>
      <w:pPr>
        <w:spacing w:after="160"/>
      </w:pPr>
      <w:r>
        <w:rPr>
          <w:b w:val="0"/>
          <w:i/>
          <w:sz w:val="22"/>
        </w:rPr>
        <w:t>Vendredi 31 juillet (1h) : contrôle final du dataset v2 (pas une re-discussion des règles, déjà actées) et gel avant la semaine 2.</w:t>
      </w:r>
    </w:p>
    <w:p>
      <w:pPr>
        <w:spacing w:after="40"/>
      </w:pPr>
      <w:r>
        <w:rPr>
          <w:b/>
          <w:i w:val="0"/>
          <w:sz w:val="22"/>
        </w:rPr>
        <w:t>Livrable de fin de semaine</w:t>
      </w:r>
    </w:p>
    <w:p>
      <w:pPr>
        <w:spacing w:after="160"/>
      </w:pPr>
      <w:r>
        <w:rPr>
          <w:b w:val="0"/>
          <w:i w:val="0"/>
          <w:sz w:val="22"/>
        </w:rPr>
        <w:t>Loan_Default_Cameroun_v2.csv + script d'enrichissement versionné, dictionnaire de données à jour, tout le travail de l'équipe visible sur GitHub.</w:t>
      </w:r>
    </w:p>
    <w:p>
      <w:pPr>
        <w:spacing w:after="40"/>
      </w:pPr>
      <w:r>
        <w:rPr>
          <w:b/>
          <w:i w:val="0"/>
          <w:sz w:val="22"/>
        </w:rPr>
        <w:t>Justification de l'approche adoptée (vue d'ensemble de la semaine)</w:t>
      </w:r>
    </w:p>
    <w:p>
      <w:pPr>
        <w:spacing w:after="280"/>
      </w:pPr>
      <w:r>
        <w:rPr>
          <w:b w:val="0"/>
          <w:i w:val="0"/>
          <w:sz w:val="22"/>
        </w:rPr>
        <w:t>Les arbitrages sur les 8 variables camerounaises (section 3) ont été tranchés directement le 29 juillet plutôt que réservés à une session d'équipe : cela transforme la Semaine 1 en semaine d'exécution (coder, committer, valider) plutôt qu'en semaine de décision, et libère du temps pour Marie-Thérèse (contrôle qualité d'une journée au lieu d'une session d'arbitrage de deux jours). Un modèle entraîné sur une variable qui fuit la cible donnerait des métriques artificiellement parfaites, invalides dès qu'un jury regarderait le détail : corriger cela avant la semaine 2 coûte deux jours de code ; le faire après signifierait ré-entraîner tous les modèles. Constat du 30 juillet : le retard de synchronisation Git d'Andy et Marie-Thérèse portait sur des livrables (ancien CSV enrichi, .pbix) devenus obsolètes avec le script 03 — les pousser tels quels n'aurait eu aucune valeur. La vraie priorité du premier jour est donc de leur donner accès au nouveau dataset reproductible, pour qu'ils retravaillent directement sur le v2 plutôt que de perdre du temps à sauvegarder un livrable remplacé.</w:t>
      </w:r>
    </w:p>
    <w:p/>
    <w:p>
      <w:pPr>
        <w:pStyle w:val="Heading2"/>
      </w:pPr>
      <w:r>
        <w:t>Semaine 2 — lundi 3 août – dimanche 9 août 2026 (7 jours)</w:t>
      </w:r>
    </w:p>
    <w:p>
      <w:pPr>
        <w:spacing w:after="120"/>
      </w:pPr>
      <w:r>
        <w:rPr>
          <w:b/>
          <w:i w:val="0"/>
          <w:color w:val="2E5395"/>
          <w:sz w:val="24"/>
        </w:rPr>
        <w:t>Nettoyage avancé et feature engineering</w:t>
      </w:r>
    </w:p>
    <w:p>
      <w:pPr>
        <w:spacing w:after="40"/>
      </w:pPr>
      <w:r>
        <w:rPr>
          <w:b/>
          <w:i w:val="0"/>
          <w:sz w:val="22"/>
        </w:rPr>
        <w:t>Objectif de la semaine</w:t>
      </w:r>
    </w:p>
    <w:p>
      <w:pPr>
        <w:spacing w:after="160"/>
      </w:pPr>
      <w:r>
        <w:rPr>
          <w:b w:val="0"/>
          <w:i w:val="0"/>
          <w:sz w:val="22"/>
        </w:rPr>
        <w:t>Obtenir un dataset numériquement prêt pour l'entraînement (valeurs manquantes traitées, variables catégorielles encodées) et une liste de features validée avant de lancer la modélisation.</w:t>
      </w:r>
    </w:p>
    <w:p>
      <w:pPr>
        <w:spacing w:after="60"/>
      </w:pPr>
      <w:r>
        <w:rPr>
          <w:b/>
          <w:i w:val="0"/>
          <w:sz w:val="22"/>
        </w:rPr>
        <w:t>Aristide (avec l'aide de Claude)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4472C4"/>
          </w:tcPr>
          <w:p>
            <w:r>
              <w:rPr>
                <w:b/>
                <w:color w:val="FFFFFF"/>
                <w:sz w:val="20"/>
              </w:rPr>
              <w:t>Tâche</w:t>
            </w:r>
          </w:p>
        </w:tc>
        <w:tc>
          <w:tcPr>
            <w:tcW w:type="dxa" w:w="2160"/>
            <w:shd w:val="clear" w:color="auto" w:fill="4472C4"/>
          </w:tcPr>
          <w:p>
            <w:r>
              <w:rPr>
                <w:b/>
                <w:color w:val="FFFFFF"/>
                <w:sz w:val="20"/>
              </w:rPr>
              <w:t>Dates</w:t>
            </w:r>
          </w:p>
        </w:tc>
        <w:tc>
          <w:tcPr>
            <w:tcW w:type="dxa" w:w="2160"/>
            <w:shd w:val="clear" w:color="auto" w:fill="4472C4"/>
          </w:tcPr>
          <w:p>
            <w:r>
              <w:rPr>
                <w:b/>
                <w:color w:val="FFFFFF"/>
                <w:sz w:val="20"/>
              </w:rPr>
              <w:t>Durée</w:t>
            </w:r>
          </w:p>
        </w:tc>
        <w:tc>
          <w:tcPr>
            <w:tcW w:type="dxa" w:w="2160"/>
            <w:shd w:val="clear" w:color="auto" w:fill="4472C4"/>
          </w:tcPr>
          <w:p>
            <w:r>
              <w:rPr>
                <w:b/>
                <w:color w:val="FFFFFF"/>
                <w:sz w:val="20"/>
              </w:rPr>
              <w:t>But de la tâche</w:t>
            </w:r>
          </w:p>
        </w:tc>
      </w:tr>
      <w:tr>
        <w:tc>
          <w:tcPr>
            <w:tcW w:type="dxa" w:w="2160"/>
          </w:tcPr>
          <w:p>
            <w:r>
              <w:rPr>
                <w:sz w:val="20"/>
              </w:rPr>
              <w:t>Traitement des valeurs manquantes (imputation médiane pour les variables numériques, mode pour les catégorielles) et traitement des valeurs aberrantes (méthode IQR).</w:t>
            </w:r>
          </w:p>
        </w:tc>
        <w:tc>
          <w:tcPr>
            <w:tcW w:type="dxa" w:w="2160"/>
          </w:tcPr>
          <w:p>
            <w:r>
              <w:rPr>
                <w:sz w:val="20"/>
              </w:rPr>
              <w:t>Lun 3 – Mar 4 août</w:t>
            </w:r>
          </w:p>
        </w:tc>
        <w:tc>
          <w:tcPr>
            <w:tcW w:type="dxa" w:w="2160"/>
          </w:tcPr>
          <w:p>
            <w:r>
              <w:rPr>
                <w:sz w:val="20"/>
              </w:rPr>
              <w:t>2 j</w:t>
            </w:r>
          </w:p>
        </w:tc>
        <w:tc>
          <w:tcPr>
            <w:tcW w:type="dxa" w:w="2160"/>
          </w:tcPr>
          <w:p>
            <w:r>
              <w:rPr>
                <w:sz w:val="20"/>
              </w:rPr>
              <w:t>Un modèle entraîné sur des valeurs manquantes ou des valeurs extrêmes non traitées donne des métriques trompeuses.</w:t>
            </w:r>
          </w:p>
        </w:tc>
      </w:tr>
      <w:tr>
        <w:tc>
          <w:tcPr>
            <w:tcW w:type="dxa" w:w="2160"/>
          </w:tcPr>
          <w:p>
            <w:r>
              <w:rPr>
                <w:sz w:val="20"/>
              </w:rPr>
              <w:t>Encodage des variables catégorielles (Label Encoding / One-Hot Encoding) et normalisation (StandardScaler), en appliquant la liste de features validée par Andy (catégorie A, section 4).</w:t>
            </w:r>
          </w:p>
        </w:tc>
        <w:tc>
          <w:tcPr>
            <w:tcW w:type="dxa" w:w="2160"/>
          </w:tcPr>
          <w:p>
            <w:r>
              <w:rPr>
                <w:sz w:val="20"/>
              </w:rPr>
              <w:t>Mer 5 – Jeu 6 août</w:t>
            </w:r>
          </w:p>
        </w:tc>
        <w:tc>
          <w:tcPr>
            <w:tcW w:type="dxa" w:w="2160"/>
          </w:tcPr>
          <w:p>
            <w:r>
              <w:rPr>
                <w:sz w:val="20"/>
              </w:rPr>
              <w:t>2 j</w:t>
            </w:r>
          </w:p>
        </w:tc>
        <w:tc>
          <w:tcPr>
            <w:tcW w:type="dxa" w:w="2160"/>
          </w:tcPr>
          <w:p>
            <w:r>
              <w:rPr>
                <w:sz w:val="20"/>
              </w:rPr>
              <w:t>Mettre les données sous une forme numérique exploitable par les algorithmes de la semaine 3.</w:t>
            </w:r>
          </w:p>
        </w:tc>
      </w:tr>
      <w:tr>
        <w:tc>
          <w:tcPr>
            <w:tcW w:type="dxa" w:w="2160"/>
          </w:tcPr>
          <w:p>
            <w:r>
              <w:rPr>
                <w:sz w:val="20"/>
              </w:rPr>
              <w:t>Finaliser et pousser le notebook 01_preparation_donnees.ipynb.</w:t>
            </w:r>
          </w:p>
        </w:tc>
        <w:tc>
          <w:tcPr>
            <w:tcW w:type="dxa" w:w="2160"/>
          </w:tcPr>
          <w:p>
            <w:r>
              <w:rPr>
                <w:sz w:val="20"/>
              </w:rPr>
              <w:t>Ven 7 août</w:t>
            </w:r>
          </w:p>
        </w:tc>
        <w:tc>
          <w:tcPr>
            <w:tcW w:type="dxa" w:w="2160"/>
          </w:tcPr>
          <w:p>
            <w:r>
              <w:rPr>
                <w:sz w:val="20"/>
              </w:rPr>
              <w:t>1 j</w:t>
            </w:r>
          </w:p>
        </w:tc>
        <w:tc>
          <w:tcPr>
            <w:tcW w:type="dxa" w:w="2160"/>
          </w:tcPr>
          <w:p>
            <w:r>
              <w:rPr>
                <w:sz w:val="20"/>
              </w:rPr>
              <w:t>Livrer un notebook commenté et reproductible, pas juste un script de travail personnel.</w:t>
            </w:r>
          </w:p>
        </w:tc>
      </w:tr>
    </w:tbl>
    <w:p>
      <w:pPr>
        <w:spacing w:after="40"/>
      </w:pPr>
    </w:p>
    <w:p>
      <w:pPr>
        <w:spacing w:after="60"/>
      </w:pPr>
      <w:r>
        <w:rPr>
          <w:b/>
          <w:i w:val="0"/>
          <w:sz w:val="22"/>
        </w:rPr>
        <w:t>Andy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4472C4"/>
          </w:tcPr>
          <w:p>
            <w:r>
              <w:rPr>
                <w:b/>
                <w:color w:val="FFFFFF"/>
                <w:sz w:val="20"/>
              </w:rPr>
              <w:t>Tâche</w:t>
            </w:r>
          </w:p>
        </w:tc>
        <w:tc>
          <w:tcPr>
            <w:tcW w:type="dxa" w:w="2160"/>
            <w:shd w:val="clear" w:color="auto" w:fill="4472C4"/>
          </w:tcPr>
          <w:p>
            <w:r>
              <w:rPr>
                <w:b/>
                <w:color w:val="FFFFFF"/>
                <w:sz w:val="20"/>
              </w:rPr>
              <w:t>Dates</w:t>
            </w:r>
          </w:p>
        </w:tc>
        <w:tc>
          <w:tcPr>
            <w:tcW w:type="dxa" w:w="2160"/>
            <w:shd w:val="clear" w:color="auto" w:fill="4472C4"/>
          </w:tcPr>
          <w:p>
            <w:r>
              <w:rPr>
                <w:b/>
                <w:color w:val="FFFFFF"/>
                <w:sz w:val="20"/>
              </w:rPr>
              <w:t>Durée</w:t>
            </w:r>
          </w:p>
        </w:tc>
        <w:tc>
          <w:tcPr>
            <w:tcW w:type="dxa" w:w="2160"/>
            <w:shd w:val="clear" w:color="auto" w:fill="4472C4"/>
          </w:tcPr>
          <w:p>
            <w:r>
              <w:rPr>
                <w:b/>
                <w:color w:val="FFFFFF"/>
                <w:sz w:val="20"/>
              </w:rPr>
              <w:t>But de la tâche</w:t>
            </w:r>
          </w:p>
        </w:tc>
      </w:tr>
      <w:tr>
        <w:tc>
          <w:tcPr>
            <w:tcW w:type="dxa" w:w="2160"/>
          </w:tcPr>
          <w:p>
            <w:r>
              <w:rPr>
                <w:sz w:val="20"/>
              </w:rPr>
              <w:t>EDA bivariée et multivariée sur le dataset v2 (histogrammes, boxplots, matrice de corrélation).</w:t>
            </w:r>
          </w:p>
        </w:tc>
        <w:tc>
          <w:tcPr>
            <w:tcW w:type="dxa" w:w="2160"/>
          </w:tcPr>
          <w:p>
            <w:r>
              <w:rPr>
                <w:sz w:val="20"/>
              </w:rPr>
              <w:t>Lun 3 – Mer 5 août</w:t>
            </w:r>
          </w:p>
        </w:tc>
        <w:tc>
          <w:tcPr>
            <w:tcW w:type="dxa" w:w="2160"/>
          </w:tcPr>
          <w:p>
            <w:r>
              <w:rPr>
                <w:sz w:val="20"/>
              </w:rPr>
              <w:t>3 j</w:t>
            </w:r>
          </w:p>
        </w:tc>
        <w:tc>
          <w:tcPr>
            <w:tcW w:type="dxa" w:w="2160"/>
          </w:tcPr>
          <w:p>
            <w:r>
              <w:rPr>
                <w:sz w:val="20"/>
              </w:rPr>
              <w:t>Objectiver quelles variables méritent d'entrer dans le modèle sur la base de preuves statistiques, pas d'intuition.</w:t>
            </w:r>
          </w:p>
        </w:tc>
      </w:tr>
      <w:tr>
        <w:tc>
          <w:tcPr>
            <w:tcW w:type="dxa" w:w="2160"/>
          </w:tcPr>
          <w:p>
            <w:r>
              <w:rPr>
                <w:sz w:val="20"/>
              </w:rPr>
              <w:t>Proposer la liste de features finale pour la modélisation (catégorie A de la section 4 + arbitrages de la semaine 1).</w:t>
            </w:r>
          </w:p>
        </w:tc>
        <w:tc>
          <w:tcPr>
            <w:tcW w:type="dxa" w:w="2160"/>
          </w:tcPr>
          <w:p>
            <w:r>
              <w:rPr>
                <w:sz w:val="20"/>
              </w:rPr>
              <w:t>Jeu 6 août</w:t>
            </w:r>
          </w:p>
        </w:tc>
        <w:tc>
          <w:tcPr>
            <w:tcW w:type="dxa" w:w="2160"/>
          </w:tcPr>
          <w:p>
            <w:r>
              <w:rPr>
                <w:sz w:val="20"/>
              </w:rPr>
              <w:t>1 j</w:t>
            </w:r>
          </w:p>
        </w:tc>
        <w:tc>
          <w:tcPr>
            <w:tcW w:type="dxa" w:w="2160"/>
          </w:tcPr>
          <w:p>
            <w:r>
              <w:rPr>
                <w:sz w:val="20"/>
              </w:rPr>
              <w:t>Figer une liste commune avant que les entraînements ne démarrent, pour ne pas les refaire plusieurs fois.</w:t>
            </w:r>
          </w:p>
        </w:tc>
      </w:tr>
      <w:tr>
        <w:tc>
          <w:tcPr>
            <w:tcW w:type="dxa" w:w="2160"/>
          </w:tcPr>
          <w:p>
            <w:r>
              <w:rPr>
                <w:sz w:val="20"/>
              </w:rPr>
              <w:t>Mettre à jour le tableau de bord Power BI avec les variables confirmées utiles.</w:t>
            </w:r>
          </w:p>
        </w:tc>
        <w:tc>
          <w:tcPr>
            <w:tcW w:type="dxa" w:w="2160"/>
          </w:tcPr>
          <w:p>
            <w:r>
              <w:rPr>
                <w:sz w:val="20"/>
              </w:rPr>
              <w:t>Ven 7 – Sam 8 août</w:t>
            </w:r>
          </w:p>
        </w:tc>
        <w:tc>
          <w:tcPr>
            <w:tcW w:type="dxa" w:w="2160"/>
          </w:tcPr>
          <w:p>
            <w:r>
              <w:rPr>
                <w:sz w:val="20"/>
              </w:rPr>
              <w:t>2 j</w:t>
            </w:r>
          </w:p>
        </w:tc>
        <w:tc>
          <w:tcPr>
            <w:tcW w:type="dxa" w:w="2160"/>
          </w:tcPr>
          <w:p>
            <w:r>
              <w:rPr>
                <w:sz w:val="20"/>
              </w:rPr>
              <w:t>Garder le support Power BI cohérent avec les décisions prises sur les variables, pour la soutenance et le rapport.</w:t>
            </w:r>
          </w:p>
        </w:tc>
      </w:tr>
    </w:tbl>
    <w:p>
      <w:pPr>
        <w:spacing w:after="40"/>
      </w:pPr>
    </w:p>
    <w:p>
      <w:pPr>
        <w:spacing w:after="60"/>
      </w:pPr>
      <w:r>
        <w:rPr>
          <w:b/>
          <w:i w:val="0"/>
          <w:sz w:val="22"/>
        </w:rPr>
        <w:t>Marie-Thérèse (avec l'aide de Claude)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4472C4"/>
          </w:tcPr>
          <w:p>
            <w:r>
              <w:rPr>
                <w:b/>
                <w:color w:val="FFFFFF"/>
                <w:sz w:val="20"/>
              </w:rPr>
              <w:t>Tâche</w:t>
            </w:r>
          </w:p>
        </w:tc>
        <w:tc>
          <w:tcPr>
            <w:tcW w:type="dxa" w:w="2160"/>
            <w:shd w:val="clear" w:color="auto" w:fill="4472C4"/>
          </w:tcPr>
          <w:p>
            <w:r>
              <w:rPr>
                <w:b/>
                <w:color w:val="FFFFFF"/>
                <w:sz w:val="20"/>
              </w:rPr>
              <w:t>Dates</w:t>
            </w:r>
          </w:p>
        </w:tc>
        <w:tc>
          <w:tcPr>
            <w:tcW w:type="dxa" w:w="2160"/>
            <w:shd w:val="clear" w:color="auto" w:fill="4472C4"/>
          </w:tcPr>
          <w:p>
            <w:r>
              <w:rPr>
                <w:b/>
                <w:color w:val="FFFFFF"/>
                <w:sz w:val="20"/>
              </w:rPr>
              <w:t>Durée</w:t>
            </w:r>
          </w:p>
        </w:tc>
        <w:tc>
          <w:tcPr>
            <w:tcW w:type="dxa" w:w="2160"/>
            <w:shd w:val="clear" w:color="auto" w:fill="4472C4"/>
          </w:tcPr>
          <w:p>
            <w:r>
              <w:rPr>
                <w:b/>
                <w:color w:val="FFFFFF"/>
                <w:sz w:val="20"/>
              </w:rPr>
              <w:t>But de la tâche</w:t>
            </w:r>
          </w:p>
        </w:tc>
      </w:tr>
      <w:tr>
        <w:tc>
          <w:tcPr>
            <w:tcW w:type="dxa" w:w="2160"/>
          </w:tcPr>
          <w:p>
            <w:r>
              <w:rPr>
                <w:sz w:val="20"/>
              </w:rPr>
              <w:t>Définir les règles métier du formulaire (libellés clairs en français, bornes réalistes en FCFA pour chaque champ).</w:t>
            </w:r>
          </w:p>
        </w:tc>
        <w:tc>
          <w:tcPr>
            <w:tcW w:type="dxa" w:w="2160"/>
          </w:tcPr>
          <w:p>
            <w:r>
              <w:rPr>
                <w:sz w:val="20"/>
              </w:rPr>
              <w:t>Lun 3 – Mer 5 août</w:t>
            </w:r>
          </w:p>
        </w:tc>
        <w:tc>
          <w:tcPr>
            <w:tcW w:type="dxa" w:w="2160"/>
          </w:tcPr>
          <w:p>
            <w:r>
              <w:rPr>
                <w:sz w:val="20"/>
              </w:rPr>
              <w:t>3 j</w:t>
            </w:r>
          </w:p>
        </w:tc>
        <w:tc>
          <w:tcPr>
            <w:tcW w:type="dxa" w:w="2160"/>
          </w:tcPr>
          <w:p>
            <w:r>
              <w:rPr>
                <w:sz w:val="20"/>
              </w:rPr>
              <w:t>Éviter que l'application accepte des saisies absurdes (revenu négatif, prêt de plusieurs milliards) et parler un langage compréhensible par un agent de crédit non technique.</w:t>
            </w:r>
          </w:p>
        </w:tc>
      </w:tr>
      <w:tr>
        <w:tc>
          <w:tcPr>
            <w:tcW w:type="dxa" w:w="2160"/>
          </w:tcPr>
          <w:p>
            <w:r>
              <w:rPr>
                <w:sz w:val="20"/>
              </w:rPr>
              <w:t>Réaliser une maquette/wireframe de l'application Streamlit (écrans et enchaînement, pas encore de code).</w:t>
            </w:r>
          </w:p>
        </w:tc>
        <w:tc>
          <w:tcPr>
            <w:tcW w:type="dxa" w:w="2160"/>
          </w:tcPr>
          <w:p>
            <w:r>
              <w:rPr>
                <w:sz w:val="20"/>
              </w:rPr>
              <w:t>Jeu 6 – Ven 7 août</w:t>
            </w:r>
          </w:p>
        </w:tc>
        <w:tc>
          <w:tcPr>
            <w:tcW w:type="dxa" w:w="2160"/>
          </w:tcPr>
          <w:p>
            <w:r>
              <w:rPr>
                <w:sz w:val="20"/>
              </w:rPr>
              <w:t>2 j</w:t>
            </w:r>
          </w:p>
        </w:tc>
        <w:tc>
          <w:tcPr>
            <w:tcW w:type="dxa" w:w="2160"/>
          </w:tcPr>
          <w:p>
            <w:r>
              <w:rPr>
                <w:sz w:val="20"/>
              </w:rPr>
              <w:t>Valider la structure de l'application avant d'écrire le moindre code, pour ne pas la recoder en semaine 3.</w:t>
            </w:r>
          </w:p>
        </w:tc>
      </w:tr>
    </w:tbl>
    <w:p>
      <w:pPr>
        <w:spacing w:after="40"/>
      </w:pPr>
    </w:p>
    <w:p>
      <w:pPr>
        <w:spacing w:after="40"/>
      </w:pPr>
      <w:r>
        <w:rPr>
          <w:b/>
        </w:rPr>
        <w:t>Ordre de succession (points de vigilance)</w:t>
      </w:r>
    </w:p>
    <w:p>
      <w:pPr>
        <w:spacing w:after="40"/>
      </w:pPr>
      <w:r>
        <w:t>1) Lundi 3 - mardi 4 : les 3 membres travaillent en parallele sans dependance directe (nettoyage d'Aristide, EDA d'Andy, regles metier formulaire de Marie-Therese) - aucun risque de conflit ces deux jours. 2) Point de vigilance reel : la tache d'Aristide « encodage des variables categorielles en appliquant la liste de features validee par Andy » demarre mercredi 5, alors que la tache d'Andy « proposer la liste de features finale » n'est prevue que jeudi 6 - Aristide ne peut pas litteralement attendre la liste d'Andy pour commencer mercredi. En pratique : Aristide demarre son encodage mercredi avec la liste deja actee dans ce document (section 4) et dans Classification_Variables_Consolidee.txt (31 juillet) comme reference de travail ; la tache d'Andy du jeudi devient une validation/ajustement de cette liste via l'EDA, pas une proposition partant de zero - si Andy identifie un changement jeudi, Aristide ajuste son encodage avant de pousser son notebook vendredi. 3) Andy met a jour Power BI (vendredi-samedi) seulement apres avoir fige sa liste de features (jeudi) - tache sequentielle propre a Andy, aucun conflit externe. 4) Marie-Therese (maquette) est totalement independante du travail d'Aristide/Andy cette semaine.</w:t>
      </w:r>
    </w:p>
    <w:p>
      <w:pPr>
        <w:spacing w:after="40"/>
      </w:pPr>
      <w:r>
        <w:rPr>
          <w:b/>
          <w:i w:val="0"/>
          <w:sz w:val="22"/>
        </w:rPr>
        <w:t>Point d'équipe</w:t>
      </w:r>
    </w:p>
    <w:p>
      <w:pPr>
        <w:spacing w:after="160"/>
      </w:pPr>
      <w:r>
        <w:rPr>
          <w:b w:val="0"/>
          <w:i/>
          <w:sz w:val="22"/>
        </w:rPr>
        <w:t>Dimanche 9 août : validation croisée de la liste de features (Aristide/Andy) et de la maquette (Marie-Thérèse).</w:t>
      </w:r>
    </w:p>
    <w:p>
      <w:pPr>
        <w:spacing w:after="40"/>
      </w:pPr>
      <w:r>
        <w:rPr>
          <w:b/>
          <w:i w:val="0"/>
          <w:sz w:val="22"/>
        </w:rPr>
        <w:t>Livrable de fin de semaine</w:t>
      </w:r>
    </w:p>
    <w:p>
      <w:pPr>
        <w:spacing w:after="160"/>
      </w:pPr>
      <w:r>
        <w:rPr>
          <w:b w:val="0"/>
          <w:i w:val="0"/>
          <w:sz w:val="22"/>
        </w:rPr>
        <w:t>Notebook 01_preparation_donnees.ipynb complet, liste de features validée, maquette de l'application.</w:t>
      </w:r>
    </w:p>
    <w:p>
      <w:pPr>
        <w:spacing w:after="40"/>
      </w:pPr>
      <w:r>
        <w:rPr>
          <w:b/>
          <w:i w:val="0"/>
          <w:sz w:val="22"/>
        </w:rPr>
        <w:t>Justification de l'approche adoptée (vue d'ensemble de la semaine)</w:t>
      </w:r>
    </w:p>
    <w:p>
      <w:pPr>
        <w:spacing w:after="280"/>
      </w:pPr>
      <w:r>
        <w:rPr>
          <w:b w:val="0"/>
          <w:i w:val="0"/>
          <w:sz w:val="22"/>
        </w:rPr>
        <w:t>La liste de features doit être figée avant la modélisation (semaine 3) pour éviter de refaire les entraînements plusieurs fois. Faire travailler Marie-Thérèse sur la maquette de l'application dès cette semaine, en parallèle plutôt qu'en semaine 4 uniquement, lui donne le temps de réfléchir à l'ergonomie sans dépendre du modèle final, et évite un goulot d'étranglement où tout le travail applicatif se concentrerait sur les deux dernières semaines.</w:t>
      </w:r>
    </w:p>
    <w:p/>
    <w:p>
      <w:pPr>
        <w:pStyle w:val="Heading2"/>
      </w:pPr>
      <w:r>
        <w:t>Semaine 3 — lundi 10 août – dimanche 16 août 2026 (7 jours)</w:t>
      </w:r>
    </w:p>
    <w:p>
      <w:pPr>
        <w:spacing w:after="120"/>
      </w:pPr>
      <w:r>
        <w:rPr>
          <w:b/>
          <w:i w:val="0"/>
          <w:color w:val="2E5395"/>
          <w:sz w:val="24"/>
        </w:rPr>
        <w:t>Modélisation Machine Learning</w:t>
      </w:r>
    </w:p>
    <w:p>
      <w:pPr>
        <w:spacing w:after="40"/>
      </w:pPr>
      <w:r>
        <w:rPr>
          <w:b/>
          <w:i w:val="0"/>
          <w:sz w:val="22"/>
        </w:rPr>
        <w:t>Objectif de la semaine</w:t>
      </w:r>
    </w:p>
    <w:p>
      <w:pPr>
        <w:spacing w:after="160"/>
      </w:pPr>
      <w:r>
        <w:rPr>
          <w:b w:val="0"/>
          <w:i w:val="0"/>
          <w:sz w:val="22"/>
        </w:rPr>
        <w:t>Disposer de trois modèles entraînés et comparés, d'un modèle final sélectionné et sauvegardé, et d'un squelette d'application déjà en place.</w:t>
      </w:r>
    </w:p>
    <w:p>
      <w:pPr>
        <w:spacing w:after="60"/>
      </w:pPr>
      <w:r>
        <w:rPr>
          <w:b/>
          <w:i w:val="0"/>
          <w:sz w:val="22"/>
        </w:rPr>
        <w:t>Aristide (avec l'aide de Claude)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4472C4"/>
          </w:tcPr>
          <w:p>
            <w:r>
              <w:rPr>
                <w:b/>
                <w:color w:val="FFFFFF"/>
                <w:sz w:val="20"/>
              </w:rPr>
              <w:t>Tâche</w:t>
            </w:r>
          </w:p>
        </w:tc>
        <w:tc>
          <w:tcPr>
            <w:tcW w:type="dxa" w:w="2160"/>
            <w:shd w:val="clear" w:color="auto" w:fill="4472C4"/>
          </w:tcPr>
          <w:p>
            <w:r>
              <w:rPr>
                <w:b/>
                <w:color w:val="FFFFFF"/>
                <w:sz w:val="20"/>
              </w:rPr>
              <w:t>Dates</w:t>
            </w:r>
          </w:p>
        </w:tc>
        <w:tc>
          <w:tcPr>
            <w:tcW w:type="dxa" w:w="2160"/>
            <w:shd w:val="clear" w:color="auto" w:fill="4472C4"/>
          </w:tcPr>
          <w:p>
            <w:r>
              <w:rPr>
                <w:b/>
                <w:color w:val="FFFFFF"/>
                <w:sz w:val="20"/>
              </w:rPr>
              <w:t>Durée</w:t>
            </w:r>
          </w:p>
        </w:tc>
        <w:tc>
          <w:tcPr>
            <w:tcW w:type="dxa" w:w="2160"/>
            <w:shd w:val="clear" w:color="auto" w:fill="4472C4"/>
          </w:tcPr>
          <w:p>
            <w:r>
              <w:rPr>
                <w:b/>
                <w:color w:val="FFFFFF"/>
                <w:sz w:val="20"/>
              </w:rPr>
              <w:t>But de la tâche</w:t>
            </w:r>
          </w:p>
        </w:tc>
      </w:tr>
      <w:tr>
        <w:tc>
          <w:tcPr>
            <w:tcW w:type="dxa" w:w="2160"/>
          </w:tcPr>
          <w:p>
            <w:r>
              <w:rPr>
                <w:sz w:val="20"/>
              </w:rPr>
              <w:t>Entraîner la Régression Logistique (référence) et le Random Forest, avec découpage train/test 80/20 et validation croisée 5-fold.</w:t>
            </w:r>
          </w:p>
        </w:tc>
        <w:tc>
          <w:tcPr>
            <w:tcW w:type="dxa" w:w="2160"/>
          </w:tcPr>
          <w:p>
            <w:r>
              <w:rPr>
                <w:sz w:val="20"/>
              </w:rPr>
              <w:t>Lun 10 – Mar 11 août</w:t>
            </w:r>
          </w:p>
        </w:tc>
        <w:tc>
          <w:tcPr>
            <w:tcW w:type="dxa" w:w="2160"/>
          </w:tcPr>
          <w:p>
            <w:r>
              <w:rPr>
                <w:sz w:val="20"/>
              </w:rPr>
              <w:t>2 j</w:t>
            </w:r>
          </w:p>
        </w:tc>
        <w:tc>
          <w:tcPr>
            <w:tcW w:type="dxa" w:w="2160"/>
          </w:tcPr>
          <w:p>
            <w:r>
              <w:rPr>
                <w:sz w:val="20"/>
              </w:rPr>
              <w:t>Obtenir rapidement une performance de référence et un second modèle plus robuste, avant d'investir du temps sur XGBoost.</w:t>
            </w:r>
          </w:p>
        </w:tc>
      </w:tr>
      <w:tr>
        <w:tc>
          <w:tcPr>
            <w:tcW w:type="dxa" w:w="2160"/>
          </w:tcPr>
          <w:p>
            <w:r>
              <w:rPr>
                <w:sz w:val="20"/>
              </w:rPr>
              <w:t>Entraîner XGBoost, calculer les métriques (AUC-ROC, F1, Précision, Rappel) pour les 3 modèles.</w:t>
            </w:r>
          </w:p>
        </w:tc>
        <w:tc>
          <w:tcPr>
            <w:tcW w:type="dxa" w:w="2160"/>
          </w:tcPr>
          <w:p>
            <w:r>
              <w:rPr>
                <w:sz w:val="20"/>
              </w:rPr>
              <w:t>Mer 12 – Jeu 13 août</w:t>
            </w:r>
          </w:p>
        </w:tc>
        <w:tc>
          <w:tcPr>
            <w:tcW w:type="dxa" w:w="2160"/>
          </w:tcPr>
          <w:p>
            <w:r>
              <w:rPr>
                <w:sz w:val="20"/>
              </w:rPr>
              <w:t>2 j</w:t>
            </w:r>
          </w:p>
        </w:tc>
        <w:tc>
          <w:tcPr>
            <w:tcW w:type="dxa" w:w="2160"/>
          </w:tcPr>
          <w:p>
            <w:r>
              <w:rPr>
                <w:sz w:val="20"/>
              </w:rPr>
              <w:t>Obtenir le modèle le plus performant attendu sur ce type de données tabulaires, et pouvoir le comparer objectivement aux deux autres.</w:t>
            </w:r>
          </w:p>
        </w:tc>
      </w:tr>
      <w:tr>
        <w:tc>
          <w:tcPr>
            <w:tcW w:type="dxa" w:w="2160"/>
          </w:tcPr>
          <w:p>
            <w:r>
              <w:rPr>
                <w:sz w:val="20"/>
              </w:rPr>
              <w:t>Sauvegarder le meilleur modèle avec joblib (model_scoring_cameroun.pkl).</w:t>
            </w:r>
          </w:p>
        </w:tc>
        <w:tc>
          <w:tcPr>
            <w:tcW w:type="dxa" w:w="2160"/>
          </w:tcPr>
          <w:p>
            <w:r>
              <w:rPr>
                <w:sz w:val="20"/>
              </w:rPr>
              <w:t>Ven 14 août</w:t>
            </w:r>
          </w:p>
        </w:tc>
        <w:tc>
          <w:tcPr>
            <w:tcW w:type="dxa" w:w="2160"/>
          </w:tcPr>
          <w:p>
            <w:r>
              <w:rPr>
                <w:sz w:val="20"/>
              </w:rPr>
              <w:t>1 j</w:t>
            </w:r>
          </w:p>
        </w:tc>
        <w:tc>
          <w:tcPr>
            <w:tcW w:type="dxa" w:w="2160"/>
          </w:tcPr>
          <w:p>
            <w:r>
              <w:rPr>
                <w:sz w:val="20"/>
              </w:rPr>
              <w:t>Figer un artefact réutilisable par l'application dès la semaine 4, sans dépendre du notebook d'entraînement.</w:t>
            </w:r>
          </w:p>
        </w:tc>
      </w:tr>
    </w:tbl>
    <w:p>
      <w:pPr>
        <w:spacing w:after="40"/>
      </w:pPr>
    </w:p>
    <w:p>
      <w:pPr>
        <w:spacing w:after="60"/>
      </w:pPr>
      <w:r>
        <w:rPr>
          <w:b/>
          <w:i w:val="0"/>
          <w:sz w:val="22"/>
        </w:rPr>
        <w:t>Andy (avec l'aide de Claude)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4472C4"/>
          </w:tcPr>
          <w:p>
            <w:r>
              <w:rPr>
                <w:b/>
                <w:color w:val="FFFFFF"/>
                <w:sz w:val="20"/>
              </w:rPr>
              <w:t>Tâche</w:t>
            </w:r>
          </w:p>
        </w:tc>
        <w:tc>
          <w:tcPr>
            <w:tcW w:type="dxa" w:w="2160"/>
            <w:shd w:val="clear" w:color="auto" w:fill="4472C4"/>
          </w:tcPr>
          <w:p>
            <w:r>
              <w:rPr>
                <w:b/>
                <w:color w:val="FFFFFF"/>
                <w:sz w:val="20"/>
              </w:rPr>
              <w:t>Dates</w:t>
            </w:r>
          </w:p>
        </w:tc>
        <w:tc>
          <w:tcPr>
            <w:tcW w:type="dxa" w:w="2160"/>
            <w:shd w:val="clear" w:color="auto" w:fill="4472C4"/>
          </w:tcPr>
          <w:p>
            <w:r>
              <w:rPr>
                <w:b/>
                <w:color w:val="FFFFFF"/>
                <w:sz w:val="20"/>
              </w:rPr>
              <w:t>Durée</w:t>
            </w:r>
          </w:p>
        </w:tc>
        <w:tc>
          <w:tcPr>
            <w:tcW w:type="dxa" w:w="2160"/>
            <w:shd w:val="clear" w:color="auto" w:fill="4472C4"/>
          </w:tcPr>
          <w:p>
            <w:r>
              <w:rPr>
                <w:b/>
                <w:color w:val="FFFFFF"/>
                <w:sz w:val="20"/>
              </w:rPr>
              <w:t>But de la tâche</w:t>
            </w:r>
          </w:p>
        </w:tc>
      </w:tr>
      <w:tr>
        <w:tc>
          <w:tcPr>
            <w:tcW w:type="dxa" w:w="2160"/>
          </w:tcPr>
          <w:p>
            <w:r>
              <w:rPr>
                <w:sz w:val="20"/>
              </w:rPr>
              <w:t>Construire le tableau comparatif des 3 modèles et tracer les courbes ROC et matrices de confusion, dès que les résultats d'Aristide sont disponibles.</w:t>
            </w:r>
          </w:p>
        </w:tc>
        <w:tc>
          <w:tcPr>
            <w:tcW w:type="dxa" w:w="2160"/>
          </w:tcPr>
          <w:p>
            <w:r>
              <w:rPr>
                <w:sz w:val="20"/>
              </w:rPr>
              <w:t>Mer 12 – Jeu 13 août</w:t>
            </w:r>
          </w:p>
        </w:tc>
        <w:tc>
          <w:tcPr>
            <w:tcW w:type="dxa" w:w="2160"/>
          </w:tcPr>
          <w:p>
            <w:r>
              <w:rPr>
                <w:sz w:val="20"/>
              </w:rPr>
              <w:t>2 j</w:t>
            </w:r>
          </w:p>
        </w:tc>
        <w:tc>
          <w:tcPr>
            <w:tcW w:type="dxa" w:w="2160"/>
          </w:tcPr>
          <w:p>
            <w:r>
              <w:rPr>
                <w:sz w:val="20"/>
              </w:rPr>
              <w:t>Comparer objectivement les modèles pour alimenter le choix du modèle final du point d'équipe.</w:t>
            </w:r>
          </w:p>
        </w:tc>
      </w:tr>
      <w:tr>
        <w:tc>
          <w:tcPr>
            <w:tcW w:type="dxa" w:w="2160"/>
          </w:tcPr>
          <w:p>
            <w:r>
              <w:rPr>
                <w:sz w:val="20"/>
              </w:rPr>
              <w:t>Intégrer SHAP pour l'explicabilité (valeurs SHAP, graphique récapitulatif des variables importantes).</w:t>
            </w:r>
          </w:p>
        </w:tc>
        <w:tc>
          <w:tcPr>
            <w:tcW w:type="dxa" w:w="2160"/>
          </w:tcPr>
          <w:p>
            <w:r>
              <w:rPr>
                <w:sz w:val="20"/>
              </w:rPr>
              <w:t>Ven 14 – Sam 15 août</w:t>
            </w:r>
          </w:p>
        </w:tc>
        <w:tc>
          <w:tcPr>
            <w:tcW w:type="dxa" w:w="2160"/>
          </w:tcPr>
          <w:p>
            <w:r>
              <w:rPr>
                <w:sz w:val="20"/>
              </w:rPr>
              <w:t>2 j</w:t>
            </w:r>
          </w:p>
        </w:tc>
        <w:tc>
          <w:tcPr>
            <w:tcW w:type="dxa" w:w="2160"/>
          </w:tcPr>
          <w:p>
            <w:r>
              <w:rPr>
                <w:sz w:val="20"/>
              </w:rPr>
              <w:t>Pouvoir expliquer en langage clair pourquoi le modèle recommande telle décision — condition indispensable à la confiance d'un agent de crédit et à la soutenance.</w:t>
            </w:r>
          </w:p>
        </w:tc>
      </w:tr>
    </w:tbl>
    <w:p>
      <w:pPr>
        <w:spacing w:after="40"/>
      </w:pPr>
    </w:p>
    <w:p>
      <w:pPr>
        <w:spacing w:after="60"/>
      </w:pPr>
      <w:r>
        <w:rPr>
          <w:b/>
          <w:i w:val="0"/>
          <w:sz w:val="22"/>
        </w:rPr>
        <w:t>Marie-Thérèse (avec l'aide de Claude)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4472C4"/>
          </w:tcPr>
          <w:p>
            <w:r>
              <w:rPr>
                <w:b/>
                <w:color w:val="FFFFFF"/>
                <w:sz w:val="20"/>
              </w:rPr>
              <w:t>Tâche</w:t>
            </w:r>
          </w:p>
        </w:tc>
        <w:tc>
          <w:tcPr>
            <w:tcW w:type="dxa" w:w="2160"/>
            <w:shd w:val="clear" w:color="auto" w:fill="4472C4"/>
          </w:tcPr>
          <w:p>
            <w:r>
              <w:rPr>
                <w:b/>
                <w:color w:val="FFFFFF"/>
                <w:sz w:val="20"/>
              </w:rPr>
              <w:t>Dates</w:t>
            </w:r>
          </w:p>
        </w:tc>
        <w:tc>
          <w:tcPr>
            <w:tcW w:type="dxa" w:w="2160"/>
            <w:shd w:val="clear" w:color="auto" w:fill="4472C4"/>
          </w:tcPr>
          <w:p>
            <w:r>
              <w:rPr>
                <w:b/>
                <w:color w:val="FFFFFF"/>
                <w:sz w:val="20"/>
              </w:rPr>
              <w:t>Durée</w:t>
            </w:r>
          </w:p>
        </w:tc>
        <w:tc>
          <w:tcPr>
            <w:tcW w:type="dxa" w:w="2160"/>
            <w:shd w:val="clear" w:color="auto" w:fill="4472C4"/>
          </w:tcPr>
          <w:p>
            <w:r>
              <w:rPr>
                <w:b/>
                <w:color w:val="FFFFFF"/>
                <w:sz w:val="20"/>
              </w:rPr>
              <w:t>But de la tâche</w:t>
            </w:r>
          </w:p>
        </w:tc>
      </w:tr>
      <w:tr>
        <w:tc>
          <w:tcPr>
            <w:tcW w:type="dxa" w:w="2160"/>
          </w:tcPr>
          <w:p>
            <w:r>
              <w:rPr>
                <w:sz w:val="20"/>
              </w:rPr>
              <w:t>Coder le squelette de app.py (formulaire de saisie, mise en page) à partir de la maquette de la semaine 2.</w:t>
            </w:r>
          </w:p>
        </w:tc>
        <w:tc>
          <w:tcPr>
            <w:tcW w:type="dxa" w:w="2160"/>
          </w:tcPr>
          <w:p>
            <w:r>
              <w:rPr>
                <w:sz w:val="20"/>
              </w:rPr>
              <w:t>Lun 10 – Mer 12 août</w:t>
            </w:r>
          </w:p>
        </w:tc>
        <w:tc>
          <w:tcPr>
            <w:tcW w:type="dxa" w:w="2160"/>
          </w:tcPr>
          <w:p>
            <w:r>
              <w:rPr>
                <w:sz w:val="20"/>
              </w:rPr>
              <w:t>3 j</w:t>
            </w:r>
          </w:p>
        </w:tc>
        <w:tc>
          <w:tcPr>
            <w:tcW w:type="dxa" w:w="2160"/>
          </w:tcPr>
          <w:p>
            <w:r>
              <w:rPr>
                <w:sz w:val="20"/>
              </w:rPr>
              <w:t>Commencer le code de l'application sans attendre le modèle final, puisque le formulaire et la mise en page n'en dépendent pas — première prise en main réelle du code de l'application.</w:t>
            </w:r>
          </w:p>
        </w:tc>
      </w:tr>
      <w:tr>
        <w:tc>
          <w:tcPr>
            <w:tcW w:type="dxa" w:w="2160"/>
          </w:tcPr>
          <w:p>
            <w:r>
              <w:rPr>
                <w:sz w:val="20"/>
              </w:rPr>
              <w:t>Ajustements du squelette suite aux premiers retours.</w:t>
            </w:r>
          </w:p>
        </w:tc>
        <w:tc>
          <w:tcPr>
            <w:tcW w:type="dxa" w:w="2160"/>
          </w:tcPr>
          <w:p>
            <w:r>
              <w:rPr>
                <w:sz w:val="20"/>
              </w:rPr>
              <w:t>Jeu 13 – Ven 14 août</w:t>
            </w:r>
          </w:p>
        </w:tc>
        <w:tc>
          <w:tcPr>
            <w:tcW w:type="dxa" w:w="2160"/>
          </w:tcPr>
          <w:p>
            <w:r>
              <w:rPr>
                <w:sz w:val="20"/>
              </w:rPr>
              <w:t>2 j</w:t>
            </w:r>
          </w:p>
        </w:tc>
        <w:tc>
          <w:tcPr>
            <w:tcW w:type="dxa" w:w="2160"/>
          </w:tcPr>
          <w:p>
            <w:r>
              <w:rPr>
                <w:sz w:val="20"/>
              </w:rPr>
              <w:t>Arriver en semaine 4 avec une base déjà stable à connecter au modèle, plutôt que de partir de zéro.</w:t>
            </w:r>
          </w:p>
        </w:tc>
      </w:tr>
    </w:tbl>
    <w:p>
      <w:pPr>
        <w:spacing w:after="40"/>
      </w:pPr>
    </w:p>
    <w:p>
      <w:pPr>
        <w:spacing w:after="40"/>
      </w:pPr>
      <w:r>
        <w:rPr>
          <w:b/>
        </w:rPr>
        <w:t>Ordre de succession (points de vigilance)</w:t>
      </w:r>
    </w:p>
    <w:p>
      <w:pPr>
        <w:spacing w:after="40"/>
      </w:pPr>
      <w:r>
        <w:t>1) Lundi 10 - mardi 11 : Aristide entraine Regression Logistique + Random Forest, Marie-Therese code le squelette app.py - independants, aucun conflit. 2) Mercredi 12 - jeudi 13 : Andy commence son tableau comparatif « des que les resultats d'Aristide sont disponibles », mais Aristide entraine XGBoost ces deux memes jours. En pratique : Andy peut comparer Regression Logistique/Random Forest des mercredi (deja disponibles depuis mardi), mais ne peut finaliser la comparaison a 3 modeles et les courbes ROC qu'une fois qu'Aristide partage ses metriques XGBoost - a faire en priorite par Aristide en tout debut de journee jeudi, pour laisser a Andy le temps de finaliser son tableau le jeudi meme, avant le point d'equipe qui choisit le modele final. 3) Vendredi 14 : Aristide sauvegarde le modele choisi la veille - depend directement de la decision du point d'equipe de jeudi, donc a faire en tout debut de vendredi. 4) Vendredi 14 - samedi 15 : Andy demarre son integration SHAP le meme jour ou Aristide sauvegarde le modele final - Andy a besoin du fichier .pkl sauvegarde par Aristide, donc attend sa confirmation (matin) avant de lancer ses calculs SHAP sur le modele definitif plutot que sur une version provisoire. 5) Marie-Therese (ajustements squelette, jeudi-vendredi) reste independante du choix du modele.</w:t>
      </w:r>
    </w:p>
    <w:p>
      <w:pPr>
        <w:spacing w:after="40"/>
      </w:pPr>
      <w:r>
        <w:rPr>
          <w:b/>
          <w:i w:val="0"/>
          <w:sz w:val="22"/>
        </w:rPr>
        <w:t>Point d'équipe</w:t>
      </w:r>
    </w:p>
    <w:p>
      <w:pPr>
        <w:spacing w:after="160"/>
      </w:pPr>
      <w:r>
        <w:rPr>
          <w:b w:val="0"/>
          <w:i/>
          <w:sz w:val="22"/>
        </w:rPr>
        <w:t>Jeudi 13 août : choix du modèle final avant de basculer sur l'application.</w:t>
      </w:r>
    </w:p>
    <w:p>
      <w:pPr>
        <w:spacing w:after="40"/>
      </w:pPr>
      <w:r>
        <w:rPr>
          <w:b/>
          <w:i w:val="0"/>
          <w:sz w:val="22"/>
        </w:rPr>
        <w:t>Livrable de fin de semaine</w:t>
      </w:r>
    </w:p>
    <w:p>
      <w:pPr>
        <w:spacing w:after="160"/>
      </w:pPr>
      <w:r>
        <w:rPr>
          <w:b w:val="0"/>
          <w:i w:val="0"/>
          <w:sz w:val="22"/>
        </w:rPr>
        <w:t>Notebooks 03_modelisation.ipynb et 04_evaluation_modeles.ipynb, modèle final sauvegardé, squelette app.py.</w:t>
      </w:r>
    </w:p>
    <w:p>
      <w:pPr>
        <w:spacing w:after="40"/>
      </w:pPr>
      <w:r>
        <w:rPr>
          <w:b/>
          <w:i w:val="0"/>
          <w:sz w:val="22"/>
        </w:rPr>
        <w:t>Justification de l'approche adoptée (vue d'ensemble de la semaine)</w:t>
      </w:r>
    </w:p>
    <w:p>
      <w:pPr>
        <w:spacing w:after="280"/>
      </w:pPr>
      <w:r>
        <w:rPr>
          <w:b w:val="0"/>
          <w:i w:val="0"/>
          <w:sz w:val="22"/>
        </w:rPr>
        <w:t>XGBoost est attendu comme le plus performant sur ce type de données tabulaires ; il ne faut pas perdre de temps à sur-optimiser la régression logistique au-delà d'une référence de base. Faire porter l'explicabilité (SHAP) par Andy plutôt que par Aristide équilibre la charge technique entre les deux, et permet à Marie-Thérèse de commencer le code de l'application avant que le modèle final ne soit choisi, puisque le formulaire et la mise en page ne dépendent pas du modèle retenu. Le point d'équipe est placé au jeudi (et non au mercredi de l'ancien plan) pour laisser le temps réel à XGBoost d'être entraîné et comparé avant toute décision.</w:t>
      </w:r>
    </w:p>
    <w:p/>
    <w:p>
      <w:pPr>
        <w:pStyle w:val="Heading2"/>
      </w:pPr>
      <w:r>
        <w:t>Semaine 4 — lundi 17 août – dimanche 23 août 2026 (7 jours)</w:t>
      </w:r>
    </w:p>
    <w:p>
      <w:pPr>
        <w:spacing w:after="120"/>
      </w:pPr>
      <w:r>
        <w:rPr>
          <w:b/>
          <w:i w:val="0"/>
          <w:color w:val="2E5395"/>
          <w:sz w:val="24"/>
        </w:rPr>
        <w:t>Application Streamlit complète et déploiement</w:t>
      </w:r>
    </w:p>
    <w:p>
      <w:pPr>
        <w:spacing w:after="40"/>
      </w:pPr>
      <w:r>
        <w:rPr>
          <w:b/>
          <w:i w:val="0"/>
          <w:sz w:val="22"/>
        </w:rPr>
        <w:t>Objectif de la semaine</w:t>
      </w:r>
    </w:p>
    <w:p>
      <w:pPr>
        <w:spacing w:after="160"/>
      </w:pPr>
      <w:r>
        <w:rPr>
          <w:b w:val="0"/>
          <w:i w:val="0"/>
          <w:sz w:val="22"/>
        </w:rPr>
        <w:t>Disposer d'une application fonctionnelle de bout en bout (formulaire, score, décision, explication, export) et déployée sur une URL publique.</w:t>
      </w:r>
    </w:p>
    <w:p>
      <w:pPr>
        <w:spacing w:after="60"/>
      </w:pPr>
      <w:r>
        <w:rPr>
          <w:b/>
          <w:i w:val="0"/>
          <w:sz w:val="22"/>
        </w:rPr>
        <w:t>Marie-Thérèse (avec l'aide de Claude)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4472C4"/>
          </w:tcPr>
          <w:p>
            <w:r>
              <w:rPr>
                <w:b/>
                <w:color w:val="FFFFFF"/>
                <w:sz w:val="20"/>
              </w:rPr>
              <w:t>Tâche</w:t>
            </w:r>
          </w:p>
        </w:tc>
        <w:tc>
          <w:tcPr>
            <w:tcW w:type="dxa" w:w="2160"/>
            <w:shd w:val="clear" w:color="auto" w:fill="4472C4"/>
          </w:tcPr>
          <w:p>
            <w:r>
              <w:rPr>
                <w:b/>
                <w:color w:val="FFFFFF"/>
                <w:sz w:val="20"/>
              </w:rPr>
              <w:t>Dates</w:t>
            </w:r>
          </w:p>
        </w:tc>
        <w:tc>
          <w:tcPr>
            <w:tcW w:type="dxa" w:w="2160"/>
            <w:shd w:val="clear" w:color="auto" w:fill="4472C4"/>
          </w:tcPr>
          <w:p>
            <w:r>
              <w:rPr>
                <w:b/>
                <w:color w:val="FFFFFF"/>
                <w:sz w:val="20"/>
              </w:rPr>
              <w:t>Durée</w:t>
            </w:r>
          </w:p>
        </w:tc>
        <w:tc>
          <w:tcPr>
            <w:tcW w:type="dxa" w:w="2160"/>
            <w:shd w:val="clear" w:color="auto" w:fill="4472C4"/>
          </w:tcPr>
          <w:p>
            <w:r>
              <w:rPr>
                <w:b/>
                <w:color w:val="FFFFFF"/>
                <w:sz w:val="20"/>
              </w:rPr>
              <w:t>But de la tâche</w:t>
            </w:r>
          </w:p>
        </w:tc>
      </w:tr>
      <w:tr>
        <w:tc>
          <w:tcPr>
            <w:tcW w:type="dxa" w:w="2160"/>
          </w:tcPr>
          <w:p>
            <w:r>
              <w:rPr>
                <w:sz w:val="20"/>
              </w:rPr>
              <w:t>Brancher le modèle sauvegardé dans app.py et effectuer la prédiction en temps réel à partir des champs de la catégorie A (section 4).</w:t>
            </w:r>
          </w:p>
        </w:tc>
        <w:tc>
          <w:tcPr>
            <w:tcW w:type="dxa" w:w="2160"/>
          </w:tcPr>
          <w:p>
            <w:r>
              <w:rPr>
                <w:sz w:val="20"/>
              </w:rPr>
              <w:t>Lun 17 – Mar 18 août</w:t>
            </w:r>
          </w:p>
        </w:tc>
        <w:tc>
          <w:tcPr>
            <w:tcW w:type="dxa" w:w="2160"/>
          </w:tcPr>
          <w:p>
            <w:r>
              <w:rPr>
                <w:sz w:val="20"/>
              </w:rPr>
              <w:t>2 j</w:t>
            </w:r>
          </w:p>
        </w:tc>
        <w:tc>
          <w:tcPr>
            <w:tcW w:type="dxa" w:w="2160"/>
          </w:tcPr>
          <w:p>
            <w:r>
              <w:rPr>
                <w:sz w:val="20"/>
              </w:rPr>
              <w:t>Rendre l'application vivante, connectée au vrai modèle plutôt qu'à des données factices.</w:t>
            </w:r>
          </w:p>
        </w:tc>
      </w:tr>
      <w:tr>
        <w:tc>
          <w:tcPr>
            <w:tcW w:type="dxa" w:w="2160"/>
          </w:tcPr>
          <w:p>
            <w:r>
              <w:rPr>
                <w:sz w:val="20"/>
              </w:rPr>
              <w:t>Afficher le score de 0 à 100 avec une jauge à 3 couleurs (vert ≥ 70, orange 40-70, rouge &lt; 40), la décision associée et categorie_risque recalculée à partir du score (catégorie B, section 4).</w:t>
            </w:r>
          </w:p>
        </w:tc>
        <w:tc>
          <w:tcPr>
            <w:tcW w:type="dxa" w:w="2160"/>
          </w:tcPr>
          <w:p>
            <w:r>
              <w:rPr>
                <w:sz w:val="20"/>
              </w:rPr>
              <w:t>Mer 19 août</w:t>
            </w:r>
          </w:p>
        </w:tc>
        <w:tc>
          <w:tcPr>
            <w:tcW w:type="dxa" w:w="2160"/>
          </w:tcPr>
          <w:p>
            <w:r>
              <w:rPr>
                <w:sz w:val="20"/>
              </w:rPr>
              <w:t>1 j</w:t>
            </w:r>
          </w:p>
        </w:tc>
        <w:tc>
          <w:tcPr>
            <w:tcW w:type="dxa" w:w="2160"/>
          </w:tcPr>
          <w:p>
            <w:r>
              <w:rPr>
                <w:sz w:val="20"/>
              </w:rPr>
              <w:t>Traduire un score numérique brut en une information actionnable et lisible par un non-technicien.</w:t>
            </w:r>
          </w:p>
        </w:tc>
      </w:tr>
      <w:tr>
        <w:tc>
          <w:tcPr>
            <w:tcW w:type="dxa" w:w="2160"/>
          </w:tcPr>
          <w:p>
            <w:r>
              <w:rPr>
                <w:sz w:val="20"/>
              </w:rPr>
              <w:t>Ajouter la simulation du montant maximum recommandé selon le score, le revenu déclaré et la durée souhaitée.</w:t>
            </w:r>
          </w:p>
        </w:tc>
        <w:tc>
          <w:tcPr>
            <w:tcW w:type="dxa" w:w="2160"/>
          </w:tcPr>
          <w:p>
            <w:r>
              <w:rPr>
                <w:sz w:val="20"/>
              </w:rPr>
              <w:t>Jeu 20 août</w:t>
            </w:r>
          </w:p>
        </w:tc>
        <w:tc>
          <w:tcPr>
            <w:tcW w:type="dxa" w:w="2160"/>
          </w:tcPr>
          <w:p>
            <w:r>
              <w:rPr>
                <w:sz w:val="20"/>
              </w:rPr>
              <w:t>1 j</w:t>
            </w:r>
          </w:p>
        </w:tc>
        <w:tc>
          <w:tcPr>
            <w:tcW w:type="dxa" w:w="2160"/>
          </w:tcPr>
          <w:p>
            <w:r>
              <w:rPr>
                <w:sz w:val="20"/>
              </w:rPr>
              <w:t>Apporter une vraie valeur ajoutée métier : pas seulement un accord/refus, mais une recommandation exploitable par l'agent.</w:t>
            </w:r>
          </w:p>
        </w:tc>
      </w:tr>
    </w:tbl>
    <w:p>
      <w:pPr>
        <w:spacing w:after="40"/>
      </w:pPr>
    </w:p>
    <w:p>
      <w:pPr>
        <w:spacing w:after="60"/>
      </w:pPr>
      <w:r>
        <w:rPr>
          <w:b/>
          <w:i w:val="0"/>
          <w:sz w:val="22"/>
        </w:rPr>
        <w:t>Andy (avec l'aide de Claude)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4472C4"/>
          </w:tcPr>
          <w:p>
            <w:r>
              <w:rPr>
                <w:b/>
                <w:color w:val="FFFFFF"/>
                <w:sz w:val="20"/>
              </w:rPr>
              <w:t>Tâche</w:t>
            </w:r>
          </w:p>
        </w:tc>
        <w:tc>
          <w:tcPr>
            <w:tcW w:type="dxa" w:w="2160"/>
            <w:shd w:val="clear" w:color="auto" w:fill="4472C4"/>
          </w:tcPr>
          <w:p>
            <w:r>
              <w:rPr>
                <w:b/>
                <w:color w:val="FFFFFF"/>
                <w:sz w:val="20"/>
              </w:rPr>
              <w:t>Dates</w:t>
            </w:r>
          </w:p>
        </w:tc>
        <w:tc>
          <w:tcPr>
            <w:tcW w:type="dxa" w:w="2160"/>
            <w:shd w:val="clear" w:color="auto" w:fill="4472C4"/>
          </w:tcPr>
          <w:p>
            <w:r>
              <w:rPr>
                <w:b/>
                <w:color w:val="FFFFFF"/>
                <w:sz w:val="20"/>
              </w:rPr>
              <w:t>Durée</w:t>
            </w:r>
          </w:p>
        </w:tc>
        <w:tc>
          <w:tcPr>
            <w:tcW w:type="dxa" w:w="2160"/>
            <w:shd w:val="clear" w:color="auto" w:fill="4472C4"/>
          </w:tcPr>
          <w:p>
            <w:r>
              <w:rPr>
                <w:b/>
                <w:color w:val="FFFFFF"/>
                <w:sz w:val="20"/>
              </w:rPr>
              <w:t>But de la tâche</w:t>
            </w:r>
          </w:p>
        </w:tc>
      </w:tr>
      <w:tr>
        <w:tc>
          <w:tcPr>
            <w:tcW w:type="dxa" w:w="2160"/>
          </w:tcPr>
          <w:p>
            <w:r>
              <w:rPr>
                <w:sz w:val="20"/>
              </w:rPr>
              <w:t>Intégrer les graphiques SHAP dans l'application (waterfall plot et graphique des variables importantes).</w:t>
            </w:r>
          </w:p>
        </w:tc>
        <w:tc>
          <w:tcPr>
            <w:tcW w:type="dxa" w:w="2160"/>
          </w:tcPr>
          <w:p>
            <w:r>
              <w:rPr>
                <w:sz w:val="20"/>
              </w:rPr>
              <w:t>Lun 17 – Mar 18 août</w:t>
            </w:r>
          </w:p>
        </w:tc>
        <w:tc>
          <w:tcPr>
            <w:tcW w:type="dxa" w:w="2160"/>
          </w:tcPr>
          <w:p>
            <w:r>
              <w:rPr>
                <w:sz w:val="20"/>
              </w:rPr>
              <w:t>2 j</w:t>
            </w:r>
          </w:p>
        </w:tc>
        <w:tc>
          <w:tcPr>
            <w:tcW w:type="dxa" w:w="2160"/>
          </w:tcPr>
          <w:p>
            <w:r>
              <w:rPr>
                <w:sz w:val="20"/>
              </w:rPr>
              <w:t>Donner à l'agent de crédit une explication visuelle du score, pas seulement un chiffre.</w:t>
            </w:r>
          </w:p>
        </w:tc>
      </w:tr>
      <w:tr>
        <w:tc>
          <w:tcPr>
            <w:tcW w:type="dxa" w:w="2160"/>
          </w:tcPr>
          <w:p>
            <w:r>
              <w:rPr>
                <w:sz w:val="20"/>
              </w:rPr>
              <w:t>Ajouter un onglet « Analyse du portefeuille » avec les visuels Power BI exportés.</w:t>
            </w:r>
          </w:p>
        </w:tc>
        <w:tc>
          <w:tcPr>
            <w:tcW w:type="dxa" w:w="2160"/>
          </w:tcPr>
          <w:p>
            <w:r>
              <w:rPr>
                <w:sz w:val="20"/>
              </w:rPr>
              <w:t>Mer 19 – Jeu 20 août</w:t>
            </w:r>
          </w:p>
        </w:tc>
        <w:tc>
          <w:tcPr>
            <w:tcW w:type="dxa" w:w="2160"/>
          </w:tcPr>
          <w:p>
            <w:r>
              <w:rPr>
                <w:sz w:val="20"/>
              </w:rPr>
              <w:t>2 j</w:t>
            </w:r>
          </w:p>
        </w:tc>
        <w:tc>
          <w:tcPr>
            <w:tcW w:type="dxa" w:w="2160"/>
          </w:tcPr>
          <w:p>
            <w:r>
              <w:rPr>
                <w:sz w:val="20"/>
              </w:rPr>
              <w:t>Valoriser le travail Power BI déjà produit directement dans l'application plutôt que dans un fichier séparé.</w:t>
            </w:r>
          </w:p>
        </w:tc>
      </w:tr>
    </w:tbl>
    <w:p>
      <w:pPr>
        <w:spacing w:after="40"/>
      </w:pPr>
    </w:p>
    <w:p>
      <w:pPr>
        <w:spacing w:after="60"/>
      </w:pPr>
      <w:r>
        <w:rPr>
          <w:b/>
          <w:i w:val="0"/>
          <w:sz w:val="22"/>
        </w:rPr>
        <w:t>Aristide (avec l'aide de Claude)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4472C4"/>
          </w:tcPr>
          <w:p>
            <w:r>
              <w:rPr>
                <w:b/>
                <w:color w:val="FFFFFF"/>
                <w:sz w:val="20"/>
              </w:rPr>
              <w:t>Tâche</w:t>
            </w:r>
          </w:p>
        </w:tc>
        <w:tc>
          <w:tcPr>
            <w:tcW w:type="dxa" w:w="2160"/>
            <w:shd w:val="clear" w:color="auto" w:fill="4472C4"/>
          </w:tcPr>
          <w:p>
            <w:r>
              <w:rPr>
                <w:b/>
                <w:color w:val="FFFFFF"/>
                <w:sz w:val="20"/>
              </w:rPr>
              <w:t>Dates</w:t>
            </w:r>
          </w:p>
        </w:tc>
        <w:tc>
          <w:tcPr>
            <w:tcW w:type="dxa" w:w="2160"/>
            <w:shd w:val="clear" w:color="auto" w:fill="4472C4"/>
          </w:tcPr>
          <w:p>
            <w:r>
              <w:rPr>
                <w:b/>
                <w:color w:val="FFFFFF"/>
                <w:sz w:val="20"/>
              </w:rPr>
              <w:t>Durée</w:t>
            </w:r>
          </w:p>
        </w:tc>
        <w:tc>
          <w:tcPr>
            <w:tcW w:type="dxa" w:w="2160"/>
            <w:shd w:val="clear" w:color="auto" w:fill="4472C4"/>
          </w:tcPr>
          <w:p>
            <w:r>
              <w:rPr>
                <w:b/>
                <w:color w:val="FFFFFF"/>
                <w:sz w:val="20"/>
              </w:rPr>
              <w:t>But de la tâche</w:t>
            </w:r>
          </w:p>
        </w:tc>
      </w:tr>
      <w:tr>
        <w:tc>
          <w:tcPr>
            <w:tcW w:type="dxa" w:w="2160"/>
          </w:tcPr>
          <w:p>
            <w:r>
              <w:rPr>
                <w:sz w:val="20"/>
              </w:rPr>
              <w:t>Ajouter la génération de rapport PDF téléchargeable (fpdf2 ou reportlab) avec le profil client, le score et les facteurs explicatifs.</w:t>
            </w:r>
          </w:p>
        </w:tc>
        <w:tc>
          <w:tcPr>
            <w:tcW w:type="dxa" w:w="2160"/>
          </w:tcPr>
          <w:p>
            <w:r>
              <w:rPr>
                <w:sz w:val="20"/>
              </w:rPr>
              <w:t>Lun 17 – Mar 18 août</w:t>
            </w:r>
          </w:p>
        </w:tc>
        <w:tc>
          <w:tcPr>
            <w:tcW w:type="dxa" w:w="2160"/>
          </w:tcPr>
          <w:p>
            <w:r>
              <w:rPr>
                <w:sz w:val="20"/>
              </w:rPr>
              <w:t>2 j</w:t>
            </w:r>
          </w:p>
        </w:tc>
        <w:tc>
          <w:tcPr>
            <w:tcW w:type="dxa" w:w="2160"/>
          </w:tcPr>
          <w:p>
            <w:r>
              <w:rPr>
                <w:sz w:val="20"/>
              </w:rPr>
              <w:t>Fournir un livrable tangible et présentable à un client/jury, au-delà de l'écran.</w:t>
            </w:r>
          </w:p>
        </w:tc>
      </w:tr>
      <w:tr>
        <w:tc>
          <w:tcPr>
            <w:tcW w:type="dxa" w:w="2160"/>
          </w:tcPr>
          <w:p>
            <w:r>
              <w:rPr>
                <w:sz w:val="20"/>
              </w:rPr>
              <w:t>Finaliser requirements.txt et effectuer les tests finaux.</w:t>
            </w:r>
          </w:p>
        </w:tc>
        <w:tc>
          <w:tcPr>
            <w:tcW w:type="dxa" w:w="2160"/>
          </w:tcPr>
          <w:p>
            <w:r>
              <w:rPr>
                <w:sz w:val="20"/>
              </w:rPr>
              <w:t>Mer 19 août</w:t>
            </w:r>
          </w:p>
        </w:tc>
        <w:tc>
          <w:tcPr>
            <w:tcW w:type="dxa" w:w="2160"/>
          </w:tcPr>
          <w:p>
            <w:r>
              <w:rPr>
                <w:sz w:val="20"/>
              </w:rPr>
              <w:t>1 j</w:t>
            </w:r>
          </w:p>
        </w:tc>
        <w:tc>
          <w:tcPr>
            <w:tcW w:type="dxa" w:w="2160"/>
          </w:tcPr>
          <w:p>
            <w:r>
              <w:rPr>
                <w:sz w:val="20"/>
              </w:rPr>
              <w:t>Garantir que l'application s'installe et fonctionne à l'identique sur une autre machine que la sienne.</w:t>
            </w:r>
          </w:p>
        </w:tc>
      </w:tr>
      <w:tr>
        <w:tc>
          <w:tcPr>
            <w:tcW w:type="dxa" w:w="2160"/>
          </w:tcPr>
          <w:p>
            <w:r>
              <w:rPr>
                <w:sz w:val="20"/>
              </w:rPr>
              <w:t>Déployer sur Streamlit Community Cloud et pousser le code final sur GitHub.</w:t>
            </w:r>
          </w:p>
        </w:tc>
        <w:tc>
          <w:tcPr>
            <w:tcW w:type="dxa" w:w="2160"/>
          </w:tcPr>
          <w:p>
            <w:r>
              <w:rPr>
                <w:sz w:val="20"/>
              </w:rPr>
              <w:t>Jeu 20 – Ven 21 août</w:t>
            </w:r>
          </w:p>
        </w:tc>
        <w:tc>
          <w:tcPr>
            <w:tcW w:type="dxa" w:w="2160"/>
          </w:tcPr>
          <w:p>
            <w:r>
              <w:rPr>
                <w:sz w:val="20"/>
              </w:rPr>
              <w:t>2 j</w:t>
            </w:r>
          </w:p>
        </w:tc>
        <w:tc>
          <w:tcPr>
            <w:tcW w:type="dxa" w:w="2160"/>
          </w:tcPr>
          <w:p>
            <w:r>
              <w:rPr>
                <w:sz w:val="20"/>
              </w:rPr>
              <w:t>Rendre l'application accessible via une URL publique — condition pour la démonstration et la soutenance.</w:t>
            </w:r>
          </w:p>
        </w:tc>
      </w:tr>
    </w:tbl>
    <w:p>
      <w:pPr>
        <w:spacing w:after="40"/>
      </w:pPr>
    </w:p>
    <w:p>
      <w:pPr>
        <w:spacing w:after="40"/>
      </w:pPr>
      <w:r>
        <w:rPr>
          <w:b/>
        </w:rPr>
        <w:t>Ordre de succession (points de vigilance - semaine la plus a risque de collision)</w:t>
      </w:r>
    </w:p>
    <w:p>
      <w:pPr>
        <w:spacing w:after="40"/>
      </w:pPr>
      <w:r>
        <w:t>1) Lundi 17 - mardi 18 : les 3 membres modifient app.py EN MEME TEMPS (Marie-Therese : branchement du modele et prediction ; Andy : integration des graphiques SHAP ; Aristide : generation du rapport PDF) - c'est le seul moment du calendrier ou les 3 touchent potentiellement le meme fichier les memes jours. Pour eviter de se marcher dessus : Marie-Therese pousse en premier une version minimale mais fonctionnelle du branchement modele (score + decision) des lundi en fin de journee - c'est la fondation dont dependent les deux autres ; Andy et Aristide travaillent chacun dans un fichier/module separe (par exemple shap_view.py et export_pdf.py) importe dans app.py plutot que d'editer directement le corps du fichier principal, pour limiter les conflits Git a une ligne d'import chacun ; synchronisation obligatoire en fin de journee lundi et mardi (push + pull croise) avant de continuer le lendemain. 2) Mercredi 19 : Marie-Therese finalise la jauge/decision pendant qu'Andy continue son onglet Power BI (mercredi-jeudi) et qu'Aristide fait ses tests finaux/requirements.txt - ces tests du mercredi ne couvrent donc pas encore l'onglet d'Andy (fini jeudi seulement) : a refaire passer une deuxieme fois jeudi apres integration du travail d'Andy, avant le deploiement. 3) Jeudi 20 - vendredi 21 : Aristide ne deploie sur Streamlit Cloud qu'une fois les pushs de Marie-Therese (simulation montant max, jeudi) ET d'Andy (onglet Power BI, jeudi) confirmes merges - le deploiement est la toute derniere tache de la semaine, jamais en parallele des deux autres.</w:t>
      </w:r>
    </w:p>
    <w:p>
      <w:pPr>
        <w:spacing w:after="40"/>
      </w:pPr>
      <w:r>
        <w:rPr>
          <w:b/>
          <w:i w:val="0"/>
          <w:sz w:val="22"/>
        </w:rPr>
        <w:t>Point d'équipe</w:t>
      </w:r>
    </w:p>
    <w:p>
      <w:pPr>
        <w:spacing w:after="160"/>
      </w:pPr>
      <w:r>
        <w:rPr>
          <w:b w:val="0"/>
          <w:i/>
          <w:sz w:val="22"/>
        </w:rPr>
        <w:t>Vendredi 21 août : démonstration interne complète de l'application, liste de bugs à corriger avant la marge de fin de projet.</w:t>
      </w:r>
    </w:p>
    <w:p>
      <w:pPr>
        <w:spacing w:after="40"/>
      </w:pPr>
      <w:r>
        <w:rPr>
          <w:b/>
          <w:i w:val="0"/>
          <w:sz w:val="22"/>
        </w:rPr>
        <w:t>Livrable de fin de semaine</w:t>
      </w:r>
    </w:p>
    <w:p>
      <w:pPr>
        <w:spacing w:after="160"/>
      </w:pPr>
      <w:r>
        <w:rPr>
          <w:b w:val="0"/>
          <w:i w:val="0"/>
          <w:sz w:val="22"/>
        </w:rPr>
        <w:t>Application déployée, accessible via une URL publique, testée avec au moins 5 cas clients fictifs camerounais.</w:t>
      </w:r>
    </w:p>
    <w:p>
      <w:pPr>
        <w:spacing w:after="40"/>
      </w:pPr>
      <w:r>
        <w:rPr>
          <w:b/>
          <w:i w:val="0"/>
          <w:sz w:val="22"/>
        </w:rPr>
        <w:t>Justification de l'approche adoptée (vue d'ensemble de la semaine)</w:t>
      </w:r>
    </w:p>
    <w:p>
      <w:pPr>
        <w:spacing w:after="280"/>
      </w:pPr>
      <w:r>
        <w:rPr>
          <w:b w:val="0"/>
          <w:i w:val="0"/>
          <w:sz w:val="22"/>
        </w:rPr>
        <w:t>Chaque membre porte ici une brique de l'application clairement identifiable et de complexité comparable (interface de scoring, explicabilité/visuels, export et déploiement), ce qui évite qu'un seul membre porte l'intégralité de l'application comme c'était le cas dans le plan initial. L'application est ce que le jury verra concrètement : il est plus rentable d'y consacrer du temps que d'allonger le rapport. Le samedi 22 et le dimanche 23 août sont volontairement laissés en marge, pour absorber les bugs remontés lors de la démonstration du vendredi avant d'entrer dans la semaine de marge finale.</w:t>
      </w:r>
    </w:p>
    <w:p/>
    <w:p>
      <w:pPr>
        <w:pStyle w:val="Heading2"/>
      </w:pPr>
      <w:r>
        <w:t>Semaine de marge — lundi 24 août – lundi 31 août 2026</w:t>
      </w:r>
    </w:p>
    <w:p>
      <w:pPr>
        <w:spacing w:after="120"/>
      </w:pPr>
      <w:r>
        <w:rPr>
          <w:b w:val="0"/>
          <w:i/>
          <w:sz w:val="22"/>
        </w:rPr>
        <w:t>Non détaillée dans ce document (hors périmètre « tâches applicatives »). Réservée par l'équipe à la rédaction/finalisation du rapport académique, à la relecture, aux derniers correctifs de l'application et à la préparation de la soutenance. Deadline finale : 31 août 2026.</w:t>
      </w:r>
    </w:p>
    <w:p>
      <w:r>
        <w:br w:type="page"/>
      </w:r>
    </w:p>
    <w:p>
      <w:pPr>
        <w:pStyle w:val="Heading1"/>
      </w:pPr>
      <w:r>
        <w:t>6. Répartition des rôles et principe d'équilibrage</w:t>
      </w:r>
    </w:p>
    <w:p>
      <w:pPr>
        <w:spacing w:after="120"/>
      </w:pPr>
      <w:r>
        <w:rPr>
          <w:b w:val="0"/>
          <w:i w:val="0"/>
          <w:sz w:val="22"/>
        </w:rPr>
        <w:t>Les trois membres de l'équipe ont un statut équivalent : la répartition des tâches vise un équilibre de charge et de complexité technique, pas seulement un partage à parts égales du nombre de tâches. Dans l'ancien plan à 7 semaines, Aristide portait l'essentiel du poids technique (pipeline complet, 3 modèles, application entière, déploiement) alors qu'Andy se limitait à l'EDA/Power BI et Marie-Thérèse portait surtout la rédaction du rapport — tâche retirée du périmètre de ce calendrier. Chacun a donc reçu, sur les 4 semaines, une responsabilité technique réelle et substantielle :</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2E5395"/>
          </w:tcPr>
          <w:p>
            <w:r>
              <w:rPr>
                <w:b/>
                <w:color w:val="FFFFFF"/>
              </w:rPr>
              <w:t>Membre</w:t>
            </w:r>
          </w:p>
        </w:tc>
        <w:tc>
          <w:tcPr>
            <w:tcW w:type="dxa" w:w="4320"/>
            <w:shd w:val="clear" w:color="auto" w:fill="2E5395"/>
          </w:tcPr>
          <w:p>
            <w:r>
              <w:rPr>
                <w:b/>
                <w:color w:val="FFFFFF"/>
              </w:rPr>
              <w:t>Blocs techniques portés sur les 4 semaines</w:t>
            </w:r>
          </w:p>
        </w:tc>
      </w:tr>
      <w:tr>
        <w:tc>
          <w:tcPr>
            <w:tcW w:type="dxa" w:w="4320"/>
          </w:tcPr>
          <w:p>
            <w:r>
              <w:t>Aristide</w:t>
            </w:r>
          </w:p>
        </w:tc>
        <w:tc>
          <w:tcPr>
            <w:tcW w:type="dxa" w:w="4320"/>
          </w:tcPr>
          <w:p>
            <w:r>
              <w:t>Pipeline de données, feature engineering, 3 modèles ML, export PDF, déploiement final.</w:t>
            </w:r>
          </w:p>
        </w:tc>
      </w:tr>
      <w:tr>
        <w:tc>
          <w:tcPr>
            <w:tcW w:type="dxa" w:w="4320"/>
          </w:tcPr>
          <w:p>
            <w:r>
              <w:t>Andy</w:t>
            </w:r>
          </w:p>
        </w:tc>
        <w:tc>
          <w:tcPr>
            <w:tcW w:type="dxa" w:w="4320"/>
          </w:tcPr>
          <w:p>
            <w:r>
              <w:t>EDA avancée, sélection de features, comparaison des modèles, explicabilité SHAP, intégration Power BI dans l'app.</w:t>
            </w:r>
          </w:p>
        </w:tc>
      </w:tr>
      <w:tr>
        <w:tc>
          <w:tcPr>
            <w:tcW w:type="dxa" w:w="4320"/>
          </w:tcPr>
          <w:p>
            <w:r>
              <w:t>Marie-Thérèse</w:t>
            </w:r>
          </w:p>
        </w:tc>
        <w:tc>
          <w:tcPr>
            <w:tcW w:type="dxa" w:w="4320"/>
          </w:tcPr>
          <w:p>
            <w:r>
              <w:t>Arbitrage des variables camerounaises, règles métier du formulaire, maquette et code de l'application (formulaire, score, jauge, décision).</w:t>
            </w:r>
          </w:p>
        </w:tc>
      </w:tr>
    </w:tbl>
    <w:p>
      <w:pPr>
        <w:spacing w:after="200"/>
      </w:pPr>
      <w:r>
        <w:rPr>
          <w:b w:val="0"/>
          <w:i w:val="0"/>
          <w:sz w:val="22"/>
        </w:rPr>
        <w:t>La mention « avec l'aide de Claude » indique les tâches où un travail conjoint avec Claude est prévu pour accélérer l'exécution (génération de code, arbitrage de décisions techniques) : la décision finale et la validation restent portées par le membre nommé, qui reste responsable du livrable.</w:t>
      </w:r>
    </w:p>
    <w:p>
      <w:pPr>
        <w:pStyle w:val="Heading1"/>
      </w:pPr>
      <w:r>
        <w:t>7. Outils et organisation</w:t>
      </w:r>
    </w:p>
    <w:p>
      <w:pPr>
        <w:pStyle w:val="ListBullet"/>
      </w:pPr>
      <w:r>
        <w:t>VS Code pour le code (scripts au format cellules # %%, ouvrables aussi comme notebooks via Jupytext).</w:t>
      </w:r>
    </w:p>
    <w:p>
      <w:pPr>
        <w:pStyle w:val="ListBullet"/>
      </w:pPr>
      <w:r>
        <w:t>GitHub pour le versionnement (dépôt scoring-credit-cameroun, une branche par personne, Pull Requests vers main).</w:t>
      </w:r>
    </w:p>
    <w:p>
      <w:pPr>
        <w:pStyle w:val="ListBullet"/>
      </w:pPr>
      <w:r>
        <w:t>Python 3.10+, pandas, scikit-learn, xgboost, matplotlib, seaborn, shap, streamlit, joblib, fpdf2 — stack entièrement gratuite.</w:t>
      </w:r>
    </w:p>
    <w:p>
      <w:pPr>
        <w:pStyle w:val="ListBullet"/>
      </w:pPr>
      <w:r>
        <w:t>Streamlit Community Cloud pour le déploiement final de l'application (gratuit).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