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b/>
          <w:color w:val="0F2942"/>
          <w:sz w:val="32"/>
        </w:rPr>
        <w:t>IP-SAKTI PRO INNOVATOR STUDIO</w:t>
        <w:br/>
        <w:t>UNIFIED STATUTORY REGULATORY DOSSIER</w:t>
      </w:r>
    </w:p>
    <w:p>
      <w:pPr>
        <w:spacing w:after="480"/>
        <w:jc w:val="center"/>
      </w:pPr>
      <w:r>
        <w:rPr>
          <w:color w:val="B45309"/>
          <w:sz w:val="22"/>
        </w:rPr>
        <w:t>Project: PROJECT AYURRHEUMA-GEL</w:t>
        <w:br/>
        <w:t>Applicant: BioAyur Innovations Pvt. Ltd.</w:t>
        <w:br/>
        <w:t>Statutory Readiness: 68% Complete</w:t>
      </w:r>
    </w:p>
    <w:p>
      <w:pPr>
        <w:pStyle w:val="Heading1"/>
      </w:pPr>
      <w:r>
        <w:t>1. Executive Milestone Roadmap &amp; Compliance Status</w:t>
      </w:r>
    </w:p>
    <w:p>
      <w:r>
        <w:t>• Botanical Assets: Curcuma longa (Curcumin), Gaultheria procumbens (Gandhapura), Boswellia serrata (Shallaki)</w:t>
        <w:br/>
      </w:r>
      <w:r>
        <w:t>• Delivery Vehicle / Dosage Form: Liposomal / Phospholipid Nanocarrier (Particle Size &lt; 120 nm)</w:t>
        <w:br/>
      </w:r>
      <w:r>
        <w:t>• Designated Ayush Ministry Mentor: Dr. Rajesh K. Sharma, MD (Ayu), PhD</w:t>
        <w:br/>
      </w:r>
      <w:r>
        <w:t>• Verification Framework: Multi-Agent StateGraph 8-Node Consensus with SHA-256 Gazette Anchoring</w:t>
        <w:br/>
      </w:r>
    </w:p>
    <w:tbl>
      <w:tblPr>
        <w:tblW w:type="auto" w:w="0"/>
        <w:jc w:val="center"/>
        <w:tblLook w:firstColumn="1" w:firstRow="1" w:lastColumn="0" w:lastRow="0" w:noHBand="0" w:noVBand="1" w:val="04A0"/>
      </w:tblPr>
      <w:tblGrid>
        <w:gridCol w:w="2160"/>
        <w:gridCol w:w="2160"/>
        <w:gridCol w:w="2160"/>
        <w:gridCol w:w="2160"/>
      </w:tblGrid>
      <w:tr>
        <w:tc>
          <w:tcPr>
            <w:tcW w:type="dxa" w:w="2160"/>
          </w:tcPr>
          <w:p>
            <w:r>
              <w:rPr>
                <w:b/>
              </w:rPr>
              <w:t>Stage</w:t>
            </w:r>
          </w:p>
        </w:tc>
        <w:tc>
          <w:tcPr>
            <w:tcW w:type="dxa" w:w="2160"/>
          </w:tcPr>
          <w:p>
            <w:r>
              <w:rPr>
                <w:b/>
              </w:rPr>
              <w:t>Statutory Authority</w:t>
            </w:r>
          </w:p>
        </w:tc>
        <w:tc>
          <w:tcPr>
            <w:tcW w:type="dxa" w:w="2160"/>
          </w:tcPr>
          <w:p>
            <w:r>
              <w:rPr>
                <w:b/>
              </w:rPr>
              <w:t>Mandate / Statute</w:t>
            </w:r>
          </w:p>
        </w:tc>
        <w:tc>
          <w:tcPr>
            <w:tcW w:type="dxa" w:w="2160"/>
          </w:tcPr>
          <w:p>
            <w:r>
              <w:rPr>
                <w:b/>
              </w:rPr>
              <w:t>Status</w:t>
            </w:r>
          </w:p>
        </w:tc>
      </w:tr>
      <w:tr>
        <w:tc>
          <w:tcPr>
            <w:tcW w:type="dxa" w:w="2160"/>
          </w:tcPr>
          <w:p>
            <w:r>
              <w:t>Formulation Ideation &amp; TKDL Pre-Screening</w:t>
            </w:r>
          </w:p>
        </w:tc>
        <w:tc>
          <w:tcPr>
            <w:tcW w:type="dxa" w:w="2160"/>
          </w:tcPr>
          <w:p>
            <w:r>
              <w:t>Indian Patent Office (IPO) / CSIR-TKDL</w:t>
            </w:r>
          </w:p>
        </w:tc>
        <w:tc>
          <w:tcPr>
            <w:tcW w:type="dxa" w:w="2160"/>
          </w:tcPr>
          <w:p>
            <w:r>
              <w:t>Patents Act Section 3(p)</w:t>
            </w:r>
          </w:p>
        </w:tc>
        <w:tc>
          <w:tcPr>
            <w:tcW w:type="dxa" w:w="2160"/>
          </w:tcPr>
          <w:p>
            <w:r>
              <w:t>COMPLETED (100%)</w:t>
            </w:r>
          </w:p>
        </w:tc>
      </w:tr>
      <w:tr>
        <w:tc>
          <w:tcPr>
            <w:tcW w:type="dxa" w:w="2160"/>
          </w:tcPr>
          <w:p>
            <w:r>
              <w:t>Synergy Assay &amp; Nanocarrier Design</w:t>
            </w:r>
          </w:p>
        </w:tc>
        <w:tc>
          <w:tcPr>
            <w:tcW w:type="dxa" w:w="2160"/>
          </w:tcPr>
          <w:p>
            <w:r>
              <w:t>Ayush R&amp;D / Analytical Phyto-Lab</w:t>
            </w:r>
          </w:p>
        </w:tc>
        <w:tc>
          <w:tcPr>
            <w:tcW w:type="dxa" w:w="2160"/>
          </w:tcPr>
          <w:p>
            <w:r>
              <w:t>Patents Act Section 3(e) Synergism</w:t>
            </w:r>
          </w:p>
        </w:tc>
        <w:tc>
          <w:tcPr>
            <w:tcW w:type="dxa" w:w="2160"/>
          </w:tcPr>
          <w:p>
            <w:r>
              <w:t>COMPLETED (100%)</w:t>
            </w:r>
          </w:p>
        </w:tc>
      </w:tr>
      <w:tr>
        <w:tc>
          <w:tcPr>
            <w:tcW w:type="dxa" w:w="2160"/>
          </w:tcPr>
          <w:p>
            <w:r>
              <w:t>NBA Form 3 Prior Approval Filing</w:t>
            </w:r>
          </w:p>
        </w:tc>
        <w:tc>
          <w:tcPr>
            <w:tcW w:type="dxa" w:w="2160"/>
          </w:tcPr>
          <w:p>
            <w:r>
              <w:t>National Biodiversity Authority (NBA)</w:t>
            </w:r>
          </w:p>
        </w:tc>
        <w:tc>
          <w:tcPr>
            <w:tcW w:type="dxa" w:w="2160"/>
          </w:tcPr>
          <w:p>
            <w:r>
              <w:t>BD Act, 2002 Section 6(1)</w:t>
            </w:r>
          </w:p>
        </w:tc>
        <w:tc>
          <w:tcPr>
            <w:tcW w:type="dxa" w:w="2160"/>
          </w:tcPr>
          <w:p>
            <w:r>
              <w:t>IN_PROGRESS (75%)</w:t>
            </w:r>
          </w:p>
        </w:tc>
      </w:tr>
      <w:tr>
        <w:tc>
          <w:tcPr>
            <w:tcW w:type="dxa" w:w="2160"/>
          </w:tcPr>
          <w:p>
            <w:r>
              <w:t>State Ayush Rule 158-B Dossier</w:t>
            </w:r>
          </w:p>
        </w:tc>
        <w:tc>
          <w:tcPr>
            <w:tcW w:type="dxa" w:w="2160"/>
          </w:tcPr>
          <w:p>
            <w:r>
              <w:t>State Ayush Licensing Authority (SALA)</w:t>
            </w:r>
          </w:p>
        </w:tc>
        <w:tc>
          <w:tcPr>
            <w:tcW w:type="dxa" w:w="2160"/>
          </w:tcPr>
          <w:p>
            <w:r>
              <w:t>D&amp;C Rules, 1945 Rule 158-B</w:t>
            </w:r>
          </w:p>
        </w:tc>
        <w:tc>
          <w:tcPr>
            <w:tcW w:type="dxa" w:w="2160"/>
          </w:tcPr>
          <w:p>
            <w:r>
              <w:t>IN_PROGRESS (45%)</w:t>
            </w:r>
          </w:p>
        </w:tc>
      </w:tr>
      <w:tr>
        <w:tc>
          <w:tcPr>
            <w:tcW w:type="dxa" w:w="2160"/>
          </w:tcPr>
          <w:p>
            <w:r>
              <w:t>1-on-1 Ayush Ministry Mentor Checkpoint</w:t>
            </w:r>
          </w:p>
        </w:tc>
        <w:tc>
          <w:tcPr>
            <w:tcW w:type="dxa" w:w="2160"/>
          </w:tcPr>
          <w:p>
            <w:r>
              <w:t>Ministry of Ayush Advisory Cell</w:t>
            </w:r>
          </w:p>
        </w:tc>
        <w:tc>
          <w:tcPr>
            <w:tcW w:type="dxa" w:w="2160"/>
          </w:tcPr>
          <w:p>
            <w:r>
              <w:t>Official Statutory Review</w:t>
            </w:r>
          </w:p>
        </w:tc>
        <w:tc>
          <w:tcPr>
            <w:tcW w:type="dxa" w:w="2160"/>
          </w:tcPr>
          <w:p>
            <w:r>
              <w:t>IN_PROGRESS (50%)</w:t>
            </w:r>
          </w:p>
        </w:tc>
      </w:tr>
      <w:tr>
        <w:tc>
          <w:tcPr>
            <w:tcW w:type="dxa" w:w="2160"/>
          </w:tcPr>
          <w:p>
            <w:r>
              <w:t>Commercial Launch &amp; Global Export</w:t>
            </w:r>
          </w:p>
        </w:tc>
        <w:tc>
          <w:tcPr>
            <w:tcW w:type="dxa" w:w="2160"/>
          </w:tcPr>
          <w:p>
            <w:r>
              <w:t>WIPO / EU EMA / US FDA</w:t>
            </w:r>
          </w:p>
        </w:tc>
        <w:tc>
          <w:tcPr>
            <w:tcW w:type="dxa" w:w="2160"/>
          </w:tcPr>
          <w:p>
            <w:r>
              <w:t>EU THMPD Directive / FDA DSHEA</w:t>
            </w:r>
          </w:p>
        </w:tc>
        <w:tc>
          <w:tcPr>
            <w:tcW w:type="dxa" w:w="2160"/>
          </w:tcPr>
          <w:p>
            <w:r>
              <w:t>PENDING (0%)</w:t>
            </w:r>
          </w:p>
        </w:tc>
      </w:tr>
    </w:tbl>
    <w:p>
      <w:r>
        <w:br w:type="page"/>
      </w:r>
    </w:p>
    <w:p>
      <w:pPr>
        <w:pStyle w:val="Heading1"/>
      </w:pPr>
      <w:r>
        <w:t>2. Indian Patent Office (IPO) — Complete Specification (Form 2)</w:t>
      </w:r>
    </w:p>
    <w:p>
      <w:r>
        <w:t>Field of Invention: Synergistic phytopharmaceutical composition formulated as an advanced delivery system designed to overcome statutory barriers under Section 3(p) (traditional knowledge) and Section 3(e) (mere admixture) of The Patents Act, 1970 for Curcuma longa (Curcumin), Gaultheria procumbens (Gandhapura), Boswellia serrata (Shallaki).</w:t>
      </w:r>
    </w:p>
    <w:p>
      <w:r>
        <w:t>Background &amp; Non-Obviousness Statement: Individual botanical constituents are acknowledged as documented in classical treatises (TKDL). However, the specific supercritical CO2 and lipid-nanocarrier complex produces unexpected bio-enhancement and synergistic Combination Index CI &lt; 0.75, satisfying the test of synergistic therapeutic efficacy under Section 3(e).</w:t>
      </w:r>
    </w:p>
    <w:p>
      <w:r>
        <w:t>Claims:</w:t>
        <w:br/>
        <w:t>1. A synergistic phytopharmaceutical formulation comprising standardized extracts of Curcuma longa (Curcumin), Gaultheria procumbens (Gandhapura), Boswellia serrata (Shallaki) encapsulated in liposomal / phospholipid nanocarrier (particle size &lt; 120 nm), demonstrating CI &lt; 0.75.</w:t>
        <w:br/>
        <w:t>2. The formulation of claim 1, exhibiting enhanced transdermal permeability overcoming classical formulation limits.</w:t>
        <w:br/>
        <w:t>3. A process for producing said formulation under controlled supercritical extraction.</w:t>
      </w:r>
    </w:p>
    <w:p>
      <w:pPr>
        <w:pStyle w:val="Heading1"/>
      </w:pPr>
      <w:r>
        <w:t>3. National Biodiversity Authority (NBA) — Form III Clearance</w:t>
      </w:r>
    </w:p>
    <w:p>
      <w:r>
        <w:t>Application under Section 6(1) of the Biological Diversity Act, 2002 for seeking prior approval before patent grant. Biological resources utilized: Curcuma longa (Curcumin), Gaultheria procumbens (Gandhapura), Boswellia serrata (Shallaki). Source: Procured under domestic State Biodiversity Board (SBB) commercial intimation under Section 7, with commitment to comply with Access and Benefit Sharing (ABS) regulations.</w:t>
      </w:r>
    </w:p>
    <w:p>
      <w:pPr>
        <w:pStyle w:val="Heading1"/>
      </w:pPr>
      <w:r>
        <w:t>4. State Ayush Licensing (SALA) — Rule 158-B Technical Dossier</w:t>
      </w:r>
    </w:p>
    <w:p>
      <w:r>
        <w:t>Application for manufacturing license of Proprietary ASU Medicine under Rule 158-B of Drugs and Cosmetics Rules, 1945. Includes compliance with Schedule T Good Manufacturing Practices (GMP), acute oral toxicity safety data, and standardized active chemical marker fingerprinting.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