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left"/>
      </w:pPr>
      <w:r>
        <w:rPr>
          <w:rFonts w:ascii="Calibri" w:hAnsi="Calibri"/>
          <w:b/>
          <w:color w:val="B45309"/>
          <w:sz w:val="22"/>
        </w:rPr>
        <w:t>SMART INDIA HACKATHON 2026 | TECHNICAL SPECIFICATION REPORT</w:t>
        <w:br/>
      </w:r>
      <w:r>
        <w:rPr>
          <w:rFonts w:ascii="Calibri" w:hAnsi="Calibri"/>
          <w:b/>
          <w:color w:val="0F2942"/>
          <w:sz w:val="56"/>
        </w:rPr>
        <w:t>IP-SAKTI Sahayak</w:t>
        <w:br/>
      </w:r>
      <w:r>
        <w:rPr>
          <w:rFonts w:ascii="Calibri" w:hAnsi="Calibri"/>
          <w:color w:val="1E293B"/>
          <w:sz w:val="26"/>
        </w:rPr>
        <w:t>Multilingual, Citation-Grounded RAG Assistant &amp; Regulatory Cross-Conflict Intelligence Engine for Ayush, Indian (IPO, NBA, CDSCO) &amp; Global (WIPO, USPTO, EPO, EMA) IP Regimes</w:t>
      </w:r>
    </w:p>
    <w:p>
      <w:pPr>
        <w:spacing w:before="160" w:after="480"/>
        <w:pBdr>
          <w:bottom w:val="single" w:sz="18" w:space="8" w:color="B45309"/>
        </w:pBdr>
      </w:pPr>
    </w:p>
    <w:tbl>
      <w:tblPr>
        <w:tblW w:type="auto" w:w="0"/>
        <w:jc w:val="center"/>
        <w:tblLayout w:type="fixed"/>
        <w:tblLook w:firstColumn="1" w:firstRow="1" w:lastColumn="0" w:lastRow="0" w:noHBand="0" w:noVBand="1" w:val="04A0"/>
      </w:tblPr>
      <w:tblGrid>
        <w:gridCol w:w="4680"/>
        <w:gridCol w:w="4680"/>
      </w:tblGrid>
      <w:tr>
        <w:tc>
          <w:tcPr>
            <w:tcW w:type="dxa" w:w="3168"/>
            <w:shd w:fill="F8FAFC"/>
            <w:tcMar>
              <w:top w:w="100" w:type="dxa"/>
              <w:bottom w:w="100" w:type="dxa"/>
              <w:left w:w="140" w:type="dxa"/>
              <w:right w:w="140" w:type="dxa"/>
            </w:tcMar>
          </w:tcPr>
          <w:p>
            <w:r>
              <w:rPr>
                <w:rFonts w:ascii="Calibri" w:hAnsi="Calibri"/>
                <w:b/>
                <w:color w:val="0F2942"/>
                <w:sz w:val="19"/>
              </w:rPr>
              <w:t>Problem Statement ID:</w:t>
            </w:r>
          </w:p>
        </w:tc>
        <w:tc>
          <w:tcPr>
            <w:tcW w:type="dxa" w:w="6192"/>
            <w:shd w:fill="F8FAFC"/>
            <w:tcMar>
              <w:top w:w="100" w:type="dxa"/>
              <w:bottom w:w="100" w:type="dxa"/>
              <w:left w:w="140" w:type="dxa"/>
              <w:right w:w="140" w:type="dxa"/>
            </w:tcMar>
          </w:tcPr>
          <w:p>
            <w:r>
              <w:rPr>
                <w:rFonts w:ascii="Calibri" w:hAnsi="Calibri"/>
                <w:color w:val="1E293B"/>
                <w:sz w:val="19"/>
              </w:rPr>
              <w:t>SIH26045 (Software Track)</w:t>
            </w:r>
          </w:p>
        </w:tc>
      </w:tr>
      <w:tr>
        <w:tc>
          <w:tcPr>
            <w:tcW w:type="dxa" w:w="3168"/>
            <w:shd w:fill="FFFFFF"/>
            <w:tcMar>
              <w:top w:w="100" w:type="dxa"/>
              <w:bottom w:w="100" w:type="dxa"/>
              <w:left w:w="140" w:type="dxa"/>
              <w:right w:w="140" w:type="dxa"/>
            </w:tcMar>
          </w:tcPr>
          <w:p>
            <w:r>
              <w:rPr>
                <w:rFonts w:ascii="Calibri" w:hAnsi="Calibri"/>
                <w:b/>
                <w:color w:val="0F2942"/>
                <w:sz w:val="19"/>
              </w:rPr>
              <w:t>Sponsoring Ministry:</w:t>
            </w:r>
          </w:p>
        </w:tc>
        <w:tc>
          <w:tcPr>
            <w:tcW w:type="dxa" w:w="6192"/>
            <w:shd w:fill="FFFFFF"/>
            <w:tcMar>
              <w:top w:w="100" w:type="dxa"/>
              <w:bottom w:w="100" w:type="dxa"/>
              <w:left w:w="140" w:type="dxa"/>
              <w:right w:w="140" w:type="dxa"/>
            </w:tcMar>
          </w:tcPr>
          <w:p>
            <w:r>
              <w:rPr>
                <w:rFonts w:ascii="Calibri" w:hAnsi="Calibri"/>
                <w:color w:val="1E293B"/>
                <w:sz w:val="19"/>
              </w:rPr>
              <w:t>Ministry of Ayush, Government of India</w:t>
            </w:r>
          </w:p>
        </w:tc>
      </w:tr>
      <w:tr>
        <w:tc>
          <w:tcPr>
            <w:tcW w:type="dxa" w:w="3168"/>
            <w:shd w:fill="F8FAFC"/>
            <w:tcMar>
              <w:top w:w="100" w:type="dxa"/>
              <w:bottom w:w="100" w:type="dxa"/>
              <w:left w:w="140" w:type="dxa"/>
              <w:right w:w="140" w:type="dxa"/>
            </w:tcMar>
          </w:tcPr>
          <w:p>
            <w:r>
              <w:rPr>
                <w:rFonts w:ascii="Calibri" w:hAnsi="Calibri"/>
                <w:b/>
                <w:color w:val="0F2942"/>
                <w:sz w:val="19"/>
              </w:rPr>
              <w:t>Theme / Category:</w:t>
            </w:r>
          </w:p>
        </w:tc>
        <w:tc>
          <w:tcPr>
            <w:tcW w:type="dxa" w:w="6192"/>
            <w:shd w:fill="F8FAFC"/>
            <w:tcMar>
              <w:top w:w="100" w:type="dxa"/>
              <w:bottom w:w="100" w:type="dxa"/>
              <w:left w:w="140" w:type="dxa"/>
              <w:right w:w="140" w:type="dxa"/>
            </w:tcMar>
          </w:tcPr>
          <w:p>
            <w:r>
              <w:rPr>
                <w:rFonts w:ascii="Calibri" w:hAnsi="Calibri"/>
                <w:color w:val="1E293B"/>
                <w:sz w:val="19"/>
              </w:rPr>
              <w:t>Ayush / Intellectual Property / Regulatory Regimes</w:t>
            </w:r>
          </w:p>
        </w:tc>
      </w:tr>
      <w:tr>
        <w:tc>
          <w:tcPr>
            <w:tcW w:type="dxa" w:w="3168"/>
            <w:shd w:fill="FFFFFF"/>
            <w:tcMar>
              <w:top w:w="100" w:type="dxa"/>
              <w:bottom w:w="100" w:type="dxa"/>
              <w:left w:w="140" w:type="dxa"/>
              <w:right w:w="140" w:type="dxa"/>
            </w:tcMar>
          </w:tcPr>
          <w:p>
            <w:r>
              <w:rPr>
                <w:rFonts w:ascii="Calibri" w:hAnsi="Calibri"/>
                <w:b/>
                <w:color w:val="0F2942"/>
                <w:sz w:val="19"/>
              </w:rPr>
              <w:t>System Classification:</w:t>
            </w:r>
          </w:p>
        </w:tc>
        <w:tc>
          <w:tcPr>
            <w:tcW w:type="dxa" w:w="6192"/>
            <w:shd w:fill="FFFFFF"/>
            <w:tcMar>
              <w:top w:w="100" w:type="dxa"/>
              <w:bottom w:w="100" w:type="dxa"/>
              <w:left w:w="140" w:type="dxa"/>
              <w:right w:w="140" w:type="dxa"/>
            </w:tcMar>
          </w:tcPr>
          <w:p>
            <w:r>
              <w:rPr>
                <w:rFonts w:ascii="Calibri" w:hAnsi="Calibri"/>
                <w:color w:val="1E293B"/>
                <w:sz w:val="19"/>
              </w:rPr>
              <w:t>Multi-Agent Mixture-of-Experts RAG &amp; Statutory Reasoning Engine</w:t>
            </w:r>
          </w:p>
        </w:tc>
      </w:tr>
      <w:tr>
        <w:tc>
          <w:tcPr>
            <w:tcW w:type="dxa" w:w="3168"/>
            <w:shd w:fill="F8FAFC"/>
            <w:tcMar>
              <w:top w:w="100" w:type="dxa"/>
              <w:bottom w:w="100" w:type="dxa"/>
              <w:left w:w="140" w:type="dxa"/>
              <w:right w:w="140" w:type="dxa"/>
            </w:tcMar>
          </w:tcPr>
          <w:p>
            <w:r>
              <w:rPr>
                <w:rFonts w:ascii="Calibri" w:hAnsi="Calibri"/>
                <w:b/>
                <w:color w:val="0F2942"/>
                <w:sz w:val="19"/>
              </w:rPr>
              <w:t>Target Users:</w:t>
            </w:r>
          </w:p>
        </w:tc>
        <w:tc>
          <w:tcPr>
            <w:tcW w:type="dxa" w:w="6192"/>
            <w:shd w:fill="F8FAFC"/>
            <w:tcMar>
              <w:top w:w="100" w:type="dxa"/>
              <w:bottom w:w="100" w:type="dxa"/>
              <w:left w:w="140" w:type="dxa"/>
              <w:right w:w="140" w:type="dxa"/>
            </w:tcMar>
          </w:tcPr>
          <w:p>
            <w:r>
              <w:rPr>
                <w:rFonts w:ascii="Calibri" w:hAnsi="Calibri"/>
                <w:color w:val="1E293B"/>
                <w:sz w:val="19"/>
              </w:rPr>
              <w:t>Ayush Innovators, Researchers, Vaidyas, Hakims, MSMEs, Patent Examiners</w:t>
            </w:r>
          </w:p>
        </w:tc>
      </w:tr>
    </w:tbl>
    <w:p>
      <w:pPr>
        <w:spacing w:after="480"/>
      </w:pPr>
    </w:p>
    <w:tbl>
      <w:tblPr>
        <w:tblW w:type="auto" w:w="0"/>
        <w:jc w:val="center"/>
        <w:tblLayout w:type="fixed"/>
        <w:tblLook w:firstColumn="1" w:firstRow="1" w:lastColumn="0" w:lastRow="0" w:noHBand="0" w:noVBand="1" w:val="04A0"/>
      </w:tblPr>
      <w:tblGrid>
        <w:gridCol w:w="9360"/>
      </w:tblGrid>
      <w:tr>
        <w:tc>
          <w:tcPr>
            <w:tcW w:type="dxa" w:w="9360"/>
            <w:shd w:fill="FFFBEB"/>
            <w:tcMar>
              <w:top w:w="160" w:type="dxa"/>
              <w:bottom w:w="160" w:type="dxa"/>
              <w:left w:w="220" w:type="dxa"/>
              <w:right w:w="220" w:type="dxa"/>
            </w:tcMar>
            <w:tcBorders>
              <w:top w:val="none"/>
              <w:left w:val="single" w:sz="36" w:space="0" w:color="B45309"/>
              <w:bottom w:val="none"/>
              <w:right w:val="none"/>
            </w:tcBorders>
          </w:tcPr>
          <w:p>
            <w:pPr>
              <w:spacing w:before="0" w:after="60"/>
            </w:pPr>
            <w:r>
              <w:rPr>
                <w:rFonts w:ascii="Calibri" w:hAnsi="Calibri"/>
                <w:b/>
                <w:color w:val="B45309"/>
                <w:sz w:val="21"/>
              </w:rPr>
              <w:t>✦ EXECUTIVE CORE THESIS</w:t>
              <w:br/>
            </w:r>
            <w:r>
              <w:rPr>
                <w:rFonts w:ascii="Calibri" w:hAnsi="Calibri"/>
                <w:i/>
                <w:color w:val="1E293B"/>
                <w:sz w:val="20"/>
              </w:rPr>
              <w:t>"Unlike conventional AI chatbots that hallucinate legal text or provide superficial summaries, IP-SAKTI Sahayak grounds every single legal proposition down to the atomic statutory clause level. It pioneers cross-regulatory conflict detection—harmonizing the Indian Patents Act, Biological Diversity Act, Drugs and Cosmetics Rules, and international export directives."</w:t>
            </w:r>
          </w:p>
        </w:tc>
      </w:tr>
    </w:tbl>
    <w:p>
      <w:pPr>
        <w:spacing w:after="120"/>
      </w:pPr>
    </w:p>
    <w:p>
      <w:r>
        <w:br w:type="page"/>
      </w:r>
    </w:p>
    <w:p>
      <w:pPr>
        <w:keepNext/>
        <w:spacing w:before="440" w:after="160"/>
        <w:pBdr>
          <w:bottom w:val="single" w:sz="12" w:space="4" w:color="B45309"/>
        </w:pBdr>
      </w:pPr>
      <w:r>
        <w:rPr>
          <w:rFonts w:ascii="Calibri" w:hAnsi="Calibri"/>
          <w:b/>
          <w:color w:val="0F2942"/>
          <w:sz w:val="34"/>
        </w:rPr>
        <w:t>Executive Summary</w:t>
      </w:r>
    </w:p>
    <w:p>
      <w:pPr>
        <w:spacing w:before="0" w:after="120" w:line="276" w:lineRule="auto"/>
      </w:pPr>
      <w:r>
        <w:rPr>
          <w:rFonts w:ascii="Calibri" w:hAnsi="Calibri"/>
          <w:color w:val="1E293B"/>
          <w:sz w:val="21"/>
        </w:rPr>
        <w:t>The Traditional Knowledge Digital Library (TKDL) and India's rich Ayush heritage encompass more than 4.4 lakh classical formulations across Ayurveda, Unani, Siddha, Sowa-Rigpa, and Yoga. However, India's Ayush bio-economy faces a critical bottleneck: over 70% of herbal and Ayush patent applications filed by domestic researchers and grassroots innovators are summarily rejected at the Indian Patent Office (IPO) under Sections 3(p) and 3(e) of the Patents Act, 1970. Simultaneously, innovators are routinely penalized under Section 55 of the Biological Diversity Act, 2002 (amended 2023) for failing to secure mandatory prior approval from the National Biodiversity Authority (NBA). When attempting international market entry, Ayush exporters hit insurmountable regulatory barriers under the US FDA Botanical Drug Guidance and the European Union's Traditional Herbal Medicinal Products Directive (THMPD 2004/24/EC).</w:t>
      </w:r>
    </w:p>
    <w:p>
      <w:pPr>
        <w:spacing w:before="0" w:after="120" w:line="276" w:lineRule="auto"/>
      </w:pPr>
      <w:r>
        <w:rPr>
          <w:rFonts w:ascii="Calibri" w:hAnsi="Calibri"/>
          <w:color w:val="1E293B"/>
          <w:sz w:val="21"/>
        </w:rPr>
        <w:t>Generic Large Language Models such as ChatGPT, Claude, and Gemini cannot solve this dilemma. Generic LLMs operate on stochastic next-token prediction, frequently fabricating non-existent statutory sections, conflating central and state licensing rules, ignoring mandatory biodiversity clearances, and blindly recommending patent filings that violate statutory prohibitions. Furthermore, generic models cannot interact with vernacular Vaidyas and Hakims who communicate in regional Indian languages and lack legal expertise.</w:t>
      </w:r>
    </w:p>
    <w:p>
      <w:pPr>
        <w:spacing w:before="0" w:after="120" w:line="276" w:lineRule="auto"/>
      </w:pPr>
      <w:r>
        <w:rPr>
          <w:rFonts w:ascii="Calibri" w:hAnsi="Calibri"/>
          <w:color w:val="1E293B"/>
          <w:sz w:val="21"/>
        </w:rPr>
        <w:t>IP-SAKTI Sahayak (Intellectual Property &amp; Statutory Ayush Knowledge Transfer &amp; Intelligence Sahayak) is an evidence-first, multi-agent artificial intelligence assistant built specifically for the Ministry of Ayush. It introduces six pioneering technical innovations: (1) Atomic Clause-Level Hierarchical Retrieval, (2) Cross-Regulatory Conflict &amp; Ambiguity Detection, (3) Ayush-BioPatent Defensibility &amp; Synergism Screening, (4) Tri-Anchor Zero-Hallucination Reflection with SHA-256 Gazette Verification, (5) Automated Statutory Dossier &amp; Form Drafting Suite, and (6) Bhashini-powered Indic Voice-First Interaction. This report delivers an exhaustive technical breakdown, architectural specifications, comparative benchmarks, and a slide-by-slide presentation blueprint to ensure Tier-1 selection and hackathon victory.</w:t>
      </w:r>
    </w:p>
    <w:p>
      <w:pPr>
        <w:keepNext/>
        <w:spacing w:before="320" w:after="120"/>
      </w:pPr>
      <w:r>
        <w:rPr>
          <w:rFonts w:ascii="Calibri" w:hAnsi="Calibri"/>
          <w:b/>
          <w:color w:val="B45309"/>
          <w:sz w:val="27"/>
        </w:rPr>
        <w:t>Document Organization Overview</w:t>
      </w:r>
    </w:p>
    <w:tbl>
      <w:tblPr>
        <w:tblW w:type="auto" w:w="0"/>
        <w:jc w:val="center"/>
        <w:tblLayout w:type="fixed"/>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4680"/>
        <w:gridCol w:w="4680"/>
      </w:tblGrid>
      <w:tr>
        <w:trPr>
          <w:tblHeader/>
        </w:trPr>
        <w:tc>
          <w:tcPr>
            <w:tcW w:type="dxa" w:w="2160"/>
            <w:shd w:fill="0F2942"/>
            <w:tcMar>
              <w:top w:w="140" w:type="dxa"/>
              <w:bottom w:w="140" w:type="dxa"/>
              <w:left w:w="160" w:type="dxa"/>
              <w:right w:w="160" w:type="dxa"/>
            </w:tcMar>
          </w:tcPr>
          <w:p>
            <w:pPr>
              <w:spacing w:before="0" w:after="0"/>
            </w:pPr>
            <w:r>
              <w:rPr>
                <w:rFonts w:ascii="Calibri" w:hAnsi="Calibri"/>
                <w:b/>
                <w:color w:val="FFFFFF"/>
                <w:sz w:val="19"/>
              </w:rPr>
              <w:t>Section</w:t>
            </w:r>
          </w:p>
        </w:tc>
        <w:tc>
          <w:tcPr>
            <w:tcW w:type="dxa" w:w="7200"/>
            <w:shd w:fill="0F2942"/>
            <w:tcMar>
              <w:top w:w="140" w:type="dxa"/>
              <w:bottom w:w="140" w:type="dxa"/>
              <w:left w:w="160" w:type="dxa"/>
              <w:right w:w="160" w:type="dxa"/>
            </w:tcMar>
          </w:tcPr>
          <w:p>
            <w:pPr>
              <w:spacing w:before="0" w:after="0"/>
            </w:pPr>
            <w:r>
              <w:rPr>
                <w:rFonts w:ascii="Calibri" w:hAnsi="Calibri"/>
                <w:b/>
                <w:color w:val="FFFFFF"/>
                <w:sz w:val="19"/>
              </w:rPr>
              <w:t>Core Subject Matter &amp; Deliverable</w:t>
            </w:r>
          </w:p>
        </w:tc>
      </w:tr>
      <w:tr>
        <w:tc>
          <w:tcPr>
            <w:tcW w:type="dxa" w:w="2160"/>
            <w:shd w:fill="FFFFFF"/>
            <w:tcMar>
              <w:top w:w="100" w:type="dxa"/>
              <w:bottom w:w="100" w:type="dxa"/>
              <w:left w:w="140" w:type="dxa"/>
              <w:right w:w="140" w:type="dxa"/>
            </w:tcMar>
          </w:tcPr>
          <w:p>
            <w:pPr>
              <w:spacing w:before="0" w:after="0" w:line="269" w:lineRule="auto"/>
            </w:pPr>
            <w:r>
              <w:rPr>
                <w:rFonts w:ascii="Calibri" w:hAnsi="Calibri"/>
                <w:color w:val="1E293B"/>
                <w:sz w:val="18"/>
              </w:rPr>
              <w:t>Chapter 1</w:t>
            </w:r>
          </w:p>
        </w:tc>
        <w:tc>
          <w:tcPr>
            <w:tcW w:type="dxa" w:w="7200"/>
            <w:shd w:fill="FFFFFF"/>
            <w:tcMar>
              <w:top w:w="100" w:type="dxa"/>
              <w:bottom w:w="100" w:type="dxa"/>
              <w:left w:w="140" w:type="dxa"/>
              <w:right w:w="140" w:type="dxa"/>
            </w:tcMar>
          </w:tcPr>
          <w:p>
            <w:pPr>
              <w:spacing w:before="0" w:after="0" w:line="269" w:lineRule="auto"/>
            </w:pPr>
            <w:r>
              <w:rPr>
                <w:rFonts w:ascii="Calibri" w:hAnsi="Calibri"/>
                <w:color w:val="1E293B"/>
                <w:sz w:val="18"/>
              </w:rPr>
              <w:t>The Regulatory &amp; Technological Crisis in Ayush Innovation (Problem Landscape)</w:t>
            </w:r>
          </w:p>
        </w:tc>
      </w:tr>
      <w:tr>
        <w:tc>
          <w:tcPr>
            <w:tcW w:type="dxa" w:w="2160"/>
            <w:shd w:fill="F8FAFC"/>
            <w:tcMar>
              <w:top w:w="100" w:type="dxa"/>
              <w:bottom w:w="100" w:type="dxa"/>
              <w:left w:w="140" w:type="dxa"/>
              <w:right w:w="140" w:type="dxa"/>
            </w:tcMar>
          </w:tcPr>
          <w:p>
            <w:pPr>
              <w:spacing w:before="0" w:after="0" w:line="269" w:lineRule="auto"/>
            </w:pPr>
            <w:r>
              <w:rPr>
                <w:rFonts w:ascii="Calibri" w:hAnsi="Calibri"/>
                <w:color w:val="1E293B"/>
                <w:sz w:val="18"/>
              </w:rPr>
              <w:t>Chapter 2</w:t>
            </w:r>
          </w:p>
        </w:tc>
        <w:tc>
          <w:tcPr>
            <w:tcW w:type="dxa" w:w="7200"/>
            <w:shd w:fill="F8FAFC"/>
            <w:tcMar>
              <w:top w:w="100" w:type="dxa"/>
              <w:bottom w:w="100" w:type="dxa"/>
              <w:left w:w="140" w:type="dxa"/>
              <w:right w:w="140" w:type="dxa"/>
            </w:tcMar>
          </w:tcPr>
          <w:p>
            <w:pPr>
              <w:spacing w:before="0" w:after="0" w:line="269" w:lineRule="auto"/>
            </w:pPr>
            <w:r>
              <w:rPr>
                <w:rFonts w:ascii="Calibri" w:hAnsi="Calibri"/>
                <w:color w:val="1E293B"/>
                <w:sz w:val="18"/>
              </w:rPr>
              <w:t>The Core Technological Breakthrough: What is IP-SAKTI Sahayak?</w:t>
            </w:r>
          </w:p>
        </w:tc>
      </w:tr>
      <w:tr>
        <w:tc>
          <w:tcPr>
            <w:tcW w:type="dxa" w:w="2160"/>
            <w:shd w:fill="FFFFFF"/>
            <w:tcMar>
              <w:top w:w="100" w:type="dxa"/>
              <w:bottom w:w="100" w:type="dxa"/>
              <w:left w:w="140" w:type="dxa"/>
              <w:right w:w="140" w:type="dxa"/>
            </w:tcMar>
          </w:tcPr>
          <w:p>
            <w:pPr>
              <w:spacing w:before="0" w:after="0" w:line="269" w:lineRule="auto"/>
            </w:pPr>
            <w:r>
              <w:rPr>
                <w:rFonts w:ascii="Calibri" w:hAnsi="Calibri"/>
                <w:color w:val="1E293B"/>
                <w:sz w:val="18"/>
              </w:rPr>
              <w:t>Chapter 3</w:t>
            </w:r>
          </w:p>
        </w:tc>
        <w:tc>
          <w:tcPr>
            <w:tcW w:type="dxa" w:w="7200"/>
            <w:shd w:fill="FFFFFF"/>
            <w:tcMar>
              <w:top w:w="100" w:type="dxa"/>
              <w:bottom w:w="100" w:type="dxa"/>
              <w:left w:w="140" w:type="dxa"/>
              <w:right w:w="140" w:type="dxa"/>
            </w:tcMar>
          </w:tcPr>
          <w:p>
            <w:pPr>
              <w:spacing w:before="0" w:after="0" w:line="269" w:lineRule="auto"/>
            </w:pPr>
            <w:r>
              <w:rPr>
                <w:rFonts w:ascii="Calibri" w:hAnsi="Calibri"/>
                <w:color w:val="1E293B"/>
                <w:sz w:val="18"/>
              </w:rPr>
              <w:t>Comparative Master Benchmark: IP-SAKTI Sahayak vs Generic LLMs (ChatGPT/Claude)</w:t>
            </w:r>
          </w:p>
        </w:tc>
      </w:tr>
      <w:tr>
        <w:tc>
          <w:tcPr>
            <w:tcW w:type="dxa" w:w="2160"/>
            <w:shd w:fill="F8FAFC"/>
            <w:tcMar>
              <w:top w:w="100" w:type="dxa"/>
              <w:bottom w:w="100" w:type="dxa"/>
              <w:left w:w="140" w:type="dxa"/>
              <w:right w:w="140" w:type="dxa"/>
            </w:tcMar>
          </w:tcPr>
          <w:p>
            <w:pPr>
              <w:spacing w:before="0" w:after="0" w:line="269" w:lineRule="auto"/>
            </w:pPr>
            <w:r>
              <w:rPr>
                <w:rFonts w:ascii="Calibri" w:hAnsi="Calibri"/>
                <w:color w:val="1E293B"/>
                <w:sz w:val="18"/>
              </w:rPr>
              <w:t>Chapter 4</w:t>
            </w:r>
          </w:p>
        </w:tc>
        <w:tc>
          <w:tcPr>
            <w:tcW w:type="dxa" w:w="7200"/>
            <w:shd w:fill="F8FAFC"/>
            <w:tcMar>
              <w:top w:w="100" w:type="dxa"/>
              <w:bottom w:w="100" w:type="dxa"/>
              <w:left w:w="140" w:type="dxa"/>
              <w:right w:w="140" w:type="dxa"/>
            </w:tcMar>
          </w:tcPr>
          <w:p>
            <w:pPr>
              <w:spacing w:before="0" w:after="0" w:line="269" w:lineRule="auto"/>
            </w:pPr>
            <w:r>
              <w:rPr>
                <w:rFonts w:ascii="Calibri" w:hAnsi="Calibri"/>
                <w:color w:val="1E293B"/>
                <w:sz w:val="18"/>
              </w:rPr>
              <w:t>The 7-Layer Enterprise System Architecture &amp; Technical Stack</w:t>
            </w:r>
          </w:p>
        </w:tc>
      </w:tr>
      <w:tr>
        <w:tc>
          <w:tcPr>
            <w:tcW w:type="dxa" w:w="2160"/>
            <w:shd w:fill="FFFFFF"/>
            <w:tcMar>
              <w:top w:w="100" w:type="dxa"/>
              <w:bottom w:w="100" w:type="dxa"/>
              <w:left w:w="140" w:type="dxa"/>
              <w:right w:w="140" w:type="dxa"/>
            </w:tcMar>
          </w:tcPr>
          <w:p>
            <w:pPr>
              <w:spacing w:before="0" w:after="0" w:line="269" w:lineRule="auto"/>
            </w:pPr>
            <w:r>
              <w:rPr>
                <w:rFonts w:ascii="Calibri" w:hAnsi="Calibri"/>
                <w:color w:val="1E293B"/>
                <w:sz w:val="18"/>
              </w:rPr>
              <w:t>Chapter 5</w:t>
            </w:r>
          </w:p>
        </w:tc>
        <w:tc>
          <w:tcPr>
            <w:tcW w:type="dxa" w:w="7200"/>
            <w:shd w:fill="FFFFFF"/>
            <w:tcMar>
              <w:top w:w="100" w:type="dxa"/>
              <w:bottom w:w="100" w:type="dxa"/>
              <w:left w:w="140" w:type="dxa"/>
              <w:right w:w="140" w:type="dxa"/>
            </w:tcMar>
          </w:tcPr>
          <w:p>
            <w:pPr>
              <w:spacing w:before="0" w:after="0" w:line="269" w:lineRule="auto"/>
            </w:pPr>
            <w:r>
              <w:rPr>
                <w:rFonts w:ascii="Calibri" w:hAnsi="Calibri"/>
                <w:color w:val="1E293B"/>
                <w:sz w:val="18"/>
              </w:rPr>
              <w:t>In-Depth Engineering of the Six Killer Technological Innovations</w:t>
            </w:r>
          </w:p>
        </w:tc>
      </w:tr>
      <w:tr>
        <w:tc>
          <w:tcPr>
            <w:tcW w:type="dxa" w:w="2160"/>
            <w:shd w:fill="F8FAFC"/>
            <w:tcMar>
              <w:top w:w="100" w:type="dxa"/>
              <w:bottom w:w="100" w:type="dxa"/>
              <w:left w:w="140" w:type="dxa"/>
              <w:right w:w="140" w:type="dxa"/>
            </w:tcMar>
          </w:tcPr>
          <w:p>
            <w:pPr>
              <w:spacing w:before="0" w:after="0" w:line="269" w:lineRule="auto"/>
            </w:pPr>
            <w:r>
              <w:rPr>
                <w:rFonts w:ascii="Calibri" w:hAnsi="Calibri"/>
                <w:color w:val="1E293B"/>
                <w:sz w:val="18"/>
              </w:rPr>
              <w:t>Chapter 5A</w:t>
            </w:r>
          </w:p>
        </w:tc>
        <w:tc>
          <w:tcPr>
            <w:tcW w:type="dxa" w:w="7200"/>
            <w:shd w:fill="F8FAFC"/>
            <w:tcMar>
              <w:top w:w="100" w:type="dxa"/>
              <w:bottom w:w="100" w:type="dxa"/>
              <w:left w:w="140" w:type="dxa"/>
              <w:right w:w="140" w:type="dxa"/>
            </w:tcMar>
          </w:tcPr>
          <w:p>
            <w:pPr>
              <w:spacing w:before="0" w:after="0" w:line="269" w:lineRule="auto"/>
            </w:pPr>
            <w:r>
              <w:rPr>
                <w:rFonts w:ascii="Calibri" w:hAnsi="Calibri"/>
                <w:color w:val="1E293B"/>
                <w:sz w:val="18"/>
              </w:rPr>
              <w:t>Detailed Implementation of the 12 Core Technical Specifications (User Ideation Blueprint)</w:t>
            </w:r>
          </w:p>
        </w:tc>
      </w:tr>
      <w:tr>
        <w:tc>
          <w:tcPr>
            <w:tcW w:type="dxa" w:w="2160"/>
            <w:shd w:fill="FFFFFF"/>
            <w:tcMar>
              <w:top w:w="100" w:type="dxa"/>
              <w:bottom w:w="100" w:type="dxa"/>
              <w:left w:w="140" w:type="dxa"/>
              <w:right w:w="140" w:type="dxa"/>
            </w:tcMar>
          </w:tcPr>
          <w:p>
            <w:pPr>
              <w:spacing w:before="0" w:after="0" w:line="269" w:lineRule="auto"/>
            </w:pPr>
            <w:r>
              <w:rPr>
                <w:rFonts w:ascii="Calibri" w:hAnsi="Calibri"/>
                <w:color w:val="1E293B"/>
                <w:sz w:val="18"/>
              </w:rPr>
              <w:t>Chapter 6</w:t>
            </w:r>
          </w:p>
        </w:tc>
        <w:tc>
          <w:tcPr>
            <w:tcW w:type="dxa" w:w="7200"/>
            <w:shd w:fill="FFFFFF"/>
            <w:tcMar>
              <w:top w:w="100" w:type="dxa"/>
              <w:bottom w:w="100" w:type="dxa"/>
              <w:left w:w="140" w:type="dxa"/>
              <w:right w:w="140" w:type="dxa"/>
            </w:tcMar>
          </w:tcPr>
          <w:p>
            <w:pPr>
              <w:spacing w:before="0" w:after="0" w:line="269" w:lineRule="auto"/>
            </w:pPr>
            <w:r>
              <w:rPr>
                <w:rFonts w:ascii="Calibri" w:hAnsi="Calibri"/>
                <w:color w:val="1E293B"/>
                <w:sz w:val="18"/>
              </w:rPr>
              <w:t>Slide-by-Slide Presentation Pitching Blueprint (Ready for SIH PPT &amp; Q&amp;A Defense)</w:t>
            </w:r>
          </w:p>
        </w:tc>
      </w:tr>
      <w:tr>
        <w:tc>
          <w:tcPr>
            <w:tcW w:type="dxa" w:w="2160"/>
            <w:shd w:fill="F8FAFC"/>
            <w:tcMar>
              <w:top w:w="100" w:type="dxa"/>
              <w:bottom w:w="100" w:type="dxa"/>
              <w:left w:w="140" w:type="dxa"/>
              <w:right w:w="140" w:type="dxa"/>
            </w:tcMar>
          </w:tcPr>
          <w:p>
            <w:pPr>
              <w:spacing w:before="0" w:after="0" w:line="269" w:lineRule="auto"/>
            </w:pPr>
            <w:r>
              <w:rPr>
                <w:rFonts w:ascii="Calibri" w:hAnsi="Calibri"/>
                <w:color w:val="1E293B"/>
                <w:sz w:val="18"/>
              </w:rPr>
              <w:t>Chapter 7</w:t>
            </w:r>
          </w:p>
        </w:tc>
        <w:tc>
          <w:tcPr>
            <w:tcW w:type="dxa" w:w="7200"/>
            <w:shd w:fill="F8FAFC"/>
            <w:tcMar>
              <w:top w:w="100" w:type="dxa"/>
              <w:bottom w:w="100" w:type="dxa"/>
              <w:left w:w="140" w:type="dxa"/>
              <w:right w:w="140" w:type="dxa"/>
            </w:tcMar>
          </w:tcPr>
          <w:p>
            <w:pPr>
              <w:spacing w:before="0" w:after="0" w:line="269" w:lineRule="auto"/>
            </w:pPr>
            <w:r>
              <w:rPr>
                <w:rFonts w:ascii="Calibri" w:hAnsi="Calibri"/>
                <w:color w:val="1E293B"/>
                <w:sz w:val="18"/>
              </w:rPr>
              <w:t>National Socio-Economic Impact, Sovereign Security &amp; 12-Month Rollout Roadmap</w:t>
            </w:r>
          </w:p>
        </w:tc>
      </w:tr>
    </w:tbl>
    <w:p>
      <w:pPr>
        <w:spacing w:after="160"/>
      </w:pPr>
    </w:p>
    <w:p>
      <w:r>
        <w:br w:type="page"/>
      </w:r>
    </w:p>
    <w:p>
      <w:pPr>
        <w:keepNext/>
        <w:spacing w:before="440" w:after="160"/>
        <w:pBdr>
          <w:bottom w:val="single" w:sz="12" w:space="4" w:color="B45309"/>
        </w:pBdr>
      </w:pPr>
      <w:r>
        <w:rPr>
          <w:rFonts w:ascii="Calibri" w:hAnsi="Calibri"/>
          <w:b/>
          <w:color w:val="0F2942"/>
          <w:sz w:val="34"/>
        </w:rPr>
        <w:t>Chapter 1: The Regulatory &amp; Technological Crisis in Ayush Innovation</w:t>
      </w:r>
    </w:p>
    <w:p>
      <w:pPr>
        <w:keepNext/>
        <w:spacing w:before="320" w:after="120"/>
      </w:pPr>
      <w:r>
        <w:rPr>
          <w:rFonts w:ascii="Calibri" w:hAnsi="Calibri"/>
          <w:b/>
          <w:color w:val="B45309"/>
          <w:sz w:val="27"/>
        </w:rPr>
        <w:t>1.1 Genesis of Problem Statement SIH26045</w:t>
      </w:r>
    </w:p>
    <w:p>
      <w:pPr>
        <w:spacing w:before="0" w:after="120" w:line="276" w:lineRule="auto"/>
      </w:pPr>
      <w:r>
        <w:rPr>
          <w:rFonts w:ascii="Calibri" w:hAnsi="Calibri"/>
          <w:color w:val="1E293B"/>
          <w:sz w:val="21"/>
        </w:rPr>
        <w:t>Smart India Hackathon Problem Statement SIH26045, sponsored by the Ministry of Ayush, tasks innovators with constructing a citation-grounded Retrieval-Augmented Generation (RAG) assistant for Intellectual Property (patents, trademarks, GI tags, TKDL) and statutory compliances across Indian (IPO, Ayush regulations) and global (WIPO, USPTO, EPO) regimes. The assistant must provide precise source citations down to acts, circulars, and clauses to prevent hallucinations; deliver multilingual query handling across Hindi, English, and regional Indian languages; and automate document generation for IP applications, compliance checklists, and legal disclosures.</w:t>
      </w:r>
    </w:p>
    <w:p>
      <w:pPr>
        <w:keepNext/>
        <w:spacing w:before="320" w:after="120"/>
      </w:pPr>
      <w:r>
        <w:rPr>
          <w:rFonts w:ascii="Calibri" w:hAnsi="Calibri"/>
          <w:b/>
          <w:color w:val="B45309"/>
          <w:sz w:val="27"/>
        </w:rPr>
        <w:t>1.2 The 'Ayush Patent Paradox': Why 70%+ Ayush Inventions are Rejected</w:t>
      </w:r>
    </w:p>
    <w:p>
      <w:pPr>
        <w:spacing w:before="0" w:after="120" w:line="276" w:lineRule="auto"/>
      </w:pPr>
      <w:r>
        <w:rPr>
          <w:rFonts w:ascii="Calibri" w:hAnsi="Calibri"/>
          <w:color w:val="1E293B"/>
          <w:sz w:val="21"/>
        </w:rPr>
        <w:t>Unlike synthetic chemical compounds or software algorithms, intellectual property in the traditional medicine domain exists in direct tension with public heritage and statutory exclusions. Innovators confront four structural roadblocks:</w:t>
      </w:r>
    </w:p>
    <w:p>
      <w:pPr>
        <w:pStyle w:val="ListBullet"/>
        <w:spacing w:before="20" w:after="80" w:line="276" w:lineRule="auto"/>
        <w:ind w:left="360"/>
      </w:pPr>
      <w:r>
        <w:rPr>
          <w:rFonts w:ascii="Calibri" w:hAnsi="Calibri"/>
          <w:b/>
          <w:color w:val="1E293B"/>
          <w:sz w:val="21"/>
        </w:rPr>
        <w:t xml:space="preserve">Section 3(p) of the Patents Act, 1970: </w:t>
      </w:r>
      <w:r>
        <w:rPr>
          <w:rFonts w:ascii="Calibri" w:hAnsi="Calibri"/>
          <w:color w:val="1E293B"/>
          <w:sz w:val="21"/>
        </w:rPr>
        <w:t>which excludes from patentability 'an invention which in effect, is traditional knowledge or which is an aggregation or duplication of known properties of traditionally known component or components'. Examiners routinely reject formulations if individual herbs are cited in classical texts like Charaka Samhita, Sushruta Samhita, or the Ayurvedic Pharmacopoeia of India (API).</w:t>
      </w:r>
    </w:p>
    <w:p>
      <w:pPr>
        <w:pStyle w:val="ListBullet"/>
        <w:spacing w:before="20" w:after="80" w:line="276" w:lineRule="auto"/>
        <w:ind w:left="360"/>
      </w:pPr>
      <w:r>
        <w:rPr>
          <w:rFonts w:ascii="Calibri" w:hAnsi="Calibri"/>
          <w:b/>
          <w:color w:val="1E293B"/>
          <w:sz w:val="21"/>
        </w:rPr>
        <w:t xml:space="preserve">Section 3(e) of the Patents Act, 1970: </w:t>
      </w:r>
      <w:r>
        <w:rPr>
          <w:rFonts w:ascii="Calibri" w:hAnsi="Calibri"/>
          <w:color w:val="1E293B"/>
          <w:sz w:val="21"/>
        </w:rPr>
        <w:t>which bars patents for 'a substance obtained by a mere admixture resulting only in aggregation of the properties of the components thereof or a process for producing such substance'. Combining two known herbs without mathematically demonstrated therapeutic synergism (Combination Index CI &lt; 0.8) leads to instant refusal.</w:t>
      </w:r>
    </w:p>
    <w:p>
      <w:pPr>
        <w:pStyle w:val="ListBullet"/>
        <w:spacing w:before="20" w:after="80" w:line="276" w:lineRule="auto"/>
        <w:ind w:left="360"/>
      </w:pPr>
      <w:r>
        <w:rPr>
          <w:rFonts w:ascii="Calibri" w:hAnsi="Calibri"/>
          <w:b/>
          <w:color w:val="1E293B"/>
          <w:sz w:val="21"/>
        </w:rPr>
        <w:t xml:space="preserve">Section 6 of the Biological Diversity Act, 2002 (amended 2023): </w:t>
      </w:r>
      <w:r>
        <w:rPr>
          <w:rFonts w:ascii="Calibri" w:hAnsi="Calibri"/>
          <w:color w:val="1E293B"/>
          <w:sz w:val="21"/>
        </w:rPr>
        <w:t>which stipulates that any person applying for any intellectual property right, whether inside or outside India, based on any biological resource obtained from India or associated traditional knowledge, MUST obtain prior mandatory approval of the National Biodiversity Authority (NBA). Failure to do so renders the patent liable for revocation under Section 64(1)(p) and triggers criminal prosecution under Section 55!</w:t>
      </w:r>
    </w:p>
    <w:p>
      <w:pPr>
        <w:pStyle w:val="ListBullet"/>
        <w:spacing w:before="20" w:after="80" w:line="276" w:lineRule="auto"/>
        <w:ind w:left="360"/>
      </w:pPr>
      <w:r>
        <w:rPr>
          <w:rFonts w:ascii="Calibri" w:hAnsi="Calibri"/>
          <w:b/>
          <w:color w:val="1E293B"/>
          <w:sz w:val="21"/>
        </w:rPr>
        <w:t xml:space="preserve">Drugs and Cosmetics Act, 1940 (Chapter IV-A) &amp; Rule 158-B: </w:t>
      </w:r>
      <w:r>
        <w:rPr>
          <w:rFonts w:ascii="Calibri" w:hAnsi="Calibri"/>
          <w:color w:val="1E293B"/>
          <w:sz w:val="21"/>
        </w:rPr>
        <w:t>which governs the manufacturing and sale of Ayush medicines. Innovators must prove whether their product is a 'Classical Ayush Medicine' (requiring textual scriptural references) or a 'Patent or Proprietary Medicine' (requiring documented safety and clinical efficacy trials under Rule 158-B).</w:t>
      </w:r>
    </w:p>
    <w:tbl>
      <w:tblPr>
        <w:tblW w:type="auto" w:w="0"/>
        <w:jc w:val="center"/>
        <w:tblLayout w:type="fixed"/>
        <w:tblLook w:firstColumn="1" w:firstRow="1" w:lastColumn="0" w:lastRow="0" w:noHBand="0" w:noVBand="1" w:val="04A0"/>
      </w:tblPr>
      <w:tblGrid>
        <w:gridCol w:w="9360"/>
      </w:tblGrid>
      <w:tr>
        <w:tc>
          <w:tcPr>
            <w:tcW w:type="dxa" w:w="9360"/>
            <w:shd w:fill="FEF2F2"/>
            <w:tcMar>
              <w:top w:w="160" w:type="dxa"/>
              <w:bottom w:w="160" w:type="dxa"/>
              <w:left w:w="220" w:type="dxa"/>
              <w:right w:w="220" w:type="dxa"/>
            </w:tcMar>
            <w:tcBorders>
              <w:top w:val="none"/>
              <w:left w:val="single" w:sz="36" w:space="0" w:color="DC2626"/>
              <w:bottom w:val="none"/>
              <w:right w:val="none"/>
            </w:tcBorders>
          </w:tcPr>
          <w:p>
            <w:pPr>
              <w:spacing w:before="0" w:after="60"/>
            </w:pPr>
            <w:r>
              <w:rPr>
                <w:rFonts w:ascii="Calibri" w:hAnsi="Calibri"/>
                <w:b/>
                <w:color w:val="991B1B"/>
                <w:sz w:val="21"/>
              </w:rPr>
              <w:t>✦ THE REAL-WORLD TRAGEDY OF AYUSH INNOVATORS</w:t>
              <w:br/>
            </w:r>
            <w:r>
              <w:rPr>
                <w:rFonts w:ascii="Calibri" w:hAnsi="Calibri"/>
                <w:i/>
                <w:color w:val="1E293B"/>
                <w:sz w:val="20"/>
              </w:rPr>
              <w:t>A typical Indian Ayush researcher discovers a potent anti-arthritic formulation of Ashwagandha and Shallaki. Ignorant of Section 3(p) and NBA requirements, they file a patent application, invest lakhs of rupees, wait 4 years, and receive a First Examination Report (FER) citing total statutory refusal. Worse, their foreign filing in Europe is contested because they failed to obtain NBA Form III clearance in India beforehand.</w:t>
            </w:r>
          </w:p>
        </w:tc>
      </w:tr>
    </w:tbl>
    <w:p>
      <w:pPr>
        <w:spacing w:after="120"/>
      </w:pPr>
    </w:p>
    <w:p>
      <w:pPr>
        <w:keepNext/>
        <w:spacing w:before="320" w:after="120"/>
      </w:pPr>
      <w:r>
        <w:rPr>
          <w:rFonts w:ascii="Calibri" w:hAnsi="Calibri"/>
          <w:b/>
          <w:color w:val="B45309"/>
          <w:sz w:val="27"/>
        </w:rPr>
        <w:t>1.3 Global Regulatory Harmonization Barriers</w:t>
      </w:r>
    </w:p>
    <w:p>
      <w:pPr>
        <w:spacing w:before="0" w:after="120" w:line="276" w:lineRule="auto"/>
      </w:pPr>
      <w:r>
        <w:rPr>
          <w:rFonts w:ascii="Calibri" w:hAnsi="Calibri"/>
          <w:color w:val="1E293B"/>
          <w:sz w:val="21"/>
        </w:rPr>
        <w:t>When Indian Ayush manufacturers attempt to export formulations to North America or Europe, they face severe regulatory fragmentation:</w:t>
      </w:r>
    </w:p>
    <w:p>
      <w:pPr>
        <w:pStyle w:val="ListBullet"/>
        <w:spacing w:before="20" w:after="80" w:line="276" w:lineRule="auto"/>
        <w:ind w:left="360"/>
      </w:pPr>
      <w:r>
        <w:rPr>
          <w:rFonts w:ascii="Calibri" w:hAnsi="Calibri"/>
          <w:b/>
          <w:color w:val="1E293B"/>
          <w:sz w:val="21"/>
        </w:rPr>
        <w:t xml:space="preserve">United States (US FDA): </w:t>
      </w:r>
      <w:r>
        <w:rPr>
          <w:rFonts w:ascii="Calibri" w:hAnsi="Calibri"/>
          <w:color w:val="1E293B"/>
          <w:sz w:val="21"/>
        </w:rPr>
        <w:t>The US FDA regulates herbs either as 'Dietary Supplements' under the Dietary Supplement Health and Education Act (DSHEA 1994)—where NO therapeutic or disease-curing claims can be made on labels—or as 'Botanical Drugs' under the FDA Botanical Drug Guidance, requiring multi-million-dollar IND/NDA trials.</w:t>
      </w:r>
    </w:p>
    <w:p>
      <w:pPr>
        <w:pStyle w:val="ListBullet"/>
        <w:spacing w:before="20" w:after="80" w:line="276" w:lineRule="auto"/>
        <w:ind w:left="360"/>
      </w:pPr>
      <w:r>
        <w:rPr>
          <w:rFonts w:ascii="Calibri" w:hAnsi="Calibri"/>
          <w:b/>
          <w:color w:val="1E293B"/>
          <w:sz w:val="21"/>
        </w:rPr>
        <w:t xml:space="preserve">European Union (EMA): </w:t>
      </w:r>
      <w:r>
        <w:rPr>
          <w:rFonts w:ascii="Calibri" w:hAnsi="Calibri"/>
          <w:color w:val="1E293B"/>
          <w:sz w:val="21"/>
        </w:rPr>
        <w:t>Directive 2004/24/EC establishes the Traditional Herbal Medicinal Products Directive (THMPD). It requires proof of 30 years of continuous traditional medicinal use, of which at least 15 years must have occurred within the European Union. Most authentic Indian Ayush formulations fail the 15-year EU requirement.</w:t>
      </w:r>
    </w:p>
    <w:p>
      <w:pPr>
        <w:keepNext/>
        <w:spacing w:before="320" w:after="120"/>
      </w:pPr>
      <w:r>
        <w:rPr>
          <w:rFonts w:ascii="Calibri" w:hAnsi="Calibri"/>
          <w:b/>
          <w:color w:val="B45309"/>
          <w:sz w:val="27"/>
        </w:rPr>
        <w:t>1.4 The Grassroots Linguistic &amp; Digital Divide</w:t>
      </w:r>
    </w:p>
    <w:p>
      <w:pPr>
        <w:spacing w:before="0" w:after="120" w:line="276" w:lineRule="auto"/>
      </w:pPr>
      <w:r>
        <w:rPr>
          <w:rFonts w:ascii="Calibri" w:hAnsi="Calibri"/>
          <w:color w:val="1E293B"/>
          <w:sz w:val="21"/>
        </w:rPr>
        <w:t>Over 85% of practicing Vaidyas, Hakims, Siddha practitioners, and rural herbal cultivators reside in non-English speaking ecosystems. India's official IP gazettes, examination guidelines, and international treaties are published exclusively in complex legal English. Without an accessible, voice-first, multilingual legal co-pilot grounded in Indian regional languages, grassroots intellectual property will remain uncaptured and vulnerable to biopiracy.</w:t>
      </w:r>
    </w:p>
    <w:p>
      <w:r>
        <w:br w:type="page"/>
      </w:r>
    </w:p>
    <w:p>
      <w:pPr>
        <w:keepNext/>
        <w:spacing w:before="440" w:after="160"/>
        <w:pBdr>
          <w:bottom w:val="single" w:sz="12" w:space="4" w:color="B45309"/>
        </w:pBdr>
      </w:pPr>
      <w:r>
        <w:rPr>
          <w:rFonts w:ascii="Calibri" w:hAnsi="Calibri"/>
          <w:b/>
          <w:color w:val="0F2942"/>
          <w:sz w:val="34"/>
        </w:rPr>
        <w:t>Chapter 2: The Core Technological Breakthrough: What is IP-SAKTI Sahayak?</w:t>
      </w:r>
    </w:p>
    <w:p>
      <w:pPr>
        <w:keepNext/>
        <w:spacing w:before="320" w:after="120"/>
      </w:pPr>
      <w:r>
        <w:rPr>
          <w:rFonts w:ascii="Calibri" w:hAnsi="Calibri"/>
          <w:b/>
          <w:color w:val="B45309"/>
          <w:sz w:val="27"/>
        </w:rPr>
        <w:t>2.1 Vision, Mission &amp; Slogan</w:t>
      </w:r>
    </w:p>
    <w:p>
      <w:pPr>
        <w:spacing w:before="0" w:after="120" w:line="276" w:lineRule="auto"/>
      </w:pPr>
      <w:r>
        <w:rPr>
          <w:rFonts w:ascii="Calibri" w:hAnsi="Calibri"/>
          <w:color w:val="1E293B"/>
          <w:sz w:val="21"/>
        </w:rPr>
        <w:t>IP-SAKTI Sahayak is an autonomous, evidence-first, multilingual regulatory intelligence platform built to empower Indian traditional knowledge innovators, patent examiners, and Ayush startups. It bridges ancient botanical wisdom with modern patent law and international statutory compliance.</w:t>
      </w:r>
    </w:p>
    <w:p>
      <w:pPr>
        <w:pStyle w:val="ListBullet"/>
        <w:spacing w:before="20" w:after="80" w:line="276" w:lineRule="auto"/>
        <w:ind w:left="360"/>
      </w:pPr>
      <w:r>
        <w:rPr>
          <w:rFonts w:ascii="Calibri" w:hAnsi="Calibri"/>
          <w:b/>
          <w:color w:val="1E293B"/>
          <w:sz w:val="21"/>
        </w:rPr>
        <w:t xml:space="preserve">Mission: </w:t>
      </w:r>
      <w:r>
        <w:rPr>
          <w:rFonts w:ascii="Calibri" w:hAnsi="Calibri"/>
          <w:color w:val="1E293B"/>
          <w:sz w:val="21"/>
        </w:rPr>
        <w:t>"To eliminate regulatory friction, biopiracy risks, and patent rejections for Indian Ayush innovations through deterministic, citation-grounded AI intelligence."</w:t>
      </w:r>
    </w:p>
    <w:p>
      <w:pPr>
        <w:pStyle w:val="ListBullet"/>
        <w:spacing w:before="20" w:after="80" w:line="276" w:lineRule="auto"/>
        <w:ind w:left="360"/>
      </w:pPr>
      <w:r>
        <w:rPr>
          <w:rFonts w:ascii="Calibri" w:hAnsi="Calibri"/>
          <w:b/>
          <w:color w:val="1E293B"/>
          <w:sz w:val="21"/>
        </w:rPr>
        <w:t xml:space="preserve">Motto: </w:t>
      </w:r>
      <w:r>
        <w:rPr>
          <w:rFonts w:ascii="Calibri" w:hAnsi="Calibri"/>
          <w:color w:val="1E293B"/>
          <w:sz w:val="21"/>
        </w:rPr>
        <w:t>"सत्यं प्रमाणम् — Grounded in Evidence, Bound by Law, Empowering Ayush."</w:t>
      </w:r>
    </w:p>
    <w:p>
      <w:pPr>
        <w:keepNext/>
        <w:spacing w:before="320" w:after="120"/>
      </w:pPr>
      <w:r>
        <w:rPr>
          <w:rFonts w:ascii="Calibri" w:hAnsi="Calibri"/>
          <w:b/>
          <w:color w:val="B45309"/>
          <w:sz w:val="27"/>
        </w:rPr>
        <w:t>2.2 The 'Evidence-First' Legal AI Philosophy</w:t>
      </w:r>
    </w:p>
    <w:p>
      <w:pPr>
        <w:spacing w:before="0" w:after="120" w:line="276" w:lineRule="auto"/>
      </w:pPr>
      <w:r>
        <w:rPr>
          <w:rFonts w:ascii="Calibri" w:hAnsi="Calibri"/>
          <w:color w:val="1E293B"/>
          <w:sz w:val="21"/>
        </w:rPr>
        <w:t>Legal reasoning cannot tolerate probabilistic guessing. If a medical doctor or patent attorney receives an AI answer that hallucinated a section or missed a biodiversity compliance mandate, the legal and financial repercussions can be catastrophic. IP-SAKTI Sahayak operates on three inviolable engineering principles:</w:t>
      </w:r>
    </w:p>
    <w:p>
      <w:pPr>
        <w:pStyle w:val="ListBullet"/>
        <w:spacing w:before="20" w:after="80" w:line="276" w:lineRule="auto"/>
        <w:ind w:left="360"/>
      </w:pPr>
      <w:r>
        <w:rPr>
          <w:rFonts w:ascii="Calibri" w:hAnsi="Calibri"/>
          <w:b/>
          <w:color w:val="1E293B"/>
          <w:sz w:val="21"/>
        </w:rPr>
        <w:t xml:space="preserve">1. Absolute Grounding (No Free Generation): </w:t>
      </w:r>
      <w:r>
        <w:rPr>
          <w:rFonts w:ascii="Calibri" w:hAnsi="Calibri"/>
          <w:color w:val="1E293B"/>
          <w:sz w:val="21"/>
        </w:rPr>
        <w:t>Every single factual assertion, recommendation, or compliance directive is linked to a cryptographic hash of an authentic Government of India Gazette notification, statutory clause, or published case precedent.</w:t>
      </w:r>
    </w:p>
    <w:p>
      <w:pPr>
        <w:pStyle w:val="ListBullet"/>
        <w:spacing w:before="20" w:after="80" w:line="276" w:lineRule="auto"/>
        <w:ind w:left="360"/>
      </w:pPr>
      <w:r>
        <w:rPr>
          <w:rFonts w:ascii="Calibri" w:hAnsi="Calibri"/>
          <w:b/>
          <w:color w:val="1E293B"/>
          <w:sz w:val="21"/>
        </w:rPr>
        <w:t xml:space="preserve">2. Atomic Clause Granularity: </w:t>
      </w:r>
      <w:r>
        <w:rPr>
          <w:rFonts w:ascii="Calibri" w:hAnsi="Calibri"/>
          <w:color w:val="1E293B"/>
          <w:sz w:val="21"/>
        </w:rPr>
        <w:t>The system never retrieves broad 100-page PDF chapters. It indexes and searches at the atomic clause level (Act → Chapter → Section → Subsection → Clause → Explanation → Proviso), ensuring surgical retrieval and low latency.</w:t>
      </w:r>
    </w:p>
    <w:p>
      <w:pPr>
        <w:pStyle w:val="ListBullet"/>
        <w:spacing w:before="20" w:after="80" w:line="276" w:lineRule="auto"/>
        <w:ind w:left="360"/>
      </w:pPr>
      <w:r>
        <w:rPr>
          <w:rFonts w:ascii="Calibri" w:hAnsi="Calibri"/>
          <w:b/>
          <w:color w:val="1E293B"/>
          <w:sz w:val="21"/>
        </w:rPr>
        <w:t xml:space="preserve">3. Explicit Conflict Highlighting: </w:t>
      </w:r>
      <w:r>
        <w:rPr>
          <w:rFonts w:ascii="Calibri" w:hAnsi="Calibri"/>
          <w:color w:val="1E293B"/>
          <w:sz w:val="21"/>
        </w:rPr>
        <w:t>When two regulatory frameworks conflict (e.g., Ayush Drug License granted vs Patent Act Section 3(p) refusal vs NBA clearance pending), the system does not produce a false harmonious summary. It explicitly flags a structured REGULATORY CONFLICT MATRIX.</w:t>
      </w:r>
    </w:p>
    <w:p>
      <w:r>
        <w:br w:type="page"/>
      </w:r>
    </w:p>
    <w:p>
      <w:pPr>
        <w:keepNext/>
        <w:spacing w:before="440" w:after="160"/>
        <w:pBdr>
          <w:bottom w:val="single" w:sz="12" w:space="4" w:color="B45309"/>
        </w:pBdr>
      </w:pPr>
      <w:r>
        <w:rPr>
          <w:rFonts w:ascii="Calibri" w:hAnsi="Calibri"/>
          <w:b/>
          <w:color w:val="0F2942"/>
          <w:sz w:val="34"/>
        </w:rPr>
        <w:t>Chapter 3: Exhaustive Comparative Analysis: IP-SAKTI Sahayak vs Generic LLMs</w:t>
      </w:r>
    </w:p>
    <w:p>
      <w:pPr>
        <w:keepNext/>
        <w:spacing w:before="320" w:after="120"/>
      </w:pPr>
      <w:r>
        <w:rPr>
          <w:rFonts w:ascii="Calibri" w:hAnsi="Calibri"/>
          <w:b/>
          <w:color w:val="B45309"/>
          <w:sz w:val="27"/>
        </w:rPr>
        <w:t>3.1 The Fundamental Structural Failure of Generic LLMs</w:t>
      </w:r>
    </w:p>
    <w:p>
      <w:pPr>
        <w:spacing w:before="0" w:after="120" w:line="276" w:lineRule="auto"/>
      </w:pPr>
      <w:r>
        <w:rPr>
          <w:rFonts w:ascii="Calibri" w:hAnsi="Calibri"/>
          <w:color w:val="1E293B"/>
          <w:sz w:val="21"/>
        </w:rPr>
        <w:t>Commercial foundation models like OpenAI ChatGPT-4o, Anthropic Claude 3.5 Sonnet, and Google Gemini Pro are trained on general internet web crawls. In the specialized domain of Indian Intellectual Property and Ayush statutory regulations, generic models fail predictably for four architectural reasons:</w:t>
      </w:r>
    </w:p>
    <w:p>
      <w:pPr>
        <w:pStyle w:val="ListBullet"/>
        <w:spacing w:before="20" w:after="80" w:line="276" w:lineRule="auto"/>
        <w:ind w:left="360"/>
      </w:pPr>
      <w:r>
        <w:rPr>
          <w:rFonts w:ascii="Calibri" w:hAnsi="Calibri"/>
          <w:b/>
          <w:color w:val="1E293B"/>
          <w:sz w:val="21"/>
        </w:rPr>
        <w:t xml:space="preserve">1. Stochastic Parrots &amp; Legal Hallucination: </w:t>
      </w:r>
      <w:r>
        <w:rPr>
          <w:rFonts w:ascii="Calibri" w:hAnsi="Calibri"/>
          <w:color w:val="1E293B"/>
          <w:sz w:val="21"/>
        </w:rPr>
        <w:t>Generic LLMs predict the most statistically probable sequence of tokens. When asked about Indian patent law, they often blend Section 3(d) (patentability of pharmaceuticals/salts) with Section 3(p) (traditional knowledge) or invent non-existent sub-clauses.</w:t>
      </w:r>
    </w:p>
    <w:p>
      <w:pPr>
        <w:pStyle w:val="ListBullet"/>
        <w:spacing w:before="20" w:after="80" w:line="276" w:lineRule="auto"/>
        <w:ind w:left="360"/>
      </w:pPr>
      <w:r>
        <w:rPr>
          <w:rFonts w:ascii="Calibri" w:hAnsi="Calibri"/>
          <w:b/>
          <w:color w:val="1E293B"/>
          <w:sz w:val="21"/>
        </w:rPr>
        <w:t xml:space="preserve">2. Complete Absence of Conflict Reasoning: </w:t>
      </w:r>
      <w:r>
        <w:rPr>
          <w:rFonts w:ascii="Calibri" w:hAnsi="Calibri"/>
          <w:color w:val="1E293B"/>
          <w:sz w:val="21"/>
        </w:rPr>
        <w:t>Generic LLMs are fundamentally prompt-response synthesizers. If a query has contradictory answers under the Patents Act and the Drugs &amp; Cosmetics Act, generic models smooth over the tension, presenting a superficially coherent but legally fatal answer.</w:t>
      </w:r>
    </w:p>
    <w:p>
      <w:pPr>
        <w:pStyle w:val="ListBullet"/>
        <w:spacing w:before="20" w:after="80" w:line="276" w:lineRule="auto"/>
        <w:ind w:left="360"/>
      </w:pPr>
      <w:r>
        <w:rPr>
          <w:rFonts w:ascii="Calibri" w:hAnsi="Calibri"/>
          <w:b/>
          <w:color w:val="1E293B"/>
          <w:sz w:val="21"/>
        </w:rPr>
        <w:t xml:space="preserve">3. Biodiversity Law Blindspot: </w:t>
      </w:r>
      <w:r>
        <w:rPr>
          <w:rFonts w:ascii="Calibri" w:hAnsi="Calibri"/>
          <w:color w:val="1E293B"/>
          <w:sz w:val="21"/>
        </w:rPr>
        <w:t>Generic models have almost zero awareness of the Biological Diversity Act, 2002, the 2023 Biodiversity Amendment Act, and the mandatory National Biodiversity Authority (NBA) Form 1/3 pre-filing requirements. Following ChatGPT's advice can subject an Ayush entrepreneur to criminal prosecution under Section 55!</w:t>
      </w:r>
    </w:p>
    <w:p>
      <w:pPr>
        <w:pStyle w:val="ListBullet"/>
        <w:spacing w:before="20" w:after="80" w:line="276" w:lineRule="auto"/>
        <w:ind w:left="360"/>
      </w:pPr>
      <w:r>
        <w:rPr>
          <w:rFonts w:ascii="Calibri" w:hAnsi="Calibri"/>
          <w:b/>
          <w:color w:val="1E293B"/>
          <w:sz w:val="21"/>
        </w:rPr>
        <w:t xml:space="preserve">4. Lexical &amp; Ontological Disconnect: </w:t>
      </w:r>
      <w:r>
        <w:rPr>
          <w:rFonts w:ascii="Calibri" w:hAnsi="Calibri"/>
          <w:color w:val="1E293B"/>
          <w:sz w:val="21"/>
        </w:rPr>
        <w:t>When an Ayush practitioner inputs Sanskrit or Hindi terms like 'Haridra', 'Guduchi', or 'Chirata', generic models translate them into conversational English, failing to map them to the official Latin binomials (*Curcuma longa*, *Tinospora cordifolia*) and Ayush Pharmacopoeia monographs required for formal IP filing.</w:t>
      </w:r>
    </w:p>
    <w:p>
      <w:pPr>
        <w:keepNext/>
        <w:spacing w:before="320" w:after="120"/>
      </w:pPr>
      <w:r>
        <w:rPr>
          <w:rFonts w:ascii="Calibri" w:hAnsi="Calibri"/>
          <w:b/>
          <w:color w:val="B45309"/>
          <w:sz w:val="27"/>
        </w:rPr>
        <w:t>3.2 15-Dimension Master Architectural Comparison Matrix</w:t>
      </w:r>
    </w:p>
    <w:p>
      <w:pPr>
        <w:spacing w:before="0" w:after="120" w:line="276" w:lineRule="auto"/>
      </w:pPr>
      <w:r>
        <w:rPr>
          <w:rFonts w:ascii="Calibri" w:hAnsi="Calibri"/>
          <w:color w:val="1E293B"/>
          <w:sz w:val="21"/>
        </w:rPr>
        <w:t>The following comprehensive benchmark illustrates why IP-SAKTI Sahayak belongs in an entirely different capability class than generic chat tools:</w:t>
      </w:r>
    </w:p>
    <w:tbl>
      <w:tblPr>
        <w:tblW w:type="auto" w:w="0"/>
        <w:jc w:val="center"/>
        <w:tblLayout w:type="fixed"/>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3120"/>
        <w:gridCol w:w="3120"/>
        <w:gridCol w:w="3120"/>
      </w:tblGrid>
      <w:tr>
        <w:trPr>
          <w:tblHeader/>
        </w:trPr>
        <w:tc>
          <w:tcPr>
            <w:tcW w:type="dxa" w:w="2160"/>
            <w:shd w:fill="0F2942"/>
            <w:tcMar>
              <w:top w:w="140" w:type="dxa"/>
              <w:bottom w:w="140" w:type="dxa"/>
              <w:left w:w="160" w:type="dxa"/>
              <w:right w:w="160" w:type="dxa"/>
            </w:tcMar>
          </w:tcPr>
          <w:p>
            <w:pPr>
              <w:spacing w:before="0" w:after="0"/>
            </w:pPr>
            <w:r>
              <w:rPr>
                <w:rFonts w:ascii="Calibri" w:hAnsi="Calibri"/>
                <w:b/>
                <w:color w:val="FFFFFF"/>
                <w:sz w:val="19"/>
              </w:rPr>
              <w:t>Evaluation Dimension</w:t>
            </w:r>
          </w:p>
        </w:tc>
        <w:tc>
          <w:tcPr>
            <w:tcW w:type="dxa" w:w="3456"/>
            <w:shd w:fill="0F2942"/>
            <w:tcMar>
              <w:top w:w="140" w:type="dxa"/>
              <w:bottom w:w="140" w:type="dxa"/>
              <w:left w:w="160" w:type="dxa"/>
              <w:right w:w="160" w:type="dxa"/>
            </w:tcMar>
          </w:tcPr>
          <w:p>
            <w:pPr>
              <w:spacing w:before="0" w:after="0"/>
            </w:pPr>
            <w:r>
              <w:rPr>
                <w:rFonts w:ascii="Calibri" w:hAnsi="Calibri"/>
                <w:b/>
                <w:color w:val="FFFFFF"/>
                <w:sz w:val="19"/>
              </w:rPr>
              <w:t>Generic AI (ChatGPT-4o / Claude / Gemini)</w:t>
            </w:r>
          </w:p>
        </w:tc>
        <w:tc>
          <w:tcPr>
            <w:tcW w:type="dxa" w:w="3744"/>
            <w:shd w:fill="0F2942"/>
            <w:tcMar>
              <w:top w:w="140" w:type="dxa"/>
              <w:bottom w:w="140" w:type="dxa"/>
              <w:left w:w="160" w:type="dxa"/>
              <w:right w:w="160" w:type="dxa"/>
            </w:tcMar>
          </w:tcPr>
          <w:p>
            <w:pPr>
              <w:spacing w:before="0" w:after="0"/>
            </w:pPr>
            <w:r>
              <w:rPr>
                <w:rFonts w:ascii="Calibri" w:hAnsi="Calibri"/>
                <w:b/>
                <w:color w:val="FFFFFF"/>
                <w:sz w:val="19"/>
              </w:rPr>
              <w:t>IP-SAKTI Sahayak (Our System)</w:t>
            </w:r>
          </w:p>
        </w:tc>
      </w:tr>
      <w:tr>
        <w:tc>
          <w:tcPr>
            <w:tcW w:type="dxa" w:w="2160"/>
            <w:shd w:fill="FFFFFF"/>
            <w:tcMar>
              <w:top w:w="100" w:type="dxa"/>
              <w:bottom w:w="100" w:type="dxa"/>
              <w:left w:w="140" w:type="dxa"/>
              <w:right w:w="140" w:type="dxa"/>
            </w:tcMar>
          </w:tcPr>
          <w:p>
            <w:pPr>
              <w:spacing w:before="0" w:after="0" w:line="269" w:lineRule="auto"/>
            </w:pPr>
            <w:r>
              <w:rPr>
                <w:rFonts w:ascii="Calibri" w:hAnsi="Calibri"/>
                <w:color w:val="1E293B"/>
                <w:sz w:val="18"/>
              </w:rPr>
              <w:t>1. Retrieval Granularity</w:t>
            </w:r>
          </w:p>
        </w:tc>
        <w:tc>
          <w:tcPr>
            <w:tcW w:type="dxa" w:w="3456"/>
            <w:shd w:fill="FFFFFF"/>
            <w:tcMar>
              <w:top w:w="100" w:type="dxa"/>
              <w:bottom w:w="100" w:type="dxa"/>
              <w:left w:w="140" w:type="dxa"/>
              <w:right w:w="140" w:type="dxa"/>
            </w:tcMar>
          </w:tcPr>
          <w:p>
            <w:pPr>
              <w:spacing w:before="0" w:after="0" w:line="269" w:lineRule="auto"/>
            </w:pPr>
            <w:r>
              <w:rPr>
                <w:rFonts w:ascii="Calibri" w:hAnsi="Calibri"/>
                <w:color w:val="1E293B"/>
                <w:sz w:val="18"/>
              </w:rPr>
              <w:t>Document or broad page-level chunking (500-1000 tokens). Context splits arbitrarily, losing crucial legal provisos.</w:t>
            </w:r>
          </w:p>
        </w:tc>
        <w:tc>
          <w:tcPr>
            <w:tcW w:type="dxa" w:w="3744"/>
            <w:shd w:fill="FFFFFF"/>
            <w:tcMar>
              <w:top w:w="100" w:type="dxa"/>
              <w:bottom w:w="100" w:type="dxa"/>
              <w:left w:w="140" w:type="dxa"/>
              <w:right w:w="140" w:type="dxa"/>
            </w:tcMar>
          </w:tcPr>
          <w:p>
            <w:pPr>
              <w:spacing w:before="0" w:after="0" w:line="269" w:lineRule="auto"/>
            </w:pPr>
            <w:r>
              <w:rPr>
                <w:rFonts w:ascii="Calibri" w:hAnsi="Calibri"/>
                <w:color w:val="166534"/>
                <w:sz w:val="18"/>
              </w:rPr>
              <w:t>✓ Atomic Clause-Level Hierarchical Parsing (Act → Section → Subsection → Clause → Explanation → Landmark Ruling).</w:t>
            </w:r>
          </w:p>
        </w:tc>
      </w:tr>
      <w:tr>
        <w:tc>
          <w:tcPr>
            <w:tcW w:type="dxa" w:w="2160"/>
            <w:shd w:fill="F8FAFC"/>
            <w:tcMar>
              <w:top w:w="100" w:type="dxa"/>
              <w:bottom w:w="100" w:type="dxa"/>
              <w:left w:w="140" w:type="dxa"/>
              <w:right w:w="140" w:type="dxa"/>
            </w:tcMar>
          </w:tcPr>
          <w:p>
            <w:pPr>
              <w:spacing w:before="0" w:after="0" w:line="269" w:lineRule="auto"/>
            </w:pPr>
            <w:r>
              <w:rPr>
                <w:rFonts w:ascii="Calibri" w:hAnsi="Calibri"/>
                <w:color w:val="1E293B"/>
                <w:sz w:val="18"/>
              </w:rPr>
              <w:t>2. Statutory Grounding &amp; Anti-Hallucination</w:t>
            </w:r>
          </w:p>
        </w:tc>
        <w:tc>
          <w:tcPr>
            <w:tcW w:type="dxa" w:w="3456"/>
            <w:shd w:fill="F8FAFC"/>
            <w:tcMar>
              <w:top w:w="100" w:type="dxa"/>
              <w:bottom w:w="100" w:type="dxa"/>
              <w:left w:w="140" w:type="dxa"/>
              <w:right w:w="140" w:type="dxa"/>
            </w:tcMar>
          </w:tcPr>
          <w:p>
            <w:pPr>
              <w:spacing w:before="0" w:after="0" w:line="269" w:lineRule="auto"/>
            </w:pPr>
            <w:r>
              <w:rPr>
                <w:rFonts w:ascii="Calibri" w:hAnsi="Calibri"/>
                <w:color w:val="1E293B"/>
                <w:sz w:val="18"/>
              </w:rPr>
              <w:t>Stochastic text generation. Often invents fake sections, case names, or non-existent gazette numbers.</w:t>
            </w:r>
          </w:p>
        </w:tc>
        <w:tc>
          <w:tcPr>
            <w:tcW w:type="dxa" w:w="3744"/>
            <w:shd w:fill="F8FAFC"/>
            <w:tcMar>
              <w:top w:w="100" w:type="dxa"/>
              <w:bottom w:w="100" w:type="dxa"/>
              <w:left w:w="140" w:type="dxa"/>
              <w:right w:w="140" w:type="dxa"/>
            </w:tcMar>
          </w:tcPr>
          <w:p>
            <w:pPr>
              <w:spacing w:before="0" w:after="0" w:line="269" w:lineRule="auto"/>
            </w:pPr>
            <w:r>
              <w:rPr>
                <w:rFonts w:ascii="Calibri" w:hAnsi="Calibri"/>
                <w:color w:val="166534"/>
                <w:sz w:val="18"/>
              </w:rPr>
              <w:t>✓ Tri-Anchor Reflector Node with SHA-256 Gazette Hash Verification. Zero-hallucination guarantee.</w:t>
            </w:r>
          </w:p>
        </w:tc>
      </w:tr>
      <w:tr>
        <w:tc>
          <w:tcPr>
            <w:tcW w:type="dxa" w:w="2160"/>
            <w:shd w:fill="FFFFFF"/>
            <w:tcMar>
              <w:top w:w="100" w:type="dxa"/>
              <w:bottom w:w="100" w:type="dxa"/>
              <w:left w:w="140" w:type="dxa"/>
              <w:right w:w="140" w:type="dxa"/>
            </w:tcMar>
          </w:tcPr>
          <w:p>
            <w:pPr>
              <w:spacing w:before="0" w:after="0" w:line="269" w:lineRule="auto"/>
            </w:pPr>
            <w:r>
              <w:rPr>
                <w:rFonts w:ascii="Calibri" w:hAnsi="Calibri"/>
                <w:color w:val="991B1B"/>
                <w:sz w:val="18"/>
              </w:rPr>
              <w:t>3. Cross-Regulation Conflict Detection</w:t>
            </w:r>
          </w:p>
        </w:tc>
        <w:tc>
          <w:tcPr>
            <w:tcW w:type="dxa" w:w="3456"/>
            <w:shd w:fill="FFFFFF"/>
            <w:tcMar>
              <w:top w:w="100" w:type="dxa"/>
              <w:bottom w:w="100" w:type="dxa"/>
              <w:left w:w="140" w:type="dxa"/>
              <w:right w:w="140" w:type="dxa"/>
            </w:tcMar>
          </w:tcPr>
          <w:p>
            <w:pPr>
              <w:spacing w:before="0" w:after="0" w:line="269" w:lineRule="auto"/>
            </w:pPr>
            <w:r>
              <w:rPr>
                <w:rFonts w:ascii="Calibri" w:hAnsi="Calibri"/>
                <w:color w:val="1E293B"/>
                <w:sz w:val="18"/>
              </w:rPr>
              <w:t>Fails to detect conflicts. Blends conflicting acts into one smooth, misleading paragraph.</w:t>
            </w:r>
          </w:p>
        </w:tc>
        <w:tc>
          <w:tcPr>
            <w:tcW w:type="dxa" w:w="3744"/>
            <w:shd w:fill="FFFFFF"/>
            <w:tcMar>
              <w:top w:w="100" w:type="dxa"/>
              <w:bottom w:w="100" w:type="dxa"/>
              <w:left w:w="140" w:type="dxa"/>
              <w:right w:w="140" w:type="dxa"/>
            </w:tcMar>
          </w:tcPr>
          <w:p>
            <w:pPr>
              <w:spacing w:before="0" w:after="0" w:line="269" w:lineRule="auto"/>
            </w:pPr>
            <w:r>
              <w:rPr>
                <w:rFonts w:ascii="Calibri" w:hAnsi="Calibri"/>
                <w:color w:val="991B1B"/>
                <w:sz w:val="18"/>
              </w:rPr>
              <w:t>✓ Dedicated Conflict Detection Engine. Displays explicit multi-regime Red/Yellow warning matrix.</w:t>
            </w:r>
          </w:p>
        </w:tc>
      </w:tr>
      <w:tr>
        <w:tc>
          <w:tcPr>
            <w:tcW w:type="dxa" w:w="2160"/>
            <w:shd w:fill="F8FAFC"/>
            <w:tcMar>
              <w:top w:w="100" w:type="dxa"/>
              <w:bottom w:w="100" w:type="dxa"/>
              <w:left w:w="140" w:type="dxa"/>
              <w:right w:w="140" w:type="dxa"/>
            </w:tcMar>
          </w:tcPr>
          <w:p>
            <w:pPr>
              <w:spacing w:before="0" w:after="0" w:line="269" w:lineRule="auto"/>
            </w:pPr>
            <w:r>
              <w:rPr>
                <w:rFonts w:ascii="Calibri" w:hAnsi="Calibri"/>
                <w:color w:val="1E293B"/>
                <w:sz w:val="18"/>
              </w:rPr>
              <w:t>4. Section 3(p) &amp; 3(e) Patent Defensibility</w:t>
            </w:r>
          </w:p>
        </w:tc>
        <w:tc>
          <w:tcPr>
            <w:tcW w:type="dxa" w:w="3456"/>
            <w:shd w:fill="F8FAFC"/>
            <w:tcMar>
              <w:top w:w="100" w:type="dxa"/>
              <w:bottom w:w="100" w:type="dxa"/>
              <w:left w:w="140" w:type="dxa"/>
              <w:right w:w="140" w:type="dxa"/>
            </w:tcMar>
          </w:tcPr>
          <w:p>
            <w:pPr>
              <w:spacing w:before="0" w:after="0" w:line="269" w:lineRule="auto"/>
            </w:pPr>
            <w:r>
              <w:rPr>
                <w:rFonts w:ascii="Calibri" w:hAnsi="Calibri"/>
                <w:color w:val="1E293B"/>
                <w:sz w:val="18"/>
              </w:rPr>
              <w:t>Gives generic advice: 'Traditional knowledge cannot be patented.' Offers no actionable workarounds.</w:t>
            </w:r>
          </w:p>
        </w:tc>
        <w:tc>
          <w:tcPr>
            <w:tcW w:type="dxa" w:w="3744"/>
            <w:shd w:fill="F8FAFC"/>
            <w:tcMar>
              <w:top w:w="100" w:type="dxa"/>
              <w:bottom w:w="100" w:type="dxa"/>
              <w:left w:w="140" w:type="dxa"/>
              <w:right w:w="140" w:type="dxa"/>
            </w:tcMar>
          </w:tcPr>
          <w:p>
            <w:pPr>
              <w:spacing w:before="0" w:after="0" w:line="269" w:lineRule="auto"/>
            </w:pPr>
            <w:r>
              <w:rPr>
                <w:rFonts w:ascii="Calibri" w:hAnsi="Calibri"/>
                <w:color w:val="166534"/>
                <w:sz w:val="18"/>
              </w:rPr>
              <w:t>✓ Ayush-BioPatent Defensibility Screener. Calculates Synergism Index (CI) &amp; suggests novel extraction/carrier claims.</w:t>
            </w:r>
          </w:p>
        </w:tc>
      </w:tr>
      <w:tr>
        <w:tc>
          <w:tcPr>
            <w:tcW w:type="dxa" w:w="2160"/>
            <w:shd w:fill="FFFFFF"/>
            <w:tcMar>
              <w:top w:w="100" w:type="dxa"/>
              <w:bottom w:w="100" w:type="dxa"/>
              <w:left w:w="140" w:type="dxa"/>
              <w:right w:w="140" w:type="dxa"/>
            </w:tcMar>
          </w:tcPr>
          <w:p>
            <w:pPr>
              <w:spacing w:before="0" w:after="0" w:line="269" w:lineRule="auto"/>
            </w:pPr>
            <w:r>
              <w:rPr>
                <w:rFonts w:ascii="Calibri" w:hAnsi="Calibri"/>
                <w:color w:val="1E293B"/>
                <w:sz w:val="18"/>
              </w:rPr>
              <w:t>5. Biological Diversity Act (NBA Compliance)</w:t>
            </w:r>
          </w:p>
        </w:tc>
        <w:tc>
          <w:tcPr>
            <w:tcW w:type="dxa" w:w="3456"/>
            <w:shd w:fill="FFFFFF"/>
            <w:tcMar>
              <w:top w:w="100" w:type="dxa"/>
              <w:bottom w:w="100" w:type="dxa"/>
              <w:left w:w="140" w:type="dxa"/>
              <w:right w:w="140" w:type="dxa"/>
            </w:tcMar>
          </w:tcPr>
          <w:p>
            <w:pPr>
              <w:spacing w:before="0" w:after="0" w:line="269" w:lineRule="auto"/>
            </w:pPr>
            <w:r>
              <w:rPr>
                <w:rFonts w:ascii="Calibri" w:hAnsi="Calibri"/>
                <w:color w:val="1E293B"/>
                <w:sz w:val="18"/>
              </w:rPr>
              <w:t>Almost 100% blind to Section 6 NBA approval. Exposes innovators to criminal liability under §55.</w:t>
            </w:r>
          </w:p>
        </w:tc>
        <w:tc>
          <w:tcPr>
            <w:tcW w:type="dxa" w:w="3744"/>
            <w:shd w:fill="FFFFFF"/>
            <w:tcMar>
              <w:top w:w="100" w:type="dxa"/>
              <w:bottom w:w="100" w:type="dxa"/>
              <w:left w:w="140" w:type="dxa"/>
              <w:right w:w="140" w:type="dxa"/>
            </w:tcMar>
          </w:tcPr>
          <w:p>
            <w:pPr>
              <w:spacing w:before="0" w:after="0" w:line="269" w:lineRule="auto"/>
            </w:pPr>
            <w:r>
              <w:rPr>
                <w:rFonts w:ascii="Calibri" w:hAnsi="Calibri"/>
                <w:color w:val="166534"/>
                <w:sz w:val="18"/>
              </w:rPr>
              <w:t>✓ Automated NBA Compliance Sentinel. Detects biological resources &amp; generates Form 1 / Form 3 clearance dossiers.</w:t>
            </w:r>
          </w:p>
        </w:tc>
      </w:tr>
      <w:tr>
        <w:tc>
          <w:tcPr>
            <w:tcW w:type="dxa" w:w="2160"/>
            <w:shd w:fill="F8FAFC"/>
            <w:tcMar>
              <w:top w:w="100" w:type="dxa"/>
              <w:bottom w:w="100" w:type="dxa"/>
              <w:left w:w="140" w:type="dxa"/>
              <w:right w:w="140" w:type="dxa"/>
            </w:tcMar>
          </w:tcPr>
          <w:p>
            <w:pPr>
              <w:spacing w:before="0" w:after="0" w:line="269" w:lineRule="auto"/>
            </w:pPr>
            <w:r>
              <w:rPr>
                <w:rFonts w:ascii="Calibri" w:hAnsi="Calibri"/>
                <w:color w:val="1E293B"/>
                <w:sz w:val="18"/>
              </w:rPr>
              <w:t>6. Ayush Lexicon &amp; Botanical Knowledge Graph</w:t>
            </w:r>
          </w:p>
        </w:tc>
        <w:tc>
          <w:tcPr>
            <w:tcW w:type="dxa" w:w="3456"/>
            <w:shd w:fill="F8FAFC"/>
            <w:tcMar>
              <w:top w:w="100" w:type="dxa"/>
              <w:bottom w:w="100" w:type="dxa"/>
              <w:left w:w="140" w:type="dxa"/>
              <w:right w:w="140" w:type="dxa"/>
            </w:tcMar>
          </w:tcPr>
          <w:p>
            <w:pPr>
              <w:spacing w:before="0" w:after="0" w:line="269" w:lineRule="auto"/>
            </w:pPr>
            <w:r>
              <w:rPr>
                <w:rFonts w:ascii="Calibri" w:hAnsi="Calibri"/>
                <w:color w:val="1E293B"/>
                <w:sz w:val="18"/>
              </w:rPr>
              <w:t>Literal translation. Fails on Ayurvedic Sanskrit synonyms and botanical binomial variations.</w:t>
            </w:r>
          </w:p>
        </w:tc>
        <w:tc>
          <w:tcPr>
            <w:tcW w:type="dxa" w:w="3744"/>
            <w:shd w:fill="F8FAFC"/>
            <w:tcMar>
              <w:top w:w="100" w:type="dxa"/>
              <w:bottom w:w="100" w:type="dxa"/>
              <w:left w:w="140" w:type="dxa"/>
              <w:right w:w="140" w:type="dxa"/>
            </w:tcMar>
          </w:tcPr>
          <w:p>
            <w:pPr>
              <w:spacing w:before="0" w:after="0" w:line="269" w:lineRule="auto"/>
            </w:pPr>
            <w:r>
              <w:rPr>
                <w:rFonts w:ascii="Calibri" w:hAnsi="Calibri"/>
                <w:color w:val="166534"/>
                <w:sz w:val="18"/>
              </w:rPr>
              <w:t>✓ GraphRAG Ontological Graph mapping Sanskrit, Hindi, Tamil, Latin taxonomic names, and API monographs.</w:t>
            </w:r>
          </w:p>
        </w:tc>
      </w:tr>
      <w:tr>
        <w:tc>
          <w:tcPr>
            <w:tcW w:type="dxa" w:w="2160"/>
            <w:shd w:fill="FFFFFF"/>
            <w:tcMar>
              <w:top w:w="100" w:type="dxa"/>
              <w:bottom w:w="100" w:type="dxa"/>
              <w:left w:w="140" w:type="dxa"/>
              <w:right w:w="140" w:type="dxa"/>
            </w:tcMar>
          </w:tcPr>
          <w:p>
            <w:pPr>
              <w:spacing w:before="0" w:after="0" w:line="269" w:lineRule="auto"/>
            </w:pPr>
            <w:r>
              <w:rPr>
                <w:rFonts w:ascii="Calibri" w:hAnsi="Calibri"/>
                <w:color w:val="1E293B"/>
                <w:sz w:val="18"/>
              </w:rPr>
              <w:t>7. Real-Time Regulatory Validity</w:t>
            </w:r>
          </w:p>
        </w:tc>
        <w:tc>
          <w:tcPr>
            <w:tcW w:type="dxa" w:w="3456"/>
            <w:shd w:fill="FFFFFF"/>
            <w:tcMar>
              <w:top w:w="100" w:type="dxa"/>
              <w:bottom w:w="100" w:type="dxa"/>
              <w:left w:w="140" w:type="dxa"/>
              <w:right w:w="140" w:type="dxa"/>
            </w:tcMar>
          </w:tcPr>
          <w:p>
            <w:pPr>
              <w:spacing w:before="0" w:after="0" w:line="269" w:lineRule="auto"/>
            </w:pPr>
            <w:r>
              <w:rPr>
                <w:rFonts w:ascii="Calibri" w:hAnsi="Calibri"/>
                <w:color w:val="1E293B"/>
                <w:sz w:val="18"/>
              </w:rPr>
              <w:t>Fixed training cutoff. Completely misses new gazette circulars, 2023 Biodiversity Amendments, Jan Vishwas Act.</w:t>
            </w:r>
          </w:p>
        </w:tc>
        <w:tc>
          <w:tcPr>
            <w:tcW w:type="dxa" w:w="3744"/>
            <w:shd w:fill="FFFFFF"/>
            <w:tcMar>
              <w:top w:w="100" w:type="dxa"/>
              <w:bottom w:w="100" w:type="dxa"/>
              <w:left w:w="140" w:type="dxa"/>
              <w:right w:w="140" w:type="dxa"/>
            </w:tcMar>
          </w:tcPr>
          <w:p>
            <w:pPr>
              <w:spacing w:before="0" w:after="0" w:line="269" w:lineRule="auto"/>
            </w:pPr>
            <w:r>
              <w:rPr>
                <w:rFonts w:ascii="Calibri" w:hAnsi="Calibri"/>
                <w:color w:val="166534"/>
                <w:sz w:val="18"/>
              </w:rPr>
              <w:t>✓ Live Gazette &amp; State Ayush Portal Sentinel with continuous dynamic crawler and temporal versioning.</w:t>
            </w:r>
          </w:p>
        </w:tc>
      </w:tr>
      <w:tr>
        <w:tc>
          <w:tcPr>
            <w:tcW w:type="dxa" w:w="2160"/>
            <w:shd w:fill="F8FAFC"/>
            <w:tcMar>
              <w:top w:w="100" w:type="dxa"/>
              <w:bottom w:w="100" w:type="dxa"/>
              <w:left w:w="140" w:type="dxa"/>
              <w:right w:w="140" w:type="dxa"/>
            </w:tcMar>
          </w:tcPr>
          <w:p>
            <w:pPr>
              <w:spacing w:before="0" w:after="0" w:line="269" w:lineRule="auto"/>
            </w:pPr>
            <w:r>
              <w:rPr>
                <w:rFonts w:ascii="Calibri" w:hAnsi="Calibri"/>
                <w:color w:val="1E293B"/>
                <w:sz w:val="18"/>
              </w:rPr>
              <w:t>8. Statutory Lineage &amp; Side-by-Side Viewing</w:t>
            </w:r>
          </w:p>
        </w:tc>
        <w:tc>
          <w:tcPr>
            <w:tcW w:type="dxa" w:w="3456"/>
            <w:shd w:fill="F8FAFC"/>
            <w:tcMar>
              <w:top w:w="100" w:type="dxa"/>
              <w:bottom w:w="100" w:type="dxa"/>
              <w:left w:w="140" w:type="dxa"/>
              <w:right w:w="140" w:type="dxa"/>
            </w:tcMar>
          </w:tcPr>
          <w:p>
            <w:pPr>
              <w:spacing w:before="0" w:after="0" w:line="269" w:lineRule="auto"/>
            </w:pPr>
            <w:r>
              <w:rPr>
                <w:rFonts w:ascii="Calibri" w:hAnsi="Calibri"/>
                <w:color w:val="1E293B"/>
                <w:sz w:val="18"/>
              </w:rPr>
              <w:t>Provides text only. Cannot show official gazette proofs or verify legal document integrity.</w:t>
            </w:r>
          </w:p>
        </w:tc>
        <w:tc>
          <w:tcPr>
            <w:tcW w:type="dxa" w:w="3744"/>
            <w:shd w:fill="F8FAFC"/>
            <w:tcMar>
              <w:top w:w="100" w:type="dxa"/>
              <w:bottom w:w="100" w:type="dxa"/>
              <w:left w:w="140" w:type="dxa"/>
              <w:right w:w="140" w:type="dxa"/>
            </w:tcMar>
          </w:tcPr>
          <w:p>
            <w:pPr>
              <w:spacing w:before="0" w:after="0" w:line="269" w:lineRule="auto"/>
            </w:pPr>
            <w:r>
              <w:rPr>
                <w:rFonts w:ascii="Calibri" w:hAnsi="Calibri"/>
                <w:color w:val="166534"/>
                <w:sz w:val="18"/>
              </w:rPr>
              <w:t>✓ Interactive Split-Screen Gazette Viewer with line-by-line statutory highlighting and verification.</w:t>
            </w:r>
          </w:p>
        </w:tc>
      </w:tr>
      <w:tr>
        <w:tc>
          <w:tcPr>
            <w:tcW w:type="dxa" w:w="2160"/>
            <w:shd w:fill="FFFFFF"/>
            <w:tcMar>
              <w:top w:w="100" w:type="dxa"/>
              <w:bottom w:w="100" w:type="dxa"/>
              <w:left w:w="140" w:type="dxa"/>
              <w:right w:w="140" w:type="dxa"/>
            </w:tcMar>
          </w:tcPr>
          <w:p>
            <w:pPr>
              <w:spacing w:before="0" w:after="0" w:line="269" w:lineRule="auto"/>
            </w:pPr>
            <w:r>
              <w:rPr>
                <w:rFonts w:ascii="Calibri" w:hAnsi="Calibri"/>
                <w:color w:val="1E293B"/>
                <w:sz w:val="18"/>
              </w:rPr>
              <w:t>9. Automated Statutory Dossier Generation</w:t>
            </w:r>
          </w:p>
        </w:tc>
        <w:tc>
          <w:tcPr>
            <w:tcW w:type="dxa" w:w="3456"/>
            <w:shd w:fill="FFFFFF"/>
            <w:tcMar>
              <w:top w:w="100" w:type="dxa"/>
              <w:bottom w:w="100" w:type="dxa"/>
              <w:left w:w="140" w:type="dxa"/>
              <w:right w:w="140" w:type="dxa"/>
            </w:tcMar>
          </w:tcPr>
          <w:p>
            <w:pPr>
              <w:spacing w:before="0" w:after="0" w:line="269" w:lineRule="auto"/>
            </w:pPr>
            <w:r>
              <w:rPr>
                <w:rFonts w:ascii="Calibri" w:hAnsi="Calibri"/>
                <w:color w:val="1E293B"/>
                <w:sz w:val="18"/>
              </w:rPr>
              <w:t>Generates conversational chat bullet points. Cannot produce formal legal forms.</w:t>
            </w:r>
          </w:p>
        </w:tc>
        <w:tc>
          <w:tcPr>
            <w:tcW w:type="dxa" w:w="3744"/>
            <w:shd w:fill="FFFFFF"/>
            <w:tcMar>
              <w:top w:w="100" w:type="dxa"/>
              <w:bottom w:w="100" w:type="dxa"/>
              <w:left w:w="140" w:type="dxa"/>
              <w:right w:w="140" w:type="dxa"/>
            </w:tcMar>
          </w:tcPr>
          <w:p>
            <w:pPr>
              <w:spacing w:before="0" w:after="0" w:line="269" w:lineRule="auto"/>
            </w:pPr>
            <w:r>
              <w:rPr>
                <w:rFonts w:ascii="Calibri" w:hAnsi="Calibri"/>
                <w:color w:val="166534"/>
                <w:sz w:val="18"/>
              </w:rPr>
              <w:t>✓ 1-Click Generation of IPO Form 1/2 Specification, NBA Form 3, and D&amp;C Rule 158-B Licensing Dossier.</w:t>
            </w:r>
          </w:p>
        </w:tc>
      </w:tr>
      <w:tr>
        <w:tc>
          <w:tcPr>
            <w:tcW w:type="dxa" w:w="2160"/>
            <w:shd w:fill="F8FAFC"/>
            <w:tcMar>
              <w:top w:w="100" w:type="dxa"/>
              <w:bottom w:w="100" w:type="dxa"/>
              <w:left w:w="140" w:type="dxa"/>
              <w:right w:w="140" w:type="dxa"/>
            </w:tcMar>
          </w:tcPr>
          <w:p>
            <w:pPr>
              <w:spacing w:before="0" w:after="0" w:line="269" w:lineRule="auto"/>
            </w:pPr>
            <w:r>
              <w:rPr>
                <w:rFonts w:ascii="Calibri" w:hAnsi="Calibri"/>
                <w:color w:val="1E293B"/>
                <w:sz w:val="18"/>
              </w:rPr>
              <w:t>10. Out-of-Distribution (OOD) Guardrail</w:t>
            </w:r>
          </w:p>
        </w:tc>
        <w:tc>
          <w:tcPr>
            <w:tcW w:type="dxa" w:w="3456"/>
            <w:shd w:fill="F8FAFC"/>
            <w:tcMar>
              <w:top w:w="100" w:type="dxa"/>
              <w:bottom w:w="100" w:type="dxa"/>
              <w:left w:w="140" w:type="dxa"/>
              <w:right w:w="140" w:type="dxa"/>
            </w:tcMar>
          </w:tcPr>
          <w:p>
            <w:pPr>
              <w:spacing w:before="0" w:after="0" w:line="269" w:lineRule="auto"/>
            </w:pPr>
            <w:r>
              <w:rPr>
                <w:rFonts w:ascii="Calibri" w:hAnsi="Calibri"/>
                <w:color w:val="1E293B"/>
                <w:sz w:val="18"/>
              </w:rPr>
              <w:t>Attempts to guess and extrapolate even when statutory context does not exist.</w:t>
            </w:r>
          </w:p>
        </w:tc>
        <w:tc>
          <w:tcPr>
            <w:tcW w:type="dxa" w:w="3744"/>
            <w:shd w:fill="F8FAFC"/>
            <w:tcMar>
              <w:top w:w="100" w:type="dxa"/>
              <w:bottom w:w="100" w:type="dxa"/>
              <w:left w:w="140" w:type="dxa"/>
              <w:right w:w="140" w:type="dxa"/>
            </w:tcMar>
          </w:tcPr>
          <w:p>
            <w:pPr>
              <w:spacing w:before="0" w:after="0" w:line="269" w:lineRule="auto"/>
            </w:pPr>
            <w:r>
              <w:rPr>
                <w:rFonts w:ascii="Calibri" w:hAnsi="Calibri"/>
                <w:color w:val="166534"/>
                <w:sz w:val="18"/>
              </w:rPr>
              <w:t>✓ Deterministic Grounding Fallback: Formally outputs 'No statutory clause found' rather than guessing.</w:t>
            </w:r>
          </w:p>
        </w:tc>
      </w:tr>
      <w:tr>
        <w:tc>
          <w:tcPr>
            <w:tcW w:type="dxa" w:w="2160"/>
            <w:shd w:fill="FFFFFF"/>
            <w:tcMar>
              <w:top w:w="100" w:type="dxa"/>
              <w:bottom w:w="100" w:type="dxa"/>
              <w:left w:w="140" w:type="dxa"/>
              <w:right w:w="140" w:type="dxa"/>
            </w:tcMar>
          </w:tcPr>
          <w:p>
            <w:pPr>
              <w:spacing w:before="0" w:after="0" w:line="269" w:lineRule="auto"/>
            </w:pPr>
            <w:r>
              <w:rPr>
                <w:rFonts w:ascii="Calibri" w:hAnsi="Calibri"/>
                <w:color w:val="1E293B"/>
                <w:sz w:val="18"/>
              </w:rPr>
              <w:t>11. Grassroots Multilingual &amp; Voice UX</w:t>
            </w:r>
          </w:p>
        </w:tc>
        <w:tc>
          <w:tcPr>
            <w:tcW w:type="dxa" w:w="3456"/>
            <w:shd w:fill="FFFFFF"/>
            <w:tcMar>
              <w:top w:w="100" w:type="dxa"/>
              <w:bottom w:w="100" w:type="dxa"/>
              <w:left w:w="140" w:type="dxa"/>
              <w:right w:w="140" w:type="dxa"/>
            </w:tcMar>
          </w:tcPr>
          <w:p>
            <w:pPr>
              <w:spacing w:before="0" w:after="0" w:line="269" w:lineRule="auto"/>
            </w:pPr>
            <w:r>
              <w:rPr>
                <w:rFonts w:ascii="Calibri" w:hAnsi="Calibri"/>
                <w:color w:val="1E293B"/>
                <w:sz w:val="18"/>
              </w:rPr>
              <w:t>Primarily optimized for English text. Struggles with regional spoken Ayush dialects.</w:t>
            </w:r>
          </w:p>
        </w:tc>
        <w:tc>
          <w:tcPr>
            <w:tcW w:type="dxa" w:w="3744"/>
            <w:shd w:fill="FFFFFF"/>
            <w:tcMar>
              <w:top w:w="100" w:type="dxa"/>
              <w:bottom w:w="100" w:type="dxa"/>
              <w:left w:w="140" w:type="dxa"/>
              <w:right w:w="140" w:type="dxa"/>
            </w:tcMar>
          </w:tcPr>
          <w:p>
            <w:pPr>
              <w:spacing w:before="0" w:after="0" w:line="269" w:lineRule="auto"/>
            </w:pPr>
            <w:r>
              <w:rPr>
                <w:rFonts w:ascii="Calibri" w:hAnsi="Calibri"/>
                <w:color w:val="166534"/>
                <w:sz w:val="18"/>
              </w:rPr>
              <w:t>✓ Bhashini AI Voice-First integration: Speech-in and Speech-out across Hindi, Tamil, Telugu, Marathi, Sanskrit.</w:t>
            </w:r>
          </w:p>
        </w:tc>
      </w:tr>
      <w:tr>
        <w:tc>
          <w:tcPr>
            <w:tcW w:type="dxa" w:w="2160"/>
            <w:shd w:fill="F8FAFC"/>
            <w:tcMar>
              <w:top w:w="100" w:type="dxa"/>
              <w:bottom w:w="100" w:type="dxa"/>
              <w:left w:w="140" w:type="dxa"/>
              <w:right w:w="140" w:type="dxa"/>
            </w:tcMar>
          </w:tcPr>
          <w:p>
            <w:pPr>
              <w:spacing w:before="0" w:after="0" w:line="269" w:lineRule="auto"/>
            </w:pPr>
            <w:r>
              <w:rPr>
                <w:rFonts w:ascii="Calibri" w:hAnsi="Calibri"/>
                <w:color w:val="1E293B"/>
                <w:sz w:val="18"/>
              </w:rPr>
              <w:t>12. State Ayush Licensing Nuances</w:t>
            </w:r>
          </w:p>
        </w:tc>
        <w:tc>
          <w:tcPr>
            <w:tcW w:type="dxa" w:w="3456"/>
            <w:shd w:fill="F8FAFC"/>
            <w:tcMar>
              <w:top w:w="100" w:type="dxa"/>
              <w:bottom w:w="100" w:type="dxa"/>
              <w:left w:w="140" w:type="dxa"/>
              <w:right w:w="140" w:type="dxa"/>
            </w:tcMar>
          </w:tcPr>
          <w:p>
            <w:pPr>
              <w:spacing w:before="0" w:after="0" w:line="269" w:lineRule="auto"/>
            </w:pPr>
            <w:r>
              <w:rPr>
                <w:rFonts w:ascii="Calibri" w:hAnsi="Calibri"/>
                <w:color w:val="1E293B"/>
                <w:sz w:val="18"/>
              </w:rPr>
              <w:t>Treats Indian regulations as monolithic. Ignores state-specific Ayush Licensing Authority (SALA) norms.</w:t>
            </w:r>
          </w:p>
        </w:tc>
        <w:tc>
          <w:tcPr>
            <w:tcW w:type="dxa" w:w="3744"/>
            <w:shd w:fill="F8FAFC"/>
            <w:tcMar>
              <w:top w:w="100" w:type="dxa"/>
              <w:bottom w:w="100" w:type="dxa"/>
              <w:left w:w="140" w:type="dxa"/>
              <w:right w:w="140" w:type="dxa"/>
            </w:tcMar>
          </w:tcPr>
          <w:p>
            <w:pPr>
              <w:spacing w:before="0" w:after="0" w:line="269" w:lineRule="auto"/>
            </w:pPr>
            <w:r>
              <w:rPr>
                <w:rFonts w:ascii="Calibri" w:hAnsi="Calibri"/>
                <w:color w:val="166534"/>
                <w:sz w:val="18"/>
              </w:rPr>
              <w:t>✓ Universal State Ayush Module accounting for state-specific e-Aushadhi portals and licensing differences.</w:t>
            </w:r>
          </w:p>
        </w:tc>
      </w:tr>
      <w:tr>
        <w:tc>
          <w:tcPr>
            <w:tcW w:type="dxa" w:w="2160"/>
            <w:shd w:fill="FFFFFF"/>
            <w:tcMar>
              <w:top w:w="100" w:type="dxa"/>
              <w:bottom w:w="100" w:type="dxa"/>
              <w:left w:w="140" w:type="dxa"/>
              <w:right w:w="140" w:type="dxa"/>
            </w:tcMar>
          </w:tcPr>
          <w:p>
            <w:pPr>
              <w:spacing w:before="0" w:after="0" w:line="269" w:lineRule="auto"/>
            </w:pPr>
            <w:r>
              <w:rPr>
                <w:rFonts w:ascii="Calibri" w:hAnsi="Calibri"/>
                <w:color w:val="1E293B"/>
                <w:sz w:val="18"/>
              </w:rPr>
              <w:t>13. IP Scanner &amp; TKDL Infringement Risk</w:t>
            </w:r>
          </w:p>
        </w:tc>
        <w:tc>
          <w:tcPr>
            <w:tcW w:type="dxa" w:w="3456"/>
            <w:shd w:fill="FFFFFF"/>
            <w:tcMar>
              <w:top w:w="100" w:type="dxa"/>
              <w:bottom w:w="100" w:type="dxa"/>
              <w:left w:w="140" w:type="dxa"/>
              <w:right w:w="140" w:type="dxa"/>
            </w:tcMar>
          </w:tcPr>
          <w:p>
            <w:pPr>
              <w:spacing w:before="0" w:after="0" w:line="269" w:lineRule="auto"/>
            </w:pPr>
            <w:r>
              <w:rPr>
                <w:rFonts w:ascii="Calibri" w:hAnsi="Calibri"/>
                <w:color w:val="1E293B"/>
                <w:sz w:val="18"/>
              </w:rPr>
              <w:t>No integration with patent databases or TKDL formulation structures.</w:t>
            </w:r>
          </w:p>
        </w:tc>
        <w:tc>
          <w:tcPr>
            <w:tcW w:type="dxa" w:w="3744"/>
            <w:shd w:fill="FFFFFF"/>
            <w:tcMar>
              <w:top w:w="100" w:type="dxa"/>
              <w:bottom w:w="100" w:type="dxa"/>
              <w:left w:w="140" w:type="dxa"/>
              <w:right w:w="140" w:type="dxa"/>
            </w:tcMar>
          </w:tcPr>
          <w:p>
            <w:pPr>
              <w:spacing w:before="0" w:after="0" w:line="269" w:lineRule="auto"/>
            </w:pPr>
            <w:r>
              <w:rPr>
                <w:rFonts w:ascii="Calibri" w:hAnsi="Calibri"/>
                <w:color w:val="166534"/>
                <w:sz w:val="18"/>
              </w:rPr>
              <w:t>✓ Integrated Formulation Scanner: Evaluates ingredients against TKDL prior-art risk indices.</w:t>
            </w:r>
          </w:p>
        </w:tc>
      </w:tr>
      <w:tr>
        <w:tc>
          <w:tcPr>
            <w:tcW w:type="dxa" w:w="2160"/>
            <w:shd w:fill="F8FAFC"/>
            <w:tcMar>
              <w:top w:w="100" w:type="dxa"/>
              <w:bottom w:w="100" w:type="dxa"/>
              <w:left w:w="140" w:type="dxa"/>
              <w:right w:w="140" w:type="dxa"/>
            </w:tcMar>
          </w:tcPr>
          <w:p>
            <w:pPr>
              <w:spacing w:before="0" w:after="0" w:line="269" w:lineRule="auto"/>
            </w:pPr>
            <w:r>
              <w:rPr>
                <w:rFonts w:ascii="Calibri" w:hAnsi="Calibri"/>
                <w:color w:val="1E293B"/>
                <w:sz w:val="18"/>
              </w:rPr>
              <w:t>14. Legal Audit Trail &amp; Chain of Custody</w:t>
            </w:r>
          </w:p>
        </w:tc>
        <w:tc>
          <w:tcPr>
            <w:tcW w:type="dxa" w:w="3456"/>
            <w:shd w:fill="F8FAFC"/>
            <w:tcMar>
              <w:top w:w="100" w:type="dxa"/>
              <w:bottom w:w="100" w:type="dxa"/>
              <w:left w:w="140" w:type="dxa"/>
              <w:right w:w="140" w:type="dxa"/>
            </w:tcMar>
          </w:tcPr>
          <w:p>
            <w:pPr>
              <w:spacing w:before="0" w:after="0" w:line="269" w:lineRule="auto"/>
            </w:pPr>
            <w:r>
              <w:rPr>
                <w:rFonts w:ascii="Calibri" w:hAnsi="Calibri"/>
                <w:color w:val="1E293B"/>
                <w:sz w:val="18"/>
              </w:rPr>
              <w:t>Black-box generation with zero auditability or timestamped legal provenance.</w:t>
            </w:r>
          </w:p>
        </w:tc>
        <w:tc>
          <w:tcPr>
            <w:tcW w:type="dxa" w:w="3744"/>
            <w:shd w:fill="F8FAFC"/>
            <w:tcMar>
              <w:top w:w="100" w:type="dxa"/>
              <w:bottom w:w="100" w:type="dxa"/>
              <w:left w:w="140" w:type="dxa"/>
              <w:right w:w="140" w:type="dxa"/>
            </w:tcMar>
          </w:tcPr>
          <w:p>
            <w:pPr>
              <w:spacing w:before="0" w:after="0" w:line="269" w:lineRule="auto"/>
            </w:pPr>
            <w:r>
              <w:rPr>
                <w:rFonts w:ascii="Calibri" w:hAnsi="Calibri"/>
                <w:color w:val="166534"/>
                <w:sz w:val="18"/>
              </w:rPr>
              <w:t>✓ Complete Cryptographic Audit Trail: Traces query to exact node, gazette publication date, and verification hash.</w:t>
            </w:r>
          </w:p>
        </w:tc>
      </w:tr>
      <w:tr>
        <w:tc>
          <w:tcPr>
            <w:tcW w:type="dxa" w:w="2160"/>
            <w:shd w:fill="FFFFFF"/>
            <w:tcMar>
              <w:top w:w="100" w:type="dxa"/>
              <w:bottom w:w="100" w:type="dxa"/>
              <w:left w:w="140" w:type="dxa"/>
              <w:right w:w="140" w:type="dxa"/>
            </w:tcMar>
          </w:tcPr>
          <w:p>
            <w:pPr>
              <w:spacing w:before="0" w:after="0" w:line="269" w:lineRule="auto"/>
            </w:pPr>
            <w:r>
              <w:rPr>
                <w:rFonts w:ascii="Calibri" w:hAnsi="Calibri"/>
                <w:color w:val="1E293B"/>
                <w:sz w:val="18"/>
              </w:rPr>
              <w:t>15. Sovereign Deployment &amp; Security</w:t>
            </w:r>
          </w:p>
        </w:tc>
        <w:tc>
          <w:tcPr>
            <w:tcW w:type="dxa" w:w="3456"/>
            <w:shd w:fill="FFFFFF"/>
            <w:tcMar>
              <w:top w:w="100" w:type="dxa"/>
              <w:bottom w:w="100" w:type="dxa"/>
              <w:left w:w="140" w:type="dxa"/>
              <w:right w:w="140" w:type="dxa"/>
            </w:tcMar>
          </w:tcPr>
          <w:p>
            <w:pPr>
              <w:spacing w:before="0" w:after="0" w:line="269" w:lineRule="auto"/>
            </w:pPr>
            <w:r>
              <w:rPr>
                <w:rFonts w:ascii="Calibri" w:hAnsi="Calibri"/>
                <w:color w:val="1E293B"/>
                <w:sz w:val="18"/>
              </w:rPr>
              <w:t>Proprietary cloud servers overseas. Not certified for sensitive Indian government IP disclosures.</w:t>
            </w:r>
          </w:p>
        </w:tc>
        <w:tc>
          <w:tcPr>
            <w:tcW w:type="dxa" w:w="3744"/>
            <w:shd w:fill="FFFFFF"/>
            <w:tcMar>
              <w:top w:w="100" w:type="dxa"/>
              <w:bottom w:w="100" w:type="dxa"/>
              <w:left w:w="140" w:type="dxa"/>
              <w:right w:w="140" w:type="dxa"/>
            </w:tcMar>
          </w:tcPr>
          <w:p>
            <w:pPr>
              <w:spacing w:before="0" w:after="0" w:line="269" w:lineRule="auto"/>
            </w:pPr>
            <w:r>
              <w:rPr>
                <w:rFonts w:ascii="Calibri" w:hAnsi="Calibri"/>
                <w:color w:val="166534"/>
                <w:sz w:val="18"/>
              </w:rPr>
              <w:t>✓ Sovereign Government Cloud / NIC / MeghRaj ready. Full compliance with Indian DPDP Act 2023.</w:t>
            </w:r>
          </w:p>
        </w:tc>
      </w:tr>
    </w:tbl>
    <w:p>
      <w:pPr>
        <w:spacing w:after="160"/>
      </w:pPr>
    </w:p>
    <w:p>
      <w:r>
        <w:br w:type="page"/>
      </w:r>
    </w:p>
    <w:p>
      <w:pPr>
        <w:keepNext/>
        <w:spacing w:before="320" w:after="120"/>
      </w:pPr>
      <w:r>
        <w:rPr>
          <w:rFonts w:ascii="Calibri" w:hAnsi="Calibri"/>
          <w:b/>
          <w:color w:val="B45309"/>
          <w:sz w:val="27"/>
        </w:rPr>
        <w:t>3.3 Real-World Comparative Case Studies</w:t>
      </w:r>
    </w:p>
    <w:p>
      <w:pPr>
        <w:spacing w:before="0" w:after="120" w:line="276" w:lineRule="auto"/>
      </w:pPr>
      <w:r>
        <w:rPr>
          <w:rFonts w:ascii="Calibri" w:hAnsi="Calibri"/>
          <w:color w:val="1E293B"/>
          <w:sz w:val="21"/>
        </w:rPr>
        <w:t>To provide empirical validation for hackathon evaluators, we benchmarked identical queries on OpenAI ChatGPT-4o versus IP-SAKTI Sahayak.</w:t>
      </w:r>
    </w:p>
    <w:p>
      <w:pPr>
        <w:keepNext/>
        <w:spacing w:before="240" w:after="80"/>
      </w:pPr>
      <w:r>
        <w:rPr>
          <w:rFonts w:ascii="Calibri" w:hAnsi="Calibri"/>
          <w:b/>
          <w:color w:val="0F2942"/>
          <w:sz w:val="23"/>
        </w:rPr>
        <w:t>Case Study 1: Patenting an Ayurvedic Pain Formulation</w:t>
      </w:r>
    </w:p>
    <w:tbl>
      <w:tblPr>
        <w:tblW w:type="auto" w:w="0"/>
        <w:jc w:val="center"/>
        <w:tblLayout w:type="fixed"/>
        <w:tblLook w:firstColumn="1" w:firstRow="1" w:lastColumn="0" w:lastRow="0" w:noHBand="0" w:noVBand="1" w:val="04A0"/>
      </w:tblPr>
      <w:tblGrid>
        <w:gridCol w:w="9360"/>
      </w:tblGrid>
      <w:tr>
        <w:tc>
          <w:tcPr>
            <w:tcW w:type="dxa" w:w="9360"/>
            <w:shd w:fill="FFFBEB"/>
            <w:tcMar>
              <w:top w:w="160" w:type="dxa"/>
              <w:bottom w:w="160" w:type="dxa"/>
              <w:left w:w="220" w:type="dxa"/>
              <w:right w:w="220" w:type="dxa"/>
            </w:tcMar>
            <w:tcBorders>
              <w:top w:val="none"/>
              <w:left w:val="single" w:sz="36" w:space="0" w:color="B45309"/>
              <w:bottom w:val="none"/>
              <w:right w:val="none"/>
            </w:tcBorders>
          </w:tcPr>
          <w:p>
            <w:pPr>
              <w:spacing w:before="0" w:after="60"/>
            </w:pPr>
            <w:r>
              <w:rPr>
                <w:rFonts w:ascii="Calibri" w:hAnsi="Calibri"/>
                <w:b/>
                <w:color w:val="B45309"/>
                <w:sz w:val="21"/>
              </w:rPr>
              <w:t>✦ TEST SCENARIO 1</w:t>
              <w:br/>
            </w:r>
            <w:r>
              <w:rPr>
                <w:rFonts w:ascii="Calibri" w:hAnsi="Calibri"/>
                <w:i/>
                <w:color w:val="1E293B"/>
                <w:sz w:val="20"/>
              </w:rPr>
              <w:t>User Query: "I have developed an Ayurvedic topical pain balm containing Curcumin (Haldi) and Wintergreen Oil (Gandhapura). Can I patent this in India and sell it?"</w:t>
            </w:r>
          </w:p>
        </w:tc>
      </w:tr>
    </w:tbl>
    <w:p>
      <w:pPr>
        <w:spacing w:after="120"/>
      </w:pPr>
    </w:p>
    <w:p>
      <w:pPr>
        <w:spacing w:before="0" w:after="120" w:line="276" w:lineRule="auto"/>
      </w:pPr>
      <w:r>
        <w:rPr>
          <w:rFonts w:ascii="Calibri" w:hAnsi="Calibri"/>
          <w:b/>
          <w:color w:val="1E293B"/>
          <w:sz w:val="21"/>
        </w:rPr>
        <w:t xml:space="preserve">Generic AI (ChatGPT-4o) Response: </w:t>
      </w:r>
      <w:r>
        <w:rPr>
          <w:rFonts w:ascii="Calibri" w:hAnsi="Calibri"/>
          <w:color w:val="1E293B"/>
          <w:sz w:val="21"/>
        </w:rPr>
        <w:t>ChatGPT replied: 'Yes, you can file a patent for your novel pain balm formulation in India if it is novel and has an inventive step. You should consult a patent attorney and file Form 1 with the Indian Patent Office.'</w:t>
        <w:br/>
        <w:br/>
        <w:t>Why this is dangerously incorrect: ChatGPT completely ignored Section 3(p) (both Curcumin and Wintergreen Oil are classical Ayush remedies in TKDL) and Section 3(e) (mere admixture). Furthermore, ChatGPT failed to alert the user that under the Biological Diversity Act, 2002, collecting and commercially utilizing Curcuma longa and Gaultheria procumbens requires state biodiversity board compliance or NBA approval.</w:t>
      </w:r>
    </w:p>
    <w:p>
      <w:pPr>
        <w:spacing w:before="0" w:after="120" w:line="276" w:lineRule="auto"/>
      </w:pPr>
      <w:r>
        <w:rPr>
          <w:rFonts w:ascii="Calibri" w:hAnsi="Calibri"/>
          <w:b/>
          <w:color w:val="1E293B"/>
          <w:sz w:val="21"/>
        </w:rPr>
        <w:t xml:space="preserve">IP-SAKTI Sahayak Response: </w:t>
      </w:r>
      <w:r>
        <w:rPr>
          <w:rFonts w:ascii="Calibri" w:hAnsi="Calibri"/>
          <w:color w:val="1E293B"/>
          <w:sz w:val="21"/>
        </w:rPr>
        <w:t>IP-SAKTI Sahayak instantly executed multi-agent retrieval and generated:</w:t>
        <w:br/>
        <w:t>1. ⚠️ Conflict &amp; Rejection Warning: Cites Section 3(p) and Section 3(e) of Patents Act, 1970. Cross-references TKDL IDs AH3/1204 and SK2/441.</w:t>
        <w:br/>
        <w:t>2. Actionable Patentable Workaround: Explains that claiming the mixture will fail. Advises drafting claims focused on a novel deep-penetrating nano-liposomal carrier or a synergistic formulation with demonstrated Combination Index (CI &lt; 0.7).</w:t>
        <w:br/>
        <w:t>3. Mandatory Statutory Alert: Formally flags Section 6 of the Biological Diversity Act, 2002. Prompts user to generate NBA Form 3 prior to filing.</w:t>
        <w:br/>
        <w:t>4. Dual Licensing Pathway: Outlines State Ayush Licensing requirements under Rule 158-B for a 'Patent or Proprietary Ayush Medicine'.</w:t>
      </w:r>
    </w:p>
    <w:p>
      <w:pPr>
        <w:keepNext/>
        <w:spacing w:before="240" w:after="80"/>
      </w:pPr>
      <w:r>
        <w:rPr>
          <w:rFonts w:ascii="Calibri" w:hAnsi="Calibri"/>
          <w:b/>
          <w:color w:val="0F2942"/>
          <w:sz w:val="23"/>
        </w:rPr>
        <w:t>Case Study 2: Exporting Standardized Ashwagandha to Germany</w:t>
      </w:r>
    </w:p>
    <w:tbl>
      <w:tblPr>
        <w:tblW w:type="auto" w:w="0"/>
        <w:jc w:val="center"/>
        <w:tblLayout w:type="fixed"/>
        <w:tblLook w:firstColumn="1" w:firstRow="1" w:lastColumn="0" w:lastRow="0" w:noHBand="0" w:noVBand="1" w:val="04A0"/>
      </w:tblPr>
      <w:tblGrid>
        <w:gridCol w:w="9360"/>
      </w:tblGrid>
      <w:tr>
        <w:tc>
          <w:tcPr>
            <w:tcW w:type="dxa" w:w="9360"/>
            <w:shd w:fill="FFFBEB"/>
            <w:tcMar>
              <w:top w:w="160" w:type="dxa"/>
              <w:bottom w:w="160" w:type="dxa"/>
              <w:left w:w="220" w:type="dxa"/>
              <w:right w:w="220" w:type="dxa"/>
            </w:tcMar>
            <w:tcBorders>
              <w:top w:val="none"/>
              <w:left w:val="single" w:sz="36" w:space="0" w:color="B45309"/>
              <w:bottom w:val="none"/>
              <w:right w:val="none"/>
            </w:tcBorders>
          </w:tcPr>
          <w:p>
            <w:pPr>
              <w:spacing w:before="0" w:after="60"/>
            </w:pPr>
            <w:r>
              <w:rPr>
                <w:rFonts w:ascii="Calibri" w:hAnsi="Calibri"/>
                <w:b/>
                <w:color w:val="B45309"/>
                <w:sz w:val="21"/>
              </w:rPr>
              <w:t>✦ TEST SCENARIO 2</w:t>
              <w:br/>
            </w:r>
            <w:r>
              <w:rPr>
                <w:rFonts w:ascii="Calibri" w:hAnsi="Calibri"/>
                <w:i/>
                <w:color w:val="1E293B"/>
                <w:sz w:val="20"/>
              </w:rPr>
              <w:t>User Query: "We want to export Ashwagandha (Withania somnifera) standardized extract capsules to Germany as an anti-stress medicine. What are the legal requirements?"</w:t>
            </w:r>
          </w:p>
        </w:tc>
      </w:tr>
    </w:tbl>
    <w:p>
      <w:pPr>
        <w:spacing w:after="120"/>
      </w:pPr>
    </w:p>
    <w:p>
      <w:pPr>
        <w:spacing w:before="0" w:after="120" w:line="276" w:lineRule="auto"/>
      </w:pPr>
      <w:r>
        <w:rPr>
          <w:rFonts w:ascii="Calibri" w:hAnsi="Calibri"/>
          <w:b/>
          <w:color w:val="1E293B"/>
          <w:sz w:val="21"/>
        </w:rPr>
        <w:t xml:space="preserve">Generic AI (ChatGPT-4o) Response: </w:t>
      </w:r>
      <w:r>
        <w:rPr>
          <w:rFonts w:ascii="Calibri" w:hAnsi="Calibri"/>
          <w:color w:val="1E293B"/>
          <w:sz w:val="21"/>
        </w:rPr>
        <w:t>ChatGPT stated: 'You can export Ashwagandha to Germany. Make sure you comply with EU health regulations, have a Certificate of Free Sale from Ayush, and obtain customs clearance.'</w:t>
        <w:br/>
        <w:br/>
        <w:t>Why this is dangerously incorrect: Under EU Directive 2004/24/EC (THMPD), marketing a herbal product with medicinal/stress-relief claims requires proof of 30 years medicinal use (including 15 years inside the EU). German BfArM will immediately ban the product as an unlicensed medicinal drug if it carries therapeutic claims! Additionally, export of Indian biological material requires NBA Form 1 approval under the Biological Diversity Act.</w:t>
      </w:r>
    </w:p>
    <w:p>
      <w:pPr>
        <w:spacing w:before="0" w:after="120" w:line="276" w:lineRule="auto"/>
      </w:pPr>
      <w:r>
        <w:rPr>
          <w:rFonts w:ascii="Calibri" w:hAnsi="Calibri"/>
          <w:b/>
          <w:color w:val="1E293B"/>
          <w:sz w:val="21"/>
        </w:rPr>
        <w:t xml:space="preserve">IP-SAKTI Sahayak Response: </w:t>
      </w:r>
      <w:r>
        <w:rPr>
          <w:rFonts w:ascii="Calibri" w:hAnsi="Calibri"/>
          <w:color w:val="1E293B"/>
          <w:sz w:val="21"/>
        </w:rPr>
        <w:t>IP-SAKTI Sahayak produces a cross-jurisdiction regulatory matrix:</w:t>
        <w:br/>
        <w:t>• EU/German Regulatory Barrier: Cites Directive 2004/24/EC and German AMG (Arzneimittelgesetz). Explains that Ashwagandha does NOT qualify for simplified herbal registration due to the 15-year EU rule. Suggests restructuring the export as a 'Food Supplement' (Nahrungsergänzungsmittel) under EU Directive 2002/46/EC, strictly avoiding all therapeutic disease-curing claims.</w:t>
        <w:br/>
        <w:t>• Indian Statutory Clearance: NBA Section 3 &amp; 4 compliance mandatory. Commercial utilization of Indian bio-resources for export requires NBA Form I clearance.</w:t>
        <w:br/>
        <w:t>• Ayush Export Certification: Requires Ayush Premium Mark certification and WHO-GMP certificate issued by the State Ayush Licensing Authority.</w:t>
      </w:r>
    </w:p>
    <w:p>
      <w:r>
        <w:br w:type="page"/>
      </w:r>
    </w:p>
    <w:p>
      <w:pPr>
        <w:keepNext/>
        <w:spacing w:before="440" w:after="160"/>
        <w:pBdr>
          <w:bottom w:val="single" w:sz="12" w:space="4" w:color="B45309"/>
        </w:pBdr>
      </w:pPr>
      <w:r>
        <w:rPr>
          <w:rFonts w:ascii="Calibri" w:hAnsi="Calibri"/>
          <w:b/>
          <w:color w:val="0F2942"/>
          <w:sz w:val="34"/>
        </w:rPr>
        <w:t>Chapter 4: The 7-Layer Enterprise System Architecture</w:t>
      </w:r>
    </w:p>
    <w:p>
      <w:pPr>
        <w:spacing w:before="0" w:after="120" w:line="276" w:lineRule="auto"/>
      </w:pPr>
      <w:r>
        <w:rPr>
          <w:rFonts w:ascii="Calibri" w:hAnsi="Calibri"/>
          <w:color w:val="1E293B"/>
          <w:sz w:val="21"/>
        </w:rPr>
        <w:t>IP-SAKTI Sahayak is engineered using an asynchronous, micro-service based multi-agent architecture built on top of high-throughput vector and graph retrieval backends. The 7 layers interact as follows:</w:t>
      </w:r>
    </w:p>
    <w:tbl>
      <w:tblPr>
        <w:tblW w:type="auto" w:w="0"/>
        <w:jc w:val="center"/>
        <w:tblLayout w:type="fixed"/>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4680"/>
        <w:gridCol w:w="4680"/>
      </w:tblGrid>
      <w:tr>
        <w:trPr>
          <w:tblHeader/>
        </w:trPr>
        <w:tc>
          <w:tcPr>
            <w:tcW w:type="dxa" w:w="3312"/>
            <w:shd w:fill="0F2942"/>
            <w:tcMar>
              <w:top w:w="140" w:type="dxa"/>
              <w:bottom w:w="140" w:type="dxa"/>
              <w:left w:w="160" w:type="dxa"/>
              <w:right w:w="160" w:type="dxa"/>
            </w:tcMar>
          </w:tcPr>
          <w:p>
            <w:pPr>
              <w:spacing w:before="0" w:after="0"/>
            </w:pPr>
            <w:r>
              <w:rPr>
                <w:rFonts w:ascii="Calibri" w:hAnsi="Calibri"/>
                <w:b/>
                <w:color w:val="FFFFFF"/>
                <w:sz w:val="19"/>
              </w:rPr>
              <w:t>Architecture Layer</w:t>
            </w:r>
          </w:p>
        </w:tc>
        <w:tc>
          <w:tcPr>
            <w:tcW w:type="dxa" w:w="6048"/>
            <w:shd w:fill="0F2942"/>
            <w:tcMar>
              <w:top w:w="140" w:type="dxa"/>
              <w:bottom w:w="140" w:type="dxa"/>
              <w:left w:w="160" w:type="dxa"/>
              <w:right w:w="160" w:type="dxa"/>
            </w:tcMar>
          </w:tcPr>
          <w:p>
            <w:pPr>
              <w:spacing w:before="0" w:after="0"/>
            </w:pPr>
            <w:r>
              <w:rPr>
                <w:rFonts w:ascii="Calibri" w:hAnsi="Calibri"/>
                <w:b/>
                <w:color w:val="FFFFFF"/>
                <w:sz w:val="19"/>
              </w:rPr>
              <w:t>Technical Implementation &amp; Role</w:t>
            </w:r>
          </w:p>
        </w:tc>
      </w:tr>
      <w:tr>
        <w:tc>
          <w:tcPr>
            <w:tcW w:type="dxa" w:w="3312"/>
            <w:shd w:fill="FFFFFF"/>
            <w:tcMar>
              <w:top w:w="100" w:type="dxa"/>
              <w:bottom w:w="100" w:type="dxa"/>
              <w:left w:w="140" w:type="dxa"/>
              <w:right w:w="140" w:type="dxa"/>
            </w:tcMar>
          </w:tcPr>
          <w:p>
            <w:pPr>
              <w:spacing w:before="0" w:after="0" w:line="269" w:lineRule="auto"/>
            </w:pPr>
            <w:r>
              <w:rPr>
                <w:rFonts w:ascii="Calibri" w:hAnsi="Calibri"/>
                <w:color w:val="1E293B"/>
                <w:sz w:val="18"/>
              </w:rPr>
              <w:t>Layer 1: Multilingual &amp; Multi-Modal Ingestion</w:t>
            </w:r>
          </w:p>
        </w:tc>
        <w:tc>
          <w:tcPr>
            <w:tcW w:type="dxa" w:w="6048"/>
            <w:shd w:fill="FFFFFF"/>
            <w:tcMar>
              <w:top w:w="100" w:type="dxa"/>
              <w:bottom w:w="100" w:type="dxa"/>
              <w:left w:w="140" w:type="dxa"/>
              <w:right w:w="140" w:type="dxa"/>
            </w:tcMar>
          </w:tcPr>
          <w:p>
            <w:pPr>
              <w:spacing w:before="0" w:after="0" w:line="269" w:lineRule="auto"/>
            </w:pPr>
            <w:r>
              <w:rPr>
                <w:rFonts w:ascii="Calibri" w:hAnsi="Calibri"/>
                <w:color w:val="1E293B"/>
                <w:sz w:val="18"/>
              </w:rPr>
              <w:t>Integrates the Government of India Bhashini AI ecosystem for Automatic Speech Recognition (ASR) and Text-to-Speech (TTS) in 10+ Indic languages. Handles formulation text, lab assay data, and existing patent drafts via multi-format OCR.</w:t>
            </w:r>
          </w:p>
        </w:tc>
      </w:tr>
      <w:tr>
        <w:tc>
          <w:tcPr>
            <w:tcW w:type="dxa" w:w="3312"/>
            <w:shd w:fill="F8FAFC"/>
            <w:tcMar>
              <w:top w:w="100" w:type="dxa"/>
              <w:bottom w:w="100" w:type="dxa"/>
              <w:left w:w="140" w:type="dxa"/>
              <w:right w:w="140" w:type="dxa"/>
            </w:tcMar>
          </w:tcPr>
          <w:p>
            <w:pPr>
              <w:spacing w:before="0" w:after="0" w:line="269" w:lineRule="auto"/>
            </w:pPr>
            <w:r>
              <w:rPr>
                <w:rFonts w:ascii="Calibri" w:hAnsi="Calibri"/>
                <w:color w:val="1E293B"/>
                <w:sz w:val="18"/>
              </w:rPr>
              <w:t>Layer 2: Domain Router &amp; Botanical Synonym Resolver</w:t>
            </w:r>
          </w:p>
        </w:tc>
        <w:tc>
          <w:tcPr>
            <w:tcW w:type="dxa" w:w="6048"/>
            <w:shd w:fill="F8FAFC"/>
            <w:tcMar>
              <w:top w:w="100" w:type="dxa"/>
              <w:bottom w:w="100" w:type="dxa"/>
              <w:left w:w="140" w:type="dxa"/>
              <w:right w:w="140" w:type="dxa"/>
            </w:tcMar>
          </w:tcPr>
          <w:p>
            <w:pPr>
              <w:spacing w:before="0" w:after="0" w:line="269" w:lineRule="auto"/>
            </w:pPr>
            <w:r>
              <w:rPr>
                <w:rFonts w:ascii="Calibri" w:hAnsi="Calibri"/>
                <w:color w:val="1E293B"/>
                <w:sz w:val="18"/>
              </w:rPr>
              <w:t>Uses an Ayush Domain Knowledge Graph (built on Neo4j/NetworkX) to normalize Sanskrit, Hindi, Tamil, Urdu, and Latin botanical binomials to official Ayurvedic Pharmacopoeia of India (API) standards before executing search queries.</w:t>
            </w:r>
          </w:p>
        </w:tc>
      </w:tr>
      <w:tr>
        <w:tc>
          <w:tcPr>
            <w:tcW w:type="dxa" w:w="3312"/>
            <w:shd w:fill="FFFFFF"/>
            <w:tcMar>
              <w:top w:w="100" w:type="dxa"/>
              <w:bottom w:w="100" w:type="dxa"/>
              <w:left w:w="140" w:type="dxa"/>
              <w:right w:w="140" w:type="dxa"/>
            </w:tcMar>
          </w:tcPr>
          <w:p>
            <w:pPr>
              <w:spacing w:before="0" w:after="0" w:line="269" w:lineRule="auto"/>
            </w:pPr>
            <w:r>
              <w:rPr>
                <w:rFonts w:ascii="Calibri" w:hAnsi="Calibri"/>
                <w:color w:val="1E293B"/>
                <w:sz w:val="18"/>
              </w:rPr>
              <w:t>Layer 3: Hierarchical Clause-Level Vector Store</w:t>
            </w:r>
          </w:p>
        </w:tc>
        <w:tc>
          <w:tcPr>
            <w:tcW w:type="dxa" w:w="6048"/>
            <w:shd w:fill="FFFFFF"/>
            <w:tcMar>
              <w:top w:w="100" w:type="dxa"/>
              <w:bottom w:w="100" w:type="dxa"/>
              <w:left w:w="140" w:type="dxa"/>
              <w:right w:w="140" w:type="dxa"/>
            </w:tcMar>
          </w:tcPr>
          <w:p>
            <w:pPr>
              <w:spacing w:before="0" w:after="0" w:line="269" w:lineRule="auto"/>
            </w:pPr>
            <w:r>
              <w:rPr>
                <w:rFonts w:ascii="Calibri" w:hAnsi="Calibri"/>
                <w:color w:val="1E293B"/>
                <w:sz w:val="18"/>
              </w:rPr>
              <w:t>Vector database (Qdrant / Milvus) indexed using a parent-child hierarchical legal schema. Stores acts, chapters, sections, clauses, explanations, and court judgments as discrete, atomic nodes with legal metadata.</w:t>
            </w:r>
          </w:p>
        </w:tc>
      </w:tr>
      <w:tr>
        <w:tc>
          <w:tcPr>
            <w:tcW w:type="dxa" w:w="3312"/>
            <w:shd w:fill="F8FAFC"/>
            <w:tcMar>
              <w:top w:w="100" w:type="dxa"/>
              <w:bottom w:w="100" w:type="dxa"/>
              <w:left w:w="140" w:type="dxa"/>
              <w:right w:w="140" w:type="dxa"/>
            </w:tcMar>
          </w:tcPr>
          <w:p>
            <w:pPr>
              <w:spacing w:before="0" w:after="0" w:line="269" w:lineRule="auto"/>
            </w:pPr>
            <w:r>
              <w:rPr>
                <w:rFonts w:ascii="Calibri" w:hAnsi="Calibri"/>
                <w:color w:val="1E293B"/>
                <w:sz w:val="18"/>
              </w:rPr>
              <w:t>Layer 4: Multi-Agent Regulatory MoE (Mixture of Experts)</w:t>
            </w:r>
          </w:p>
        </w:tc>
        <w:tc>
          <w:tcPr>
            <w:tcW w:type="dxa" w:w="6048"/>
            <w:shd w:fill="F8FAFC"/>
            <w:tcMar>
              <w:top w:w="100" w:type="dxa"/>
              <w:bottom w:w="100" w:type="dxa"/>
              <w:left w:w="140" w:type="dxa"/>
              <w:right w:w="140" w:type="dxa"/>
            </w:tcMar>
          </w:tcPr>
          <w:p>
            <w:pPr>
              <w:spacing w:before="0" w:after="0" w:line="269" w:lineRule="auto"/>
            </w:pPr>
            <w:r>
              <w:rPr>
                <w:rFonts w:ascii="Calibri" w:hAnsi="Calibri"/>
                <w:color w:val="1E293B"/>
                <w:sz w:val="18"/>
              </w:rPr>
              <w:t>Coordinated by LangGraph. Deploys 4 parallel autonomous agents: Agent_IPO (Patents Act &amp; Ayush Guidelines), Agent_NBA (Biological Diversity Act), Agent_AYUSH (Drugs &amp; Cosmetics Act Rule 158B), and Agent_Global (WIPO, USPTO, EPO, EMA).</w:t>
            </w:r>
          </w:p>
        </w:tc>
      </w:tr>
      <w:tr>
        <w:tc>
          <w:tcPr>
            <w:tcW w:type="dxa" w:w="3312"/>
            <w:shd w:fill="FFFFFF"/>
            <w:tcMar>
              <w:top w:w="100" w:type="dxa"/>
              <w:bottom w:w="100" w:type="dxa"/>
              <w:left w:w="140" w:type="dxa"/>
              <w:right w:w="140" w:type="dxa"/>
            </w:tcMar>
          </w:tcPr>
          <w:p>
            <w:pPr>
              <w:spacing w:before="0" w:after="0" w:line="269" w:lineRule="auto"/>
            </w:pPr>
            <w:r>
              <w:rPr>
                <w:rFonts w:ascii="Calibri" w:hAnsi="Calibri"/>
                <w:color w:val="991B1B"/>
                <w:sz w:val="18"/>
              </w:rPr>
              <w:t>Layer 5: Cross-Regulation Conflict Detection Matrix</w:t>
            </w:r>
          </w:p>
        </w:tc>
        <w:tc>
          <w:tcPr>
            <w:tcW w:type="dxa" w:w="6048"/>
            <w:shd w:fill="FFFFFF"/>
            <w:tcMar>
              <w:top w:w="100" w:type="dxa"/>
              <w:bottom w:w="100" w:type="dxa"/>
              <w:left w:w="140" w:type="dxa"/>
              <w:right w:w="140" w:type="dxa"/>
            </w:tcMar>
          </w:tcPr>
          <w:p>
            <w:pPr>
              <w:spacing w:before="0" w:after="0" w:line="269" w:lineRule="auto"/>
            </w:pPr>
            <w:r>
              <w:rPr>
                <w:rFonts w:ascii="Calibri" w:hAnsi="Calibri"/>
                <w:color w:val="1E293B"/>
                <w:sz w:val="18"/>
              </w:rPr>
              <w:t>A deterministic reasoning engine that compares intermediate outputs from all specialized agents, flags contradictions, and calculates compliance risk scores (Red / Yellow / Green).</w:t>
            </w:r>
          </w:p>
        </w:tc>
      </w:tr>
      <w:tr>
        <w:tc>
          <w:tcPr>
            <w:tcW w:type="dxa" w:w="3312"/>
            <w:shd w:fill="F8FAFC"/>
            <w:tcMar>
              <w:top w:w="100" w:type="dxa"/>
              <w:bottom w:w="100" w:type="dxa"/>
              <w:left w:w="140" w:type="dxa"/>
              <w:right w:w="140" w:type="dxa"/>
            </w:tcMar>
          </w:tcPr>
          <w:p>
            <w:pPr>
              <w:spacing w:before="0" w:after="0" w:line="269" w:lineRule="auto"/>
            </w:pPr>
            <w:r>
              <w:rPr>
                <w:rFonts w:ascii="Calibri" w:hAnsi="Calibri"/>
                <w:color w:val="1E293B"/>
                <w:sz w:val="18"/>
              </w:rPr>
              <w:t>Layer 6: Tri-Anchor Zero-Hallucination Reflector Node</w:t>
            </w:r>
          </w:p>
        </w:tc>
        <w:tc>
          <w:tcPr>
            <w:tcW w:type="dxa" w:w="6048"/>
            <w:shd w:fill="F8FAFC"/>
            <w:tcMar>
              <w:top w:w="100" w:type="dxa"/>
              <w:bottom w:w="100" w:type="dxa"/>
              <w:left w:w="140" w:type="dxa"/>
              <w:right w:w="140" w:type="dxa"/>
            </w:tcMar>
          </w:tcPr>
          <w:p>
            <w:pPr>
              <w:spacing w:before="0" w:after="0" w:line="269" w:lineRule="auto"/>
            </w:pPr>
            <w:r>
              <w:rPr>
                <w:rFonts w:ascii="Calibri" w:hAnsi="Calibri"/>
                <w:color w:val="1E293B"/>
                <w:sz w:val="18"/>
              </w:rPr>
              <w:t>An automated Self-RAG verification loop that verifies statement grounding against retrieved statutory text, validates clause existence in the legislative registry, and calculates SHA-256 hashes.</w:t>
            </w:r>
          </w:p>
        </w:tc>
      </w:tr>
      <w:tr>
        <w:tc>
          <w:tcPr>
            <w:tcW w:type="dxa" w:w="3312"/>
            <w:shd w:fill="FFFFFF"/>
            <w:tcMar>
              <w:top w:w="100" w:type="dxa"/>
              <w:bottom w:w="100" w:type="dxa"/>
              <w:left w:w="140" w:type="dxa"/>
              <w:right w:w="140" w:type="dxa"/>
            </w:tcMar>
          </w:tcPr>
          <w:p>
            <w:pPr>
              <w:spacing w:before="0" w:after="0" w:line="269" w:lineRule="auto"/>
            </w:pPr>
            <w:r>
              <w:rPr>
                <w:rFonts w:ascii="Calibri" w:hAnsi="Calibri"/>
                <w:color w:val="1E293B"/>
                <w:sz w:val="18"/>
              </w:rPr>
              <w:t>Layer 7: Automated Legal Dossier &amp; Statutory Form Suite</w:t>
            </w:r>
          </w:p>
        </w:tc>
        <w:tc>
          <w:tcPr>
            <w:tcW w:type="dxa" w:w="6048"/>
            <w:shd w:fill="FFFFFF"/>
            <w:tcMar>
              <w:top w:w="100" w:type="dxa"/>
              <w:bottom w:w="100" w:type="dxa"/>
              <w:left w:w="140" w:type="dxa"/>
              <w:right w:w="140" w:type="dxa"/>
            </w:tcMar>
          </w:tcPr>
          <w:p>
            <w:pPr>
              <w:spacing w:before="0" w:after="0" w:line="269" w:lineRule="auto"/>
            </w:pPr>
            <w:r>
              <w:rPr>
                <w:rFonts w:ascii="Calibri" w:hAnsi="Calibri"/>
                <w:color w:val="1E293B"/>
                <w:sz w:val="18"/>
              </w:rPr>
              <w:t>A document templating and drafting engine that converts AI findings into downloadable, pre-filled statutory forms (IPO Form 1/2, NBA Form 3, Rule 158B Dossier).</w:t>
            </w:r>
          </w:p>
        </w:tc>
      </w:tr>
    </w:tbl>
    <w:p>
      <w:pPr>
        <w:spacing w:after="160"/>
      </w:pPr>
    </w:p>
    <w:p>
      <w:pPr>
        <w:keepNext/>
        <w:spacing w:before="320" w:after="120"/>
      </w:pPr>
      <w:r>
        <w:rPr>
          <w:rFonts w:ascii="Calibri" w:hAnsi="Calibri"/>
          <w:b/>
          <w:color w:val="B45309"/>
          <w:sz w:val="27"/>
        </w:rPr>
        <w:t>4.1 Multi-Agent Mixture of Regulatory Experts (LangGraph Flow)</w:t>
      </w:r>
    </w:p>
    <w:p>
      <w:pPr>
        <w:spacing w:before="0" w:after="120" w:line="276" w:lineRule="auto"/>
      </w:pPr>
      <w:r>
        <w:rPr>
          <w:rFonts w:ascii="Calibri" w:hAnsi="Calibri"/>
          <w:color w:val="1E293B"/>
          <w:sz w:val="21"/>
        </w:rPr>
        <w:t>The core intelligence engine operates as a Directed Acyclic Graph (DAG) state machine. The user query is first parsed by the Domain Router, which decomposes it into regulatory sub-queries. The sub-queries are dispatched simultaneously to the four specialized legal agents. Each agent queries its isolated hierarchical vector corpus and returns statutory findings. The outputs converge at the Conflict Resolver, pass through the Reflector Node, and feed into the Response Synthesizer.</w:t>
      </w:r>
    </w:p>
    <w:p>
      <w:r>
        <w:br w:type="page"/>
      </w:r>
    </w:p>
    <w:p>
      <w:pPr>
        <w:keepNext/>
        <w:spacing w:before="440" w:after="160"/>
        <w:pBdr>
          <w:bottom w:val="single" w:sz="12" w:space="4" w:color="B45309"/>
        </w:pBdr>
      </w:pPr>
      <w:r>
        <w:rPr>
          <w:rFonts w:ascii="Calibri" w:hAnsi="Calibri"/>
          <w:b/>
          <w:color w:val="0F2942"/>
          <w:sz w:val="34"/>
        </w:rPr>
        <w:t>Chapter 5: Detailed Mechanics of the Six Killer Innovations</w:t>
      </w:r>
    </w:p>
    <w:p>
      <w:pPr>
        <w:keepNext/>
        <w:spacing w:before="320" w:after="120"/>
      </w:pPr>
      <w:r>
        <w:rPr>
          <w:rFonts w:ascii="Calibri" w:hAnsi="Calibri"/>
          <w:b/>
          <w:color w:val="B45309"/>
          <w:sz w:val="27"/>
        </w:rPr>
        <w:t>Innovation 1: Atomic Clause-Level Hierarchical Parsing</w:t>
      </w:r>
    </w:p>
    <w:p>
      <w:pPr>
        <w:spacing w:before="0" w:after="120" w:line="276" w:lineRule="auto"/>
      </w:pPr>
      <w:r>
        <w:rPr>
          <w:rFonts w:ascii="Calibri" w:hAnsi="Calibri"/>
          <w:color w:val="1E293B"/>
          <w:sz w:val="21"/>
        </w:rPr>
        <w:t>Traditional chunking methods break legal text into fixed 500-token chunks. In legislation, a single section may have five sub-clauses, two explanations, and three provisos. If a chunk splits between a prohibition and its statutory exception, the AI will provide the exact opposite of the legal truth.</w:t>
      </w:r>
    </w:p>
    <w:p>
      <w:pPr>
        <w:spacing w:before="0" w:after="120" w:line="276" w:lineRule="auto"/>
      </w:pPr>
      <w:r>
        <w:rPr>
          <w:rFonts w:ascii="Calibri" w:hAnsi="Calibri"/>
          <w:color w:val="1E293B"/>
          <w:sz w:val="21"/>
        </w:rPr>
        <w:t>Our Hierarchical Legal Chunking Parser parses acts into an atomic JSON hierarchy:</w:t>
        <w:br/>
        <w:t>{</w:t>
        <w:br/>
        <w:t xml:space="preserve">  "act_name": "The Patents Act, 1970",</w:t>
        <w:br/>
        <w:t xml:space="preserve">  "chapter": "Chapter II: Inventions Not Patentable",</w:t>
        <w:br/>
        <w:t xml:space="preserve">  "section": "Section 3",</w:t>
        <w:br/>
        <w:t xml:space="preserve">  "subsection": "(p)",</w:t>
        <w:br/>
        <w:t xml:space="preserve">  "clause_text": "an invention which in effect, is traditional knowledge...",</w:t>
        <w:br/>
        <w:t xml:space="preserve">  "explanation": "Guidelines for Examination of Ayush Patent Applications, 2019",</w:t>
        <w:br/>
        <w:t xml:space="preserve">  "gazette_ref": "Act No. 39 of 1970 (as amended by Act 15 of 2005)",</w:t>
        <w:br/>
        <w:t xml:space="preserve">  "sha256_hash": "e3b0c44298fc1c149afbf4c8996fb92427ae41e4649b934ca495991b7852b855"</w:t>
        <w:br/>
        <w:t>}</w:t>
        <w:br/>
        <w:t>During vector retrieval, both parent metadata and atomic clause vectors are matched, returning the precise legal node with 100% contextual integrity.</w:t>
      </w:r>
    </w:p>
    <w:p>
      <w:pPr>
        <w:keepNext/>
        <w:spacing w:before="320" w:after="120"/>
      </w:pPr>
      <w:r>
        <w:rPr>
          <w:rFonts w:ascii="Calibri" w:hAnsi="Calibri"/>
          <w:b/>
          <w:color w:val="B45309"/>
          <w:sz w:val="27"/>
        </w:rPr>
        <w:t>Innovation 2: Cross-Regulation Conflict &amp; Ambiguity Detection Engine</w:t>
      </w:r>
    </w:p>
    <w:p>
      <w:pPr>
        <w:spacing w:before="0" w:after="120" w:line="276" w:lineRule="auto"/>
      </w:pPr>
      <w:r>
        <w:rPr>
          <w:rFonts w:ascii="Calibri" w:hAnsi="Calibri"/>
          <w:color w:val="1E293B"/>
          <w:sz w:val="21"/>
        </w:rPr>
        <w:t>The Conflict Detection Engine executes a cross-jurisdictional truth-table evaluation across 4 statutory axes:</w:t>
      </w:r>
    </w:p>
    <w:p>
      <w:pPr>
        <w:pStyle w:val="ListBullet"/>
        <w:spacing w:before="20" w:after="80" w:line="276" w:lineRule="auto"/>
        <w:ind w:left="360"/>
      </w:pPr>
      <w:r>
        <w:rPr>
          <w:rFonts w:ascii="Calibri" w:hAnsi="Calibri"/>
          <w:b/>
          <w:color w:val="1E293B"/>
          <w:sz w:val="21"/>
        </w:rPr>
        <w:t xml:space="preserve">Axis 1 (Patent Law): </w:t>
      </w:r>
      <w:r>
        <w:rPr>
          <w:rFonts w:ascii="Calibri" w:hAnsi="Calibri"/>
          <w:color w:val="1E293B"/>
          <w:sz w:val="21"/>
        </w:rPr>
        <w:t>Does the formulation violate Section 3(p) or 3(e)? If yes, flag IPO_REJECT.</w:t>
      </w:r>
    </w:p>
    <w:p>
      <w:pPr>
        <w:pStyle w:val="ListBullet"/>
        <w:spacing w:before="20" w:after="80" w:line="276" w:lineRule="auto"/>
        <w:ind w:left="360"/>
      </w:pPr>
      <w:r>
        <w:rPr>
          <w:rFonts w:ascii="Calibri" w:hAnsi="Calibri"/>
          <w:b/>
          <w:color w:val="1E293B"/>
          <w:sz w:val="21"/>
        </w:rPr>
        <w:t xml:space="preserve">Axis 2 (Biodiversity Law): </w:t>
      </w:r>
      <w:r>
        <w:rPr>
          <w:rFonts w:ascii="Calibri" w:hAnsi="Calibri"/>
          <w:color w:val="1E293B"/>
          <w:sz w:val="21"/>
        </w:rPr>
        <w:t>Does the formulation utilize Indian biological resources? If yes, flag NBA_MANDATORY_APPROVAL.</w:t>
      </w:r>
    </w:p>
    <w:p>
      <w:pPr>
        <w:pStyle w:val="ListBullet"/>
        <w:spacing w:before="20" w:after="80" w:line="276" w:lineRule="auto"/>
        <w:ind w:left="360"/>
      </w:pPr>
      <w:r>
        <w:rPr>
          <w:rFonts w:ascii="Calibri" w:hAnsi="Calibri"/>
          <w:b/>
          <w:color w:val="1E293B"/>
          <w:sz w:val="21"/>
        </w:rPr>
        <w:t xml:space="preserve">Axis 3 (Drug Licensing): </w:t>
      </w:r>
      <w:r>
        <w:rPr>
          <w:rFonts w:ascii="Calibri" w:hAnsi="Calibri"/>
          <w:color w:val="1E293B"/>
          <w:sz w:val="21"/>
        </w:rPr>
        <w:t>Does it qualify under Rule 158B as Classical or Proprietary? If Classical, textual reference required; if Proprietary, pilot clinical study required.</w:t>
      </w:r>
    </w:p>
    <w:p>
      <w:pPr>
        <w:pStyle w:val="ListBullet"/>
        <w:spacing w:before="20" w:after="80" w:line="276" w:lineRule="auto"/>
        <w:ind w:left="360"/>
      </w:pPr>
      <w:r>
        <w:rPr>
          <w:rFonts w:ascii="Calibri" w:hAnsi="Calibri"/>
          <w:b/>
          <w:color w:val="1E293B"/>
          <w:sz w:val="21"/>
        </w:rPr>
        <w:t xml:space="preserve">Axis 4 (Global Export): </w:t>
      </w:r>
      <w:r>
        <w:rPr>
          <w:rFonts w:ascii="Calibri" w:hAnsi="Calibri"/>
          <w:color w:val="1E293B"/>
          <w:sz w:val="21"/>
        </w:rPr>
        <w:t>Does target market allow botanical claims without pharmaceutical drug registration?</w:t>
      </w:r>
    </w:p>
    <w:p>
      <w:pPr>
        <w:spacing w:before="0" w:after="120" w:line="276" w:lineRule="auto"/>
      </w:pPr>
      <w:r>
        <w:rPr>
          <w:rFonts w:ascii="Calibri" w:hAnsi="Calibri"/>
          <w:color w:val="1E293B"/>
          <w:sz w:val="21"/>
        </w:rPr>
        <w:t>If any axis produces a contradiction with another axis (e.g., Ayush Drug License granted, but Patent filing blocked by Section 3(p)), the engine generates an interactive Conflict Matrix with severity indicators.</w:t>
      </w:r>
    </w:p>
    <w:p>
      <w:pPr>
        <w:keepNext/>
        <w:spacing w:before="320" w:after="120"/>
      </w:pPr>
      <w:r>
        <w:rPr>
          <w:rFonts w:ascii="Calibri" w:hAnsi="Calibri"/>
          <w:b/>
          <w:color w:val="B45309"/>
          <w:sz w:val="27"/>
        </w:rPr>
        <w:t>Innovation 3: Ayush-BioPatent Defensibility Screener &amp; TKDL Analyzer</w:t>
      </w:r>
    </w:p>
    <w:p>
      <w:pPr>
        <w:spacing w:before="0" w:after="120" w:line="276" w:lineRule="auto"/>
      </w:pPr>
      <w:r>
        <w:rPr>
          <w:rFonts w:ascii="Calibri" w:hAnsi="Calibri"/>
          <w:color w:val="1E293B"/>
          <w:sz w:val="21"/>
        </w:rPr>
        <w:t>Innovators enter their formulation ingredients, botanical names, proportions, and extraction methods. The Screener performs:</w:t>
      </w:r>
    </w:p>
    <w:p>
      <w:pPr>
        <w:pStyle w:val="ListBullet"/>
        <w:spacing w:before="20" w:after="80" w:line="276" w:lineRule="auto"/>
        <w:ind w:left="360"/>
      </w:pPr>
      <w:r>
        <w:rPr>
          <w:rFonts w:ascii="Calibri" w:hAnsi="Calibri"/>
          <w:b/>
          <w:color w:val="1E293B"/>
          <w:sz w:val="21"/>
        </w:rPr>
        <w:t xml:space="preserve">1. TKDL Classical Prior-Art Overlap: </w:t>
      </w:r>
      <w:r>
        <w:rPr>
          <w:rFonts w:ascii="Calibri" w:hAnsi="Calibri"/>
          <w:color w:val="1E293B"/>
          <w:sz w:val="21"/>
        </w:rPr>
        <w:t>Scans the Ayurvedic Pharmacopoeia of India and classical treatises to identify if ingredients or combinations have documented prior art.</w:t>
      </w:r>
    </w:p>
    <w:p>
      <w:pPr>
        <w:pStyle w:val="ListBullet"/>
        <w:spacing w:before="20" w:after="80" w:line="276" w:lineRule="auto"/>
        <w:ind w:left="360"/>
      </w:pPr>
      <w:r>
        <w:rPr>
          <w:rFonts w:ascii="Calibri" w:hAnsi="Calibri"/>
          <w:b/>
          <w:color w:val="1E293B"/>
          <w:sz w:val="21"/>
        </w:rPr>
        <w:t xml:space="preserve">2. Synergism &amp; Admixture Risk: </w:t>
      </w:r>
      <w:r>
        <w:rPr>
          <w:rFonts w:ascii="Calibri" w:hAnsi="Calibri"/>
          <w:color w:val="1E293B"/>
          <w:sz w:val="21"/>
        </w:rPr>
        <w:t>Calculates risk under Section 3(e) (admixture). If the ingredients produce an additive effect, score is LOW. If the innovator has synergy data (CI &lt; 0.8), score jumps to HIGH.</w:t>
      </w:r>
    </w:p>
    <w:p>
      <w:pPr>
        <w:pStyle w:val="ListBullet"/>
        <w:spacing w:before="20" w:after="80" w:line="276" w:lineRule="auto"/>
        <w:ind w:left="360"/>
      </w:pPr>
      <w:r>
        <w:rPr>
          <w:rFonts w:ascii="Calibri" w:hAnsi="Calibri"/>
          <w:b/>
          <w:color w:val="1E293B"/>
          <w:sz w:val="21"/>
        </w:rPr>
        <w:t xml:space="preserve">3. Patentable Claim Workaround Engine: </w:t>
      </w:r>
      <w:r>
        <w:rPr>
          <w:rFonts w:ascii="Calibri" w:hAnsi="Calibri"/>
          <w:color w:val="1E293B"/>
          <w:sz w:val="21"/>
        </w:rPr>
        <w:t>If crude powder is non-patentable, the system recommends patentable claims: standardized bioactive fraction, novel extraction technique (e.g., supercritical CO2), or targeted nanoparticle delivery.</w:t>
      </w:r>
    </w:p>
    <w:p>
      <w:pPr>
        <w:keepNext/>
        <w:spacing w:before="320" w:after="120"/>
      </w:pPr>
      <w:r>
        <w:rPr>
          <w:rFonts w:ascii="Calibri" w:hAnsi="Calibri"/>
          <w:b/>
          <w:color w:val="B45309"/>
          <w:sz w:val="27"/>
        </w:rPr>
        <w:t>Innovation 4: Tri-Anchor Zero-Hallucination Reflector Node</w:t>
      </w:r>
    </w:p>
    <w:p>
      <w:pPr>
        <w:spacing w:before="0" w:after="120" w:line="276" w:lineRule="auto"/>
      </w:pPr>
      <w:r>
        <w:rPr>
          <w:rFonts w:ascii="Calibri" w:hAnsi="Calibri"/>
          <w:color w:val="1E293B"/>
          <w:sz w:val="21"/>
        </w:rPr>
        <w:t>The Reflector Node operates prior to UI rendering. It subjects every candidate answer to three deterministic checks:</w:t>
      </w:r>
    </w:p>
    <w:p>
      <w:pPr>
        <w:pStyle w:val="ListBullet"/>
        <w:spacing w:before="20" w:after="80" w:line="276" w:lineRule="auto"/>
        <w:ind w:left="360"/>
      </w:pPr>
      <w:r>
        <w:rPr>
          <w:rFonts w:ascii="Calibri" w:hAnsi="Calibri"/>
          <w:b/>
          <w:color w:val="1E293B"/>
          <w:sz w:val="21"/>
        </w:rPr>
        <w:t xml:space="preserve">Anchor 1 (Context Faithfulness): </w:t>
      </w:r>
      <w:r>
        <w:rPr>
          <w:rFonts w:ascii="Calibri" w:hAnsi="Calibri"/>
          <w:color w:val="1E293B"/>
          <w:sz w:val="21"/>
        </w:rPr>
        <w:t>Every sentence must map to a statutory chunk in the retrieval context with a cosine similarity &gt; 0.85. Sentences that fail grounding are pruned.</w:t>
      </w:r>
    </w:p>
    <w:p>
      <w:pPr>
        <w:pStyle w:val="ListBullet"/>
        <w:spacing w:before="20" w:after="80" w:line="276" w:lineRule="auto"/>
        <w:ind w:left="360"/>
      </w:pPr>
      <w:r>
        <w:rPr>
          <w:rFonts w:ascii="Calibri" w:hAnsi="Calibri"/>
          <w:b/>
          <w:color w:val="1E293B"/>
          <w:sz w:val="21"/>
        </w:rPr>
        <w:t xml:space="preserve">Anchor 2 (Statutory Entity Verification): </w:t>
      </w:r>
      <w:r>
        <w:rPr>
          <w:rFonts w:ascii="Calibri" w:hAnsi="Calibri"/>
          <w:color w:val="1E293B"/>
          <w:sz w:val="21"/>
        </w:rPr>
        <w:t>Cited section numbers and act titles are cross-referenced against a master legislative database. Hallucinated sections (e.g., 'Section 4(q)') trigger instant regeneration.</w:t>
      </w:r>
    </w:p>
    <w:p>
      <w:pPr>
        <w:pStyle w:val="ListBullet"/>
        <w:spacing w:before="20" w:after="80" w:line="276" w:lineRule="auto"/>
        <w:ind w:left="360"/>
      </w:pPr>
      <w:r>
        <w:rPr>
          <w:rFonts w:ascii="Calibri" w:hAnsi="Calibri"/>
          <w:b/>
          <w:color w:val="1E293B"/>
          <w:sz w:val="21"/>
        </w:rPr>
        <w:t xml:space="preserve">Anchor 3 (Strict OOD Fallback): </w:t>
      </w:r>
      <w:r>
        <w:rPr>
          <w:rFonts w:ascii="Calibri" w:hAnsi="Calibri"/>
          <w:color w:val="1E293B"/>
          <w:sz w:val="21"/>
        </w:rPr>
        <w:t>If the retrieval engine finds no relevant legal clause for an obscure question, the system strictly outputs: 'Grounding Fallback: No authoritative statutory clause or circular found in active database.'</w:t>
      </w:r>
    </w:p>
    <w:p>
      <w:pPr>
        <w:keepNext/>
        <w:spacing w:before="320" w:after="120"/>
      </w:pPr>
      <w:r>
        <w:rPr>
          <w:rFonts w:ascii="Calibri" w:hAnsi="Calibri"/>
          <w:b/>
          <w:color w:val="B45309"/>
          <w:sz w:val="27"/>
        </w:rPr>
        <w:t>Innovation 5: Automated Statutory Legal Dossier &amp; Form Drafting</w:t>
      </w:r>
    </w:p>
    <w:p>
      <w:pPr>
        <w:spacing w:before="0" w:after="120" w:line="276" w:lineRule="auto"/>
      </w:pPr>
      <w:r>
        <w:rPr>
          <w:rFonts w:ascii="Calibri" w:hAnsi="Calibri"/>
          <w:color w:val="1E293B"/>
          <w:sz w:val="21"/>
        </w:rPr>
        <w:t>With one click, the system auto-populates official Government of India forms:</w:t>
      </w:r>
    </w:p>
    <w:p>
      <w:pPr>
        <w:pStyle w:val="ListBullet"/>
        <w:spacing w:before="20" w:after="80" w:line="276" w:lineRule="auto"/>
        <w:ind w:left="360"/>
      </w:pPr>
      <w:r>
        <w:rPr>
          <w:rFonts w:ascii="Calibri" w:hAnsi="Calibri"/>
          <w:b/>
          <w:color w:val="1E293B"/>
          <w:sz w:val="21"/>
        </w:rPr>
        <w:t xml:space="preserve">IPO Patent Form 1 &amp; Form 2: </w:t>
      </w:r>
      <w:r>
        <w:rPr>
          <w:rFonts w:ascii="Calibri" w:hAnsi="Calibri"/>
          <w:color w:val="1E293B"/>
          <w:sz w:val="21"/>
        </w:rPr>
        <w:t>Generates provisional/complete specification drafts with claims tailored to survive Section 3(p)/3(e) scrutiny.</w:t>
      </w:r>
    </w:p>
    <w:p>
      <w:pPr>
        <w:pStyle w:val="ListBullet"/>
        <w:spacing w:before="20" w:after="80" w:line="276" w:lineRule="auto"/>
        <w:ind w:left="360"/>
      </w:pPr>
      <w:r>
        <w:rPr>
          <w:rFonts w:ascii="Calibri" w:hAnsi="Calibri"/>
          <w:b/>
          <w:color w:val="1E293B"/>
          <w:sz w:val="21"/>
        </w:rPr>
        <w:t xml:space="preserve">NBA Form 3 (IP Clearance): </w:t>
      </w:r>
      <w:r>
        <w:rPr>
          <w:rFonts w:ascii="Calibri" w:hAnsi="Calibri"/>
          <w:color w:val="1E293B"/>
          <w:sz w:val="21"/>
        </w:rPr>
        <w:t>Pre-populates application for seeking approval of the National Biodiversity Authority for IPR.</w:t>
      </w:r>
    </w:p>
    <w:p>
      <w:pPr>
        <w:pStyle w:val="ListBullet"/>
        <w:spacing w:before="20" w:after="80" w:line="276" w:lineRule="auto"/>
        <w:ind w:left="360"/>
      </w:pPr>
      <w:r>
        <w:rPr>
          <w:rFonts w:ascii="Calibri" w:hAnsi="Calibri"/>
          <w:b/>
          <w:color w:val="1E293B"/>
          <w:sz w:val="21"/>
        </w:rPr>
        <w:t xml:space="preserve">Rule 158-B Compliance Checklist: </w:t>
      </w:r>
      <w:r>
        <w:rPr>
          <w:rFonts w:ascii="Calibri" w:hAnsi="Calibri"/>
          <w:color w:val="1E293B"/>
          <w:sz w:val="21"/>
        </w:rPr>
        <w:t>Generates compliance dossier for State Licensing Authorities detailing safety, stability, and classical text citations.</w:t>
      </w:r>
    </w:p>
    <w:p>
      <w:pPr>
        <w:keepNext/>
        <w:spacing w:before="320" w:after="120"/>
      </w:pPr>
      <w:r>
        <w:rPr>
          <w:rFonts w:ascii="Calibri" w:hAnsi="Calibri"/>
          <w:b/>
          <w:color w:val="B45309"/>
          <w:sz w:val="27"/>
        </w:rPr>
        <w:t>Innovation 6: Live Gazette Sentinel &amp; Dynamic Temporal Crawler</w:t>
      </w:r>
    </w:p>
    <w:p>
      <w:pPr>
        <w:spacing w:before="0" w:after="120" w:line="276" w:lineRule="auto"/>
      </w:pPr>
      <w:r>
        <w:rPr>
          <w:rFonts w:ascii="Calibri" w:hAnsi="Calibri"/>
          <w:color w:val="1E293B"/>
          <w:sz w:val="21"/>
        </w:rPr>
        <w:t>A background micro-agent monitors official government portals (ayush.gov.in, ipindia.gov.in, e-gazette) on a periodic schedule. When a new circular or amendment is published (e.g., Jan Vishwas Act amendments), the sentinel downloads the gazette, parses it into hierarchical clause nodes, computes SHA-256 integrity hashes, and updates the vector database in real-time.</w:t>
      </w:r>
    </w:p>
    <w:p>
      <w:pPr>
        <w:keepNext/>
        <w:spacing w:before="440" w:after="160"/>
        <w:pBdr>
          <w:bottom w:val="single" w:sz="12" w:space="4" w:color="B45309"/>
        </w:pBdr>
      </w:pPr>
      <w:r>
        <w:rPr>
          <w:rFonts w:ascii="Calibri" w:hAnsi="Calibri"/>
          <w:b/>
          <w:color w:val="0F2942"/>
          <w:sz w:val="34"/>
        </w:rPr>
        <w:t>Chapter 5A: Detailed Implementation of the 12 Core Technical Specifications</w:t>
      </w:r>
    </w:p>
    <w:p>
      <w:pPr>
        <w:spacing w:before="0" w:after="120" w:line="276" w:lineRule="auto"/>
      </w:pPr>
      <w:r>
        <w:rPr>
          <w:rFonts w:ascii="Calibri" w:hAnsi="Calibri"/>
          <w:color w:val="1E293B"/>
          <w:sz w:val="21"/>
        </w:rPr>
        <w:t>To establish unequivocal competitive superiority during hackathon evaluation, IP-SAKTI Sahayak incorporates every single technical specification ideated for Problem Statement SIH26045. Below is the granular architectural verification of each of the 12 core technical aspects:</w:t>
      </w:r>
    </w:p>
    <w:p>
      <w:pPr>
        <w:keepNext/>
        <w:spacing w:before="320" w:after="120"/>
      </w:pPr>
      <w:r>
        <w:rPr>
          <w:rFonts w:ascii="Calibri" w:hAnsi="Calibri"/>
          <w:b/>
          <w:color w:val="B45309"/>
          <w:sz w:val="27"/>
        </w:rPr>
        <w:t>Aspect 1: Clause-Level Hierarchical Retrieval (Granular Legal Tree)</w:t>
      </w:r>
    </w:p>
    <w:p>
      <w:pPr>
        <w:spacing w:before="0" w:after="120" w:line="276" w:lineRule="auto"/>
      </w:pPr>
      <w:r>
        <w:rPr>
          <w:rFonts w:ascii="Calibri" w:hAnsi="Calibri"/>
          <w:color w:val="1E293B"/>
          <w:sz w:val="21"/>
        </w:rPr>
        <w:t>Most standard RAG architectures retrieve entire 300-page PDF documents, overloading the context window with extraneous text. IP-SAKTI Sahayak implements a custom recursive legal parser that traverses statutory texts as an inverted tree:</w:t>
        <w:br/>
        <w:br/>
        <w:t>Patent Act (1970)</w:t>
        <w:br/>
        <w:t xml:space="preserve">  └── Section 3 ("What are not inventions")</w:t>
        <w:br/>
        <w:t xml:space="preserve">        └── Subsection (p) (Traditional Knowledge)</w:t>
        <w:br/>
        <w:t xml:space="preserve">              └── Clause ("an invention which in effect, is traditional knowledge...")</w:t>
        <w:br/>
        <w:t xml:space="preserve">                    └── Explanation (Ayush Patent Guidelines, 2019)</w:t>
        <w:br/>
        <w:t xml:space="preserve">                          └── TKDL Reference (Prior-Art Disclosure Database)</w:t>
        <w:br/>
        <w:t xml:space="preserve">                                └── Relevant Judicial Precedent (e.g., Turmeric / Neem patent revocations)</w:t>
        <w:br/>
        <w:br/>
        <w:t>Example User Query: "Can an Ayurvedic formulation be patented?"</w:t>
        <w:br/>
        <w:t>Instead of dumping the entire Patent Act, the engine retrieves Section 3(p) → Traditional Knowledge definition → Relevant Explanation → TKDL cross-reference → Landmark case ruling in under 240 milliseconds.</w:t>
      </w:r>
    </w:p>
    <w:p>
      <w:pPr>
        <w:keepNext/>
        <w:spacing w:before="320" w:after="120"/>
      </w:pPr>
      <w:r>
        <w:rPr>
          <w:rFonts w:ascii="Calibri" w:hAnsi="Calibri"/>
          <w:b/>
          <w:color w:val="B45309"/>
          <w:sz w:val="27"/>
        </w:rPr>
        <w:t>Aspect 2: Cross-Regulation Reasoning Across 9 Regulatory Bodies</w:t>
      </w:r>
    </w:p>
    <w:p>
      <w:pPr>
        <w:spacing w:before="0" w:after="120" w:line="276" w:lineRule="auto"/>
      </w:pPr>
      <w:r>
        <w:rPr>
          <w:rFonts w:ascii="Calibri" w:hAnsi="Calibri"/>
          <w:color w:val="1E293B"/>
          <w:sz w:val="21"/>
        </w:rPr>
        <w:t>While generic AI tools answer from a single isolated source, IP-SAKTI Sahayak executes simultaneous cross-regulatory evaluation across nine distinct statutory bodies for a single query:</w:t>
        <w:br/>
        <w:t>1. AYUSH Guidelines (Standard manufacturing and clinical guidelines)</w:t>
        <w:br/>
        <w:t>2. CDSCO (Central Drugs Standard Control Organisation norms)</w:t>
        <w:br/>
        <w:t>3. Indian Patent Office (IPO - Patents Act 1970, §3p, §3e)</w:t>
        <w:br/>
        <w:t>4. Trademark Registry (Trade Marks Act 1999 - Ayush brand name protectability)</w:t>
        <w:br/>
        <w:t>5. WIPO (World Intellectual Property Organization - PCT International filing route)</w:t>
        <w:br/>
        <w:t>6. European Medicines Agency (EMA - Traditional Herbal Medicinal Products Directive 2004/24/EC)</w:t>
        <w:br/>
        <w:t>7. European Patent Office (EPO - EPC Article 52/53 traditional medicine guidelines)</w:t>
        <w:br/>
        <w:t>8. Geographical Indications (GI) Registry (Protection of regional herb origins like Darjeeling tea, Erode turmeric)</w:t>
        <w:br/>
        <w:t>9. Biological Diversity Act &amp; NBA (Access and Benefit Sharing ABS &amp; Section 6 prior approval)</w:t>
        <w:br/>
        <w:br/>
        <w:t>Example User Query: "I want to export an Ayurvedic medicine to Europe."</w:t>
        <w:br/>
        <w:t>The system simultaneously queries all 9 authorities and synthesizes an integrated, multi-jurisdictional compliance roadmap.</w:t>
      </w:r>
    </w:p>
    <w:p>
      <w:pPr>
        <w:keepNext/>
        <w:spacing w:before="320" w:after="120"/>
      </w:pPr>
      <w:r>
        <w:rPr>
          <w:rFonts w:ascii="Calibri" w:hAnsi="Calibri"/>
          <w:b/>
          <w:color w:val="B45309"/>
          <w:sz w:val="27"/>
        </w:rPr>
        <w:t>Aspect 3: Regulation Conflict &amp; Ambiguity Detection Engine</w:t>
      </w:r>
    </w:p>
    <w:p>
      <w:pPr>
        <w:spacing w:before="0" w:after="120" w:line="276" w:lineRule="auto"/>
      </w:pPr>
      <w:r>
        <w:rPr>
          <w:rFonts w:ascii="Calibri" w:hAnsi="Calibri"/>
          <w:color w:val="1E293B"/>
          <w:sz w:val="21"/>
        </w:rPr>
        <w:t>When different laws give opposing directives, generic chatbots smooth over the contradiction. IP-SAKTI Sahayak actively detects and highlights statutory conflicts:</w:t>
      </w:r>
    </w:p>
    <w:tbl>
      <w:tblPr>
        <w:tblW w:type="auto" w:w="0"/>
        <w:jc w:val="center"/>
        <w:tblLayout w:type="fixed"/>
        <w:tblLook w:firstColumn="1" w:firstRow="1" w:lastColumn="0" w:lastRow="0" w:noHBand="0" w:noVBand="1" w:val="04A0"/>
      </w:tblPr>
      <w:tblGrid>
        <w:gridCol w:w="9360"/>
      </w:tblGrid>
      <w:tr>
        <w:tc>
          <w:tcPr>
            <w:tcW w:type="dxa" w:w="9360"/>
            <w:shd w:fill="FEF2F2"/>
            <w:tcMar>
              <w:top w:w="160" w:type="dxa"/>
              <w:bottom w:w="160" w:type="dxa"/>
              <w:left w:w="220" w:type="dxa"/>
              <w:right w:w="220" w:type="dxa"/>
            </w:tcMar>
            <w:tcBorders>
              <w:top w:val="none"/>
              <w:left w:val="single" w:sz="36" w:space="0" w:color="DC2626"/>
              <w:bottom w:val="none"/>
              <w:right w:val="none"/>
            </w:tcBorders>
          </w:tcPr>
          <w:p>
            <w:pPr>
              <w:spacing w:before="0" w:after="60"/>
            </w:pPr>
            <w:r>
              <w:rPr>
                <w:rFonts w:ascii="Calibri" w:hAnsi="Calibri"/>
                <w:b/>
                <w:color w:val="991B1B"/>
                <w:sz w:val="21"/>
              </w:rPr>
              <w:t>✦ EXPLICIT REGULATORY CONFLICT DETECTION IN ACTION</w:t>
              <w:br/>
            </w:r>
            <w:r>
              <w:rPr>
                <w:rFonts w:ascii="Calibri" w:hAnsi="Calibri"/>
                <w:i/>
                <w:color w:val="1E293B"/>
                <w:sz w:val="20"/>
              </w:rPr>
              <w:t>Scenario: User seeks to commercialize a novel herbal formulation.</w:t>
              <w:br/>
              <w:t>• AYUSH Licensing Authority says: "ALLOWED ✓" (Product qualifies as Patent or Proprietary Ayush Medicine under D&amp;C Rule 158-B).</w:t>
              <w:br/>
              <w:t>• Indian Patent Office says: "NOT PATENTABLE ✗" (Formulation consists of known herbs, blocked by Section 3(p) &amp; 3(e)).</w:t>
              <w:br/>
              <w:t>• System Alert: "⚠️ STATUTORY CONFLICT DETECTED: Manufacturing license permitted under state drug law, but product cannot be patented as a composition of matter under Indian patent law. Strategy: File manufacturing license while protecting IP via trade secret or novel extraction process patent."</w:t>
            </w:r>
          </w:p>
        </w:tc>
      </w:tr>
    </w:tbl>
    <w:p>
      <w:pPr>
        <w:spacing w:after="120"/>
      </w:pPr>
    </w:p>
    <w:p>
      <w:pPr>
        <w:keepNext/>
        <w:spacing w:before="320" w:after="120"/>
      </w:pPr>
      <w:r>
        <w:rPr>
          <w:rFonts w:ascii="Calibri" w:hAnsi="Calibri"/>
          <w:b/>
          <w:color w:val="B45309"/>
          <w:sz w:val="27"/>
        </w:rPr>
        <w:t>Aspect 4: Reflection Node for Total Hallucination Elimination</w:t>
      </w:r>
    </w:p>
    <w:p>
      <w:pPr>
        <w:spacing w:before="0" w:after="120" w:line="276" w:lineRule="auto"/>
      </w:pPr>
      <w:r>
        <w:rPr>
          <w:rFonts w:ascii="Calibri" w:hAnsi="Calibri"/>
          <w:color w:val="1E293B"/>
          <w:sz w:val="21"/>
        </w:rPr>
        <w:t>To guarantee zero hallucination, the generation pipeline terminates in an automated LangGraph Reflection Node. The candidate legal answer is compared against the retrieved statutory chunks. The node verifies:</w:t>
        <w:br/>
        <w:t>• Claim Faithfulness: Does every sentence have an exact clause supporting it?</w:t>
        <w:br/>
        <w:t>• Statute Integrity: Does the cited Act Number, Section, and Year exist in the active Indian Code?</w:t>
        <w:br/>
        <w:t>• Hallucinated claims are pruned, and if verification fails twice, the answer is rewritten strictly within grounded evidence bounds.</w:t>
      </w:r>
    </w:p>
    <w:p>
      <w:pPr>
        <w:keepNext/>
        <w:spacing w:before="320" w:after="120"/>
      </w:pPr>
      <w:r>
        <w:rPr>
          <w:rFonts w:ascii="Calibri" w:hAnsi="Calibri"/>
          <w:b/>
          <w:color w:val="B45309"/>
          <w:sz w:val="27"/>
        </w:rPr>
        <w:t>Aspect 5: Live Web Search &amp; Dynamic Portal Scraping</w:t>
      </w:r>
    </w:p>
    <w:p>
      <w:pPr>
        <w:spacing w:before="0" w:after="120" w:line="276" w:lineRule="auto"/>
      </w:pPr>
      <w:r>
        <w:rPr>
          <w:rFonts w:ascii="Calibri" w:hAnsi="Calibri"/>
          <w:color w:val="1E293B"/>
          <w:sz w:val="21"/>
        </w:rPr>
        <w:t>The system includes a live dynamic crawler that triggers web searches based on query intent:</w:t>
        <w:br/>
        <w:t>• State Ayush Portals: Directly hits state-specific Ayush portals (e.g., UP Ayush, Kerala State Ayush, Gujarat e-Aushadhi) to fetch localized licensing circulars.</w:t>
        <w:br/>
        <w:t>• Universal Ministry Portal: Scrapes real-time notifications from ayush.gov.in and cdsco.gov.in.</w:t>
        <w:br/>
        <w:t>• Wikipedia &amp; External Knowledge: Cross-verifies general botanical taxonomies, vernacular common names, and historical usage documentation.</w:t>
      </w:r>
    </w:p>
    <w:p>
      <w:pPr>
        <w:keepNext/>
        <w:spacing w:before="320" w:after="120"/>
      </w:pPr>
      <w:r>
        <w:rPr>
          <w:rFonts w:ascii="Calibri" w:hAnsi="Calibri"/>
          <w:b/>
          <w:color w:val="B45309"/>
          <w:sz w:val="27"/>
        </w:rPr>
        <w:t>Aspect 6: Domain Splitting According to Ministry of Ayush Verticals</w:t>
      </w:r>
    </w:p>
    <w:p>
      <w:pPr>
        <w:spacing w:before="0" w:after="120" w:line="276" w:lineRule="auto"/>
      </w:pPr>
      <w:r>
        <w:rPr>
          <w:rFonts w:ascii="Calibri" w:hAnsi="Calibri"/>
          <w:color w:val="1E293B"/>
          <w:sz w:val="21"/>
        </w:rPr>
        <w:t>Queries are classified and partitioned according to the 6 official domains of the Ministry of Ayush:</w:t>
        <w:br/>
        <w:t>1. Ayurveda (Charaka, Sushruta, Astanga Hridaya, Ayurvedic Pharmacopoeia of India)</w:t>
        <w:br/>
        <w:t>2. Yoga &amp; Naturopathy (Naturopathy protocols, Yoga wellness standards, trademark/copyright of sequences)</w:t>
        <w:br/>
        <w:t>3. Unani (Al-Qanun fi al-Tibb, Unani Pharmacopoeia of India, classical Hakimi formulations)</w:t>
        <w:br/>
        <w:t>4. Siddha (Siddha Pharmacopoeia of India, Agathiyar treatises, classical Tamil formulations)</w:t>
        <w:br/>
        <w:t>5. Sowa-Rigpa (Traditional Himalayan Tibetan medicine system, Gyushi texts)</w:t>
        <w:br/>
        <w:t>6. Homoeopathy (Homoeopathic Pharmacopoeia of India HPI, Organon of Medicine)</w:t>
        <w:br/>
        <w:t>Responses tailor statutory requirements based on the specific system's pharmacopoeial standards.</w:t>
      </w:r>
    </w:p>
    <w:p>
      <w:pPr>
        <w:keepNext/>
        <w:spacing w:before="320" w:after="120"/>
      </w:pPr>
      <w:r>
        <w:rPr>
          <w:rFonts w:ascii="Calibri" w:hAnsi="Calibri"/>
          <w:b/>
          <w:color w:val="B45309"/>
          <w:sz w:val="27"/>
        </w:rPr>
        <w:t>Aspect 7: Universal Integration of Every State Ayush Portal</w:t>
      </w:r>
    </w:p>
    <w:p>
      <w:pPr>
        <w:spacing w:before="0" w:after="120" w:line="276" w:lineRule="auto"/>
      </w:pPr>
      <w:r>
        <w:rPr>
          <w:rFonts w:ascii="Calibri" w:hAnsi="Calibri"/>
          <w:color w:val="1E293B"/>
          <w:sz w:val="21"/>
        </w:rPr>
        <w:t>Drug manufacturing licenses in India are administered at the state level by State Ayush Licensing Authorities (SALA). IP-SAKTI Sahayak bridges the gap between central guidelines and state execution by indexing:</w:t>
        <w:br/>
        <w:t>• State-specific licensing portals (e.g., e-Aushadhi)</w:t>
        <w:br/>
        <w:t>• State Drug Testing Laboratory (SDTL) submission requirements</w:t>
        <w:br/>
        <w:t>• State Biodiversity Board (SBB) intimation requirements under Section 7 of the Biological Diversity Act</w:t>
      </w:r>
    </w:p>
    <w:p>
      <w:pPr>
        <w:keepNext/>
        <w:spacing w:before="320" w:after="120"/>
      </w:pPr>
      <w:r>
        <w:rPr>
          <w:rFonts w:ascii="Calibri" w:hAnsi="Calibri"/>
          <w:b/>
          <w:color w:val="B45309"/>
          <w:sz w:val="27"/>
        </w:rPr>
        <w:t>Aspect 8: International Multi-Portal Live Verification</w:t>
      </w:r>
    </w:p>
    <w:p>
      <w:pPr>
        <w:spacing w:before="0" w:after="120" w:line="276" w:lineRule="auto"/>
      </w:pPr>
      <w:r>
        <w:rPr>
          <w:rFonts w:ascii="Calibri" w:hAnsi="Calibri"/>
          <w:color w:val="1E293B"/>
          <w:sz w:val="21"/>
        </w:rPr>
        <w:t>For international queries, the assistant cross-verifies legal provisions across the five global patent and health authorities:</w:t>
        <w:br/>
        <w:t>• IP India (Controller General of Patents, Designs and Trade Marks)</w:t>
        <w:br/>
        <w:t>• Ministry of Ayush (Official pharmacopoeias and circulars)</w:t>
        <w:br/>
        <w:t>• WIPO (PATENTSCOPE, Traditional Knowledge Division, PCT Gazette)</w:t>
        <w:br/>
        <w:t>• USPTO (35 U.S.C. §101 / §102 Prior Art Rejections)</w:t>
        <w:br/>
        <w:t>• EPO (European Patent Office Espacenet and Board of Appeal Decisions on Herbal Inventions)</w:t>
      </w:r>
    </w:p>
    <w:p>
      <w:pPr>
        <w:keepNext/>
        <w:spacing w:before="320" w:after="120"/>
      </w:pPr>
      <w:r>
        <w:rPr>
          <w:rFonts w:ascii="Calibri" w:hAnsi="Calibri"/>
          <w:b/>
          <w:color w:val="B45309"/>
          <w:sz w:val="27"/>
        </w:rPr>
        <w:t>Aspect 9: Complete Node Traceability (Source, Date, Clause, SHA-256)</w:t>
      </w:r>
    </w:p>
    <w:p>
      <w:pPr>
        <w:spacing w:before="0" w:after="120" w:line="276" w:lineRule="auto"/>
      </w:pPr>
      <w:r>
        <w:rPr>
          <w:rFonts w:ascii="Calibri" w:hAnsi="Calibri"/>
          <w:color w:val="1E293B"/>
          <w:sz w:val="21"/>
        </w:rPr>
        <w:t>Every single output node in the user interface displays full legal provenance:</w:t>
        <w:br/>
        <w:t>• Source Authority: (e.g., Ministry of Ayush Gazette / IPO Examination Guidelines)</w:t>
        <w:br/>
        <w:t>• Enforcement Date: Exact date of notification or amendment</w:t>
        <w:br/>
        <w:t>• Statutory Reference: Chapter, Section, Subsection, and Clause number</w:t>
        <w:br/>
        <w:t>• Cryptographic Lineage: SHA-256 hash of the authoritative government PDF document to guarantee legal chain of custody.</w:t>
      </w:r>
    </w:p>
    <w:p>
      <w:pPr>
        <w:keepNext/>
        <w:spacing w:before="320" w:after="120"/>
      </w:pPr>
      <w:r>
        <w:rPr>
          <w:rFonts w:ascii="Calibri" w:hAnsi="Calibri"/>
          <w:b/>
          <w:color w:val="B45309"/>
          <w:sz w:val="27"/>
        </w:rPr>
        <w:t>Aspect 10: Dedicated IP &amp; Statutory Document Generation Suite &amp; Assist Plus Workspace</w:t>
      </w:r>
    </w:p>
    <w:p>
      <w:pPr>
        <w:spacing w:before="0" w:after="120" w:line="276" w:lineRule="auto"/>
      </w:pPr>
      <w:r>
        <w:rPr>
          <w:rFonts w:ascii="Calibri" w:hAnsi="Calibri"/>
          <w:color w:val="1E293B"/>
          <w:sz w:val="21"/>
        </w:rPr>
        <w:t>The application includes an executive 'Assist Plus Workspace' and document drafting suite capable of generating ready-to-file legal drafts:</w:t>
        <w:br/>
        <w:t>• Patent Form 1: Application for Grant of Patent</w:t>
        <w:br/>
        <w:t>• Patent Form 2: Provisional / Complete Specification (with non-3p claim syntax)</w:t>
        <w:br/>
        <w:t>• NBA Form 3: Application for Approval of the National Biodiversity Authority for IPR</w:t>
        <w:br/>
        <w:t>• Form 158-B Compliance Dossier: State Ayush Licensing checklist for classical and proprietary medicines</w:t>
        <w:br/>
        <w:t>• Patient &amp; Innovator Legal Disclosures: Voluntary informed consent and benefit-sharing declarations.</w:t>
        <w:br/>
        <w:t>• Assist Plus 6-Stage Milestone Roadmap: Dynamic statutory milestone tracking and verified Ministry of Ayush mentorship advisory.</w:t>
      </w:r>
    </w:p>
    <w:p>
      <w:pPr>
        <w:keepNext/>
        <w:spacing w:before="320" w:after="120"/>
      </w:pPr>
      <w:r>
        <w:rPr>
          <w:rFonts w:ascii="Calibri" w:hAnsi="Calibri"/>
          <w:b/>
          <w:color w:val="B45309"/>
          <w:sz w:val="27"/>
        </w:rPr>
        <w:t>Aspect 11: Integrated IP Scanner &amp; TKDL Prior Art Analyzer</w:t>
      </w:r>
    </w:p>
    <w:p>
      <w:pPr>
        <w:spacing w:before="0" w:after="120" w:line="276" w:lineRule="auto"/>
      </w:pPr>
      <w:r>
        <w:rPr>
          <w:rFonts w:ascii="Calibri" w:hAnsi="Calibri"/>
          <w:color w:val="1E293B"/>
          <w:sz w:val="21"/>
        </w:rPr>
        <w:t>Innovators can paste or upload formulation ingredients. The IP Scanner executes:</w:t>
        <w:br/>
        <w:t>• Formulation Deconstruction: Breaks formula into classical herb constituents.</w:t>
        <w:br/>
        <w:t>• Prior-Art Similarity Index: Scans against TKDL classical references and published patent databases.</w:t>
        <w:br/>
        <w:t>• Admixture Risk Index: Warns if the combination lacks synergy evidence under Section 3(e).</w:t>
      </w:r>
    </w:p>
    <w:p>
      <w:pPr>
        <w:keepNext/>
        <w:spacing w:before="320" w:after="120"/>
      </w:pPr>
      <w:r>
        <w:rPr>
          <w:rFonts w:ascii="Calibri" w:hAnsi="Calibri"/>
          <w:b/>
          <w:color w:val="B45309"/>
          <w:sz w:val="27"/>
        </w:rPr>
        <w:t>Aspect 12: Deterministic Grounding Fallback ("Answer Not Found")</w:t>
      </w:r>
    </w:p>
    <w:p>
      <w:pPr>
        <w:spacing w:before="0" w:after="120" w:line="276" w:lineRule="auto"/>
      </w:pPr>
      <w:r>
        <w:rPr>
          <w:rFonts w:ascii="Calibri" w:hAnsi="Calibri"/>
          <w:color w:val="1E293B"/>
          <w:sz w:val="21"/>
        </w:rPr>
        <w:t>Unlike generic LLMs that guess when uncertain, IP-SAKTI Sahayak has a strict deterministic guardrail:</w:t>
        <w:br/>
        <w:t>If a query seeks statutory guidance on an unlegislated topic or if no authoritative gazette clause exists in the verified database, the assistant explicitly displays:</w:t>
        <w:br/>
        <w:t>"⚠️ Grounding Fallback: No authoritative statutory clause or circular found in active government records for this specific query."</w:t>
        <w:br/>
        <w:t>This completely eliminates speculative advice and protects innovators from false legal reliance.</w:t>
      </w:r>
    </w:p>
    <w:p>
      <w:r>
        <w:br w:type="page"/>
      </w:r>
    </w:p>
    <w:p>
      <w:pPr>
        <w:keepNext/>
        <w:spacing w:before="440" w:after="160"/>
        <w:pBdr>
          <w:bottom w:val="single" w:sz="12" w:space="4" w:color="B45309"/>
        </w:pBdr>
      </w:pPr>
      <w:r>
        <w:rPr>
          <w:rFonts w:ascii="Calibri" w:hAnsi="Calibri"/>
          <w:b/>
          <w:color w:val="0F2942"/>
          <w:sz w:val="34"/>
        </w:rPr>
        <w:t>Chapter 6: Slide-by-Slide Presentation Pitching Blueprint (For SIH PPT)</w:t>
      </w:r>
    </w:p>
    <w:p>
      <w:pPr>
        <w:spacing w:before="0" w:after="120" w:line="276" w:lineRule="auto"/>
      </w:pPr>
      <w:r>
        <w:rPr>
          <w:rFonts w:ascii="Calibri" w:hAnsi="Calibri"/>
          <w:color w:val="1E293B"/>
          <w:sz w:val="21"/>
        </w:rPr>
        <w:t>This chapter provides a slide-by-slide guide for the 10-minute Smart India Hackathon final pitch. Each slide contains the exact headline, visual mockup description, presenter talking points, and pre-empted judge questions with winning answers.</w:t>
      </w:r>
    </w:p>
    <w:p>
      <w:pPr>
        <w:keepNext/>
        <w:spacing w:before="320" w:after="120"/>
      </w:pPr>
      <w:r>
        <w:rPr>
          <w:rFonts w:ascii="Calibri" w:hAnsi="Calibri"/>
          <w:b/>
          <w:color w:val="B45309"/>
          <w:sz w:val="27"/>
        </w:rPr>
        <w:t>Slide 1: Title &amp; Executive Hook: Unlocking India's Ayush Bio-Economy</w:t>
      </w:r>
    </w:p>
    <w:p>
      <w:pPr>
        <w:spacing w:before="0" w:after="120" w:line="276" w:lineRule="auto"/>
      </w:pPr>
      <w:r>
        <w:rPr>
          <w:rFonts w:ascii="Calibri" w:hAnsi="Calibri"/>
          <w:b/>
          <w:color w:val="1E293B"/>
          <w:sz w:val="21"/>
        </w:rPr>
        <w:t xml:space="preserve">Visual Presentation Mockup: </w:t>
      </w:r>
      <w:r>
        <w:rPr>
          <w:rFonts w:ascii="Calibri" w:hAnsi="Calibri"/>
          <w:color w:val="1E293B"/>
          <w:sz w:val="21"/>
        </w:rPr>
        <w:t>Dual-screen graphic: On the left, Charaka Samhita &amp; ancient herbs; on the right, Indian Patent Office &amp; international treaties. Bold center logo: IP-SAKTI Sahayak.</w:t>
      </w:r>
    </w:p>
    <w:p>
      <w:pPr>
        <w:spacing w:before="0" w:after="120" w:line="276" w:lineRule="auto"/>
      </w:pPr>
      <w:r>
        <w:rPr>
          <w:rFonts w:ascii="Calibri" w:hAnsi="Calibri"/>
          <w:b/>
          <w:color w:val="1E293B"/>
          <w:sz w:val="21"/>
        </w:rPr>
        <w:t xml:space="preserve">Presenter Pitching Script (Word-for-Word): </w:t>
      </w:r>
      <w:r>
        <w:rPr>
          <w:rFonts w:ascii="Calibri" w:hAnsi="Calibri"/>
          <w:color w:val="1E293B"/>
          <w:sz w:val="21"/>
        </w:rPr>
        <w:t>"Honorable judges, India's Ayush sector has 4.4 lakh classical formulations in TKDL, yet 70% of herbal patent filings are rejected in India, and grassroots innovators face criminal biodiversity penalties. Meet IP-SAKTI Sahayak—an evidence-first, multilingual AI co-pilot that provides atomic clause-level grounding, detects cross-regulatory conflicts, and automates patent filing."</w:t>
      </w:r>
    </w:p>
    <w:tbl>
      <w:tblPr>
        <w:tblW w:type="auto" w:w="0"/>
        <w:jc w:val="center"/>
        <w:tblLayout w:type="fixed"/>
        <w:tblLook w:firstColumn="1" w:firstRow="1" w:lastColumn="0" w:lastRow="0" w:noHBand="0" w:noVBand="1" w:val="04A0"/>
      </w:tblPr>
      <w:tblGrid>
        <w:gridCol w:w="9360"/>
      </w:tblGrid>
      <w:tr>
        <w:tc>
          <w:tcPr>
            <w:tcW w:type="dxa" w:w="9360"/>
            <w:shd w:fill="FFFBEB"/>
            <w:tcMar>
              <w:top w:w="160" w:type="dxa"/>
              <w:bottom w:w="160" w:type="dxa"/>
              <w:left w:w="220" w:type="dxa"/>
              <w:right w:w="220" w:type="dxa"/>
            </w:tcMar>
            <w:tcBorders>
              <w:top w:val="none"/>
              <w:left w:val="single" w:sz="36" w:space="0" w:color="B45309"/>
              <w:bottom w:val="none"/>
              <w:right w:val="none"/>
            </w:tcBorders>
          </w:tcPr>
          <w:p>
            <w:pPr>
              <w:spacing w:before="0" w:after="60"/>
            </w:pPr>
            <w:r>
              <w:rPr>
                <w:rFonts w:ascii="Calibri" w:hAnsi="Calibri"/>
                <w:b/>
                <w:color w:val="B45309"/>
                <w:sz w:val="21"/>
              </w:rPr>
              <w:t>✦ ANTIPATED JUDGE TRAP &amp; WINNING DEFENSE (Slide 1)</w:t>
              <w:br/>
            </w:r>
            <w:r>
              <w:rPr>
                <w:rFonts w:ascii="Calibri" w:hAnsi="Calibri"/>
                <w:i/>
                <w:color w:val="1E293B"/>
                <w:sz w:val="20"/>
              </w:rPr>
              <w:t>Judge Question: "Why another chatbot? Why can't Ayush innovators just use ChatGPT?"</w:t>
              <w:br/>
              <w:br/>
              <w:t>Winning Answer: "ChatGPT hallucinates legal sections, has zero knowledge of the Biological Diversity Act NBA Form 3 mandate, and cannot detect statutory conflicts. IP-SAKTI Sahayak is a deterministic, clause-level legal engine with cryptographic gazette verification."</w:t>
            </w:r>
          </w:p>
        </w:tc>
      </w:tr>
    </w:tbl>
    <w:p>
      <w:pPr>
        <w:spacing w:after="120"/>
      </w:pPr>
    </w:p>
    <w:p>
      <w:pPr>
        <w:spacing w:after="120"/>
      </w:pPr>
    </w:p>
    <w:p>
      <w:pPr>
        <w:keepNext/>
        <w:spacing w:before="320" w:after="120"/>
      </w:pPr>
      <w:r>
        <w:rPr>
          <w:rFonts w:ascii="Calibri" w:hAnsi="Calibri"/>
          <w:b/>
          <w:color w:val="B45309"/>
          <w:sz w:val="27"/>
        </w:rPr>
        <w:t>Slide 2: The Core Crisis: The Ayush Patent &amp; Compliance Paradox</w:t>
      </w:r>
    </w:p>
    <w:p>
      <w:pPr>
        <w:spacing w:before="0" w:after="120" w:line="276" w:lineRule="auto"/>
      </w:pPr>
      <w:r>
        <w:rPr>
          <w:rFonts w:ascii="Calibri" w:hAnsi="Calibri"/>
          <w:b/>
          <w:color w:val="1E293B"/>
          <w:sz w:val="21"/>
        </w:rPr>
        <w:t xml:space="preserve">Visual Presentation Mockup: </w:t>
      </w:r>
      <w:r>
        <w:rPr>
          <w:rFonts w:ascii="Calibri" w:hAnsi="Calibri"/>
          <w:color w:val="1E293B"/>
          <w:sz w:val="21"/>
        </w:rPr>
        <w:t>A 3-pillar breakdown: 1. Patent Act Section 3(p) &amp; 3(e) rejections. 2. Biological Diversity Act §6/§55 criminal traps. 3. Global export dead-ends (US FDA DSHEA &amp; EU THMPD).</w:t>
      </w:r>
    </w:p>
    <w:p>
      <w:pPr>
        <w:spacing w:before="0" w:after="120" w:line="276" w:lineRule="auto"/>
      </w:pPr>
      <w:r>
        <w:rPr>
          <w:rFonts w:ascii="Calibri" w:hAnsi="Calibri"/>
          <w:b/>
          <w:color w:val="1E293B"/>
          <w:sz w:val="21"/>
        </w:rPr>
        <w:t xml:space="preserve">Presenter Pitching Script (Word-for-Word): </w:t>
      </w:r>
      <w:r>
        <w:rPr>
          <w:rFonts w:ascii="Calibri" w:hAnsi="Calibri"/>
          <w:color w:val="1E293B"/>
          <w:sz w:val="21"/>
        </w:rPr>
        <w:t>"Ayush innovators face a statutory trilemma. If they file a patent, Section 3(p) rejects it as traditional knowledge. If they export, EU THMPD blocks them for lack of 15 years European use. If they forget NBA approval, Section 55 imposes criminal penalties. Innovators don't need generic chat; they need cross-regulatory conflict intelligence."</w:t>
      </w:r>
    </w:p>
    <w:tbl>
      <w:tblPr>
        <w:tblW w:type="auto" w:w="0"/>
        <w:jc w:val="center"/>
        <w:tblLayout w:type="fixed"/>
        <w:tblLook w:firstColumn="1" w:firstRow="1" w:lastColumn="0" w:lastRow="0" w:noHBand="0" w:noVBand="1" w:val="04A0"/>
      </w:tblPr>
      <w:tblGrid>
        <w:gridCol w:w="9360"/>
      </w:tblGrid>
      <w:tr>
        <w:tc>
          <w:tcPr>
            <w:tcW w:type="dxa" w:w="9360"/>
            <w:shd w:fill="FFFBEB"/>
            <w:tcMar>
              <w:top w:w="160" w:type="dxa"/>
              <w:bottom w:w="160" w:type="dxa"/>
              <w:left w:w="220" w:type="dxa"/>
              <w:right w:w="220" w:type="dxa"/>
            </w:tcMar>
            <w:tcBorders>
              <w:top w:val="none"/>
              <w:left w:val="single" w:sz="36" w:space="0" w:color="B45309"/>
              <w:bottom w:val="none"/>
              <w:right w:val="none"/>
            </w:tcBorders>
          </w:tcPr>
          <w:p>
            <w:pPr>
              <w:spacing w:before="0" w:after="60"/>
            </w:pPr>
            <w:r>
              <w:rPr>
                <w:rFonts w:ascii="Calibri" w:hAnsi="Calibri"/>
                <w:b/>
                <w:color w:val="B45309"/>
                <w:sz w:val="21"/>
              </w:rPr>
              <w:t>✦ ANTIPATED JUDGE TRAP &amp; WINNING DEFENSE (Slide 2)</w:t>
              <w:br/>
            </w:r>
            <w:r>
              <w:rPr>
                <w:rFonts w:ascii="Calibri" w:hAnsi="Calibri"/>
                <w:i/>
                <w:color w:val="1E293B"/>
                <w:sz w:val="20"/>
              </w:rPr>
              <w:t>Judge Question: "Do small innovators really face criminal penalties under the Biodiversity Act?"</w:t>
              <w:br/>
              <w:br/>
              <w:t>Winning Answer: "Yes! Under Section 55 of the Biological Diversity Act, 2002, applying for IP rights using Indian biological resources without prior NBA approval is a cognizable and non-bailable offence. Our system prevents this by auto-generating NBA Form 3."</w:t>
            </w:r>
          </w:p>
        </w:tc>
      </w:tr>
    </w:tbl>
    <w:p>
      <w:pPr>
        <w:spacing w:after="120"/>
      </w:pPr>
    </w:p>
    <w:p>
      <w:pPr>
        <w:spacing w:after="120"/>
      </w:pPr>
    </w:p>
    <w:p>
      <w:pPr>
        <w:keepNext/>
        <w:spacing w:before="320" w:after="120"/>
      </w:pPr>
      <w:r>
        <w:rPr>
          <w:rFonts w:ascii="Calibri" w:hAnsi="Calibri"/>
          <w:b/>
          <w:color w:val="B45309"/>
          <w:sz w:val="27"/>
        </w:rPr>
        <w:t>Slide 3: Comparative Benchmark: Why Generic LLMs Fail in Ayush Law</w:t>
      </w:r>
    </w:p>
    <w:p>
      <w:pPr>
        <w:spacing w:before="0" w:after="120" w:line="276" w:lineRule="auto"/>
      </w:pPr>
      <w:r>
        <w:rPr>
          <w:rFonts w:ascii="Calibri" w:hAnsi="Calibri"/>
          <w:b/>
          <w:color w:val="1E293B"/>
          <w:sz w:val="21"/>
        </w:rPr>
        <w:t xml:space="preserve">Visual Presentation Mockup: </w:t>
      </w:r>
      <w:r>
        <w:rPr>
          <w:rFonts w:ascii="Calibri" w:hAnsi="Calibri"/>
          <w:color w:val="1E293B"/>
          <w:sz w:val="21"/>
        </w:rPr>
        <w:t>High-impact comparison table highlighting 15 failure points of ChatGPT/Claude vs 15 green checkmarks for IP-SAKTI Sahayak.</w:t>
      </w:r>
    </w:p>
    <w:p>
      <w:pPr>
        <w:spacing w:before="0" w:after="120" w:line="276" w:lineRule="auto"/>
      </w:pPr>
      <w:r>
        <w:rPr>
          <w:rFonts w:ascii="Calibri" w:hAnsi="Calibri"/>
          <w:b/>
          <w:color w:val="1E293B"/>
          <w:sz w:val="21"/>
        </w:rPr>
        <w:t xml:space="preserve">Presenter Pitching Script (Word-for-Word): </w:t>
      </w:r>
      <w:r>
        <w:rPr>
          <w:rFonts w:ascii="Calibri" w:hAnsi="Calibri"/>
          <w:color w:val="1E293B"/>
          <w:sz w:val="21"/>
        </w:rPr>
        <w:t>"Generic LLMs operate on stochastic next-token prediction. In statutory law, being 90% correct means 100% legally liable. Generic models hallucinate sections, ignore state licensing, and cannot parse Sanskrit botanical synonyms. IP-SAKTI Sahayak solves this through an ontological knowledge graph and Tri-Anchor Reflector."</w:t>
      </w:r>
    </w:p>
    <w:tbl>
      <w:tblPr>
        <w:tblW w:type="auto" w:w="0"/>
        <w:jc w:val="center"/>
        <w:tblLayout w:type="fixed"/>
        <w:tblLook w:firstColumn="1" w:firstRow="1" w:lastColumn="0" w:lastRow="0" w:noHBand="0" w:noVBand="1" w:val="04A0"/>
      </w:tblPr>
      <w:tblGrid>
        <w:gridCol w:w="9360"/>
      </w:tblGrid>
      <w:tr>
        <w:tc>
          <w:tcPr>
            <w:tcW w:type="dxa" w:w="9360"/>
            <w:shd w:fill="FFFBEB"/>
            <w:tcMar>
              <w:top w:w="160" w:type="dxa"/>
              <w:bottom w:w="160" w:type="dxa"/>
              <w:left w:w="220" w:type="dxa"/>
              <w:right w:w="220" w:type="dxa"/>
            </w:tcMar>
            <w:tcBorders>
              <w:top w:val="none"/>
              <w:left w:val="single" w:sz="36" w:space="0" w:color="B45309"/>
              <w:bottom w:val="none"/>
              <w:right w:val="none"/>
            </w:tcBorders>
          </w:tcPr>
          <w:p>
            <w:pPr>
              <w:spacing w:before="0" w:after="60"/>
            </w:pPr>
            <w:r>
              <w:rPr>
                <w:rFonts w:ascii="Calibri" w:hAnsi="Calibri"/>
                <w:b/>
                <w:color w:val="B45309"/>
                <w:sz w:val="21"/>
              </w:rPr>
              <w:t>✦ ANTIPATED JUDGE TRAP &amp; WINNING DEFENSE (Slide 3)</w:t>
              <w:br/>
            </w:r>
            <w:r>
              <w:rPr>
                <w:rFonts w:ascii="Calibri" w:hAnsi="Calibri"/>
                <w:i/>
                <w:color w:val="1E293B"/>
                <w:sz w:val="20"/>
              </w:rPr>
              <w:t>Judge Question: "How do you handle Sanskrit botanical synonyms?"</w:t>
              <w:br/>
              <w:br/>
              <w:t>Winning Answer: "Our GraphRAG ontology maps Sanskrit, Hindi, Tamil, and Latin names directly to the Ayurvedic Pharmacopoeia of India and IPC patent classification A61K 36/00."</w:t>
            </w:r>
          </w:p>
        </w:tc>
      </w:tr>
    </w:tbl>
    <w:p>
      <w:pPr>
        <w:spacing w:after="120"/>
      </w:pPr>
    </w:p>
    <w:p>
      <w:pPr>
        <w:spacing w:after="120"/>
      </w:pPr>
    </w:p>
    <w:p>
      <w:pPr>
        <w:keepNext/>
        <w:spacing w:before="320" w:after="120"/>
      </w:pPr>
      <w:r>
        <w:rPr>
          <w:rFonts w:ascii="Calibri" w:hAnsi="Calibri"/>
          <w:b/>
          <w:color w:val="B45309"/>
          <w:sz w:val="27"/>
        </w:rPr>
        <w:t>Slide 4: System Architecture: 7-Layer Intelligence Stack</w:t>
      </w:r>
    </w:p>
    <w:p>
      <w:pPr>
        <w:spacing w:before="0" w:after="120" w:line="276" w:lineRule="auto"/>
      </w:pPr>
      <w:r>
        <w:rPr>
          <w:rFonts w:ascii="Calibri" w:hAnsi="Calibri"/>
          <w:b/>
          <w:color w:val="1E293B"/>
          <w:sz w:val="21"/>
        </w:rPr>
        <w:t xml:space="preserve">Visual Presentation Mockup: </w:t>
      </w:r>
      <w:r>
        <w:rPr>
          <w:rFonts w:ascii="Calibri" w:hAnsi="Calibri"/>
          <w:color w:val="1E293B"/>
          <w:sz w:val="21"/>
        </w:rPr>
        <w:t>Layered enterprise diagram showing Ingestion → Domain Router → Clause Vector DB + Knowledge Graph → 4-Agent MoE → Conflict Matrix → Reflector → UI.</w:t>
      </w:r>
    </w:p>
    <w:p>
      <w:pPr>
        <w:spacing w:before="0" w:after="120" w:line="276" w:lineRule="auto"/>
      </w:pPr>
      <w:r>
        <w:rPr>
          <w:rFonts w:ascii="Calibri" w:hAnsi="Calibri"/>
          <w:b/>
          <w:color w:val="1E293B"/>
          <w:sz w:val="21"/>
        </w:rPr>
        <w:t xml:space="preserve">Presenter Pitching Script (Word-for-Word): </w:t>
      </w:r>
      <w:r>
        <w:rPr>
          <w:rFonts w:ascii="Calibri" w:hAnsi="Calibri"/>
          <w:color w:val="1E293B"/>
          <w:sz w:val="21"/>
        </w:rPr>
        <w:t>"Our architecture is built on seven enterprise layers. We deploy four specialized agents running in parallel: Agent IPO, Agent NBA, Agent Ayush State, and Agent Global. Their findings are synthesized by a Conflict Detection Engine and verified by a Tri-Anchor Reflector Node."</w:t>
      </w:r>
    </w:p>
    <w:tbl>
      <w:tblPr>
        <w:tblW w:type="auto" w:w="0"/>
        <w:jc w:val="center"/>
        <w:tblLayout w:type="fixed"/>
        <w:tblLook w:firstColumn="1" w:firstRow="1" w:lastColumn="0" w:lastRow="0" w:noHBand="0" w:noVBand="1" w:val="04A0"/>
      </w:tblPr>
      <w:tblGrid>
        <w:gridCol w:w="9360"/>
      </w:tblGrid>
      <w:tr>
        <w:tc>
          <w:tcPr>
            <w:tcW w:type="dxa" w:w="9360"/>
            <w:shd w:fill="FFFBEB"/>
            <w:tcMar>
              <w:top w:w="160" w:type="dxa"/>
              <w:bottom w:w="160" w:type="dxa"/>
              <w:left w:w="220" w:type="dxa"/>
              <w:right w:w="220" w:type="dxa"/>
            </w:tcMar>
            <w:tcBorders>
              <w:top w:val="none"/>
              <w:left w:val="single" w:sz="36" w:space="0" w:color="B45309"/>
              <w:bottom w:val="none"/>
              <w:right w:val="none"/>
            </w:tcBorders>
          </w:tcPr>
          <w:p>
            <w:pPr>
              <w:spacing w:before="0" w:after="60"/>
            </w:pPr>
            <w:r>
              <w:rPr>
                <w:rFonts w:ascii="Calibri" w:hAnsi="Calibri"/>
                <w:b/>
                <w:color w:val="B45309"/>
                <w:sz w:val="21"/>
              </w:rPr>
              <w:t>✦ ANTIPATED JUDGE TRAP &amp; WINNING DEFENSE (Slide 4)</w:t>
              <w:br/>
            </w:r>
            <w:r>
              <w:rPr>
                <w:rFonts w:ascii="Calibri" w:hAnsi="Calibri"/>
                <w:i/>
                <w:color w:val="1E293B"/>
                <w:sz w:val="20"/>
              </w:rPr>
              <w:t>Judge Question: "How do your agents avoid racing conditions or conflicting answers?"</w:t>
              <w:br/>
              <w:br/>
              <w:t>Winning Answer: "We orchestrate them using LangGraph as a DAG state machine. The Conflict Detection Engine evaluates their structured outputs against a deterministic truth-table."</w:t>
            </w:r>
          </w:p>
        </w:tc>
      </w:tr>
    </w:tbl>
    <w:p>
      <w:pPr>
        <w:spacing w:after="120"/>
      </w:pPr>
    </w:p>
    <w:p>
      <w:pPr>
        <w:spacing w:after="120"/>
      </w:pPr>
    </w:p>
    <w:p>
      <w:pPr>
        <w:keepNext/>
        <w:spacing w:before="320" w:after="120"/>
      </w:pPr>
      <w:r>
        <w:rPr>
          <w:rFonts w:ascii="Calibri" w:hAnsi="Calibri"/>
          <w:b/>
          <w:color w:val="B45309"/>
          <w:sz w:val="27"/>
        </w:rPr>
        <w:t>Slide 5: Killer Innovation #1: Atomic Clause-Level Retrieval (No PDF Dumping)</w:t>
      </w:r>
    </w:p>
    <w:p>
      <w:pPr>
        <w:spacing w:before="0" w:after="120" w:line="276" w:lineRule="auto"/>
      </w:pPr>
      <w:r>
        <w:rPr>
          <w:rFonts w:ascii="Calibri" w:hAnsi="Calibri"/>
          <w:b/>
          <w:color w:val="1E293B"/>
          <w:sz w:val="21"/>
        </w:rPr>
        <w:t xml:space="preserve">Visual Presentation Mockup: </w:t>
      </w:r>
      <w:r>
        <w:rPr>
          <w:rFonts w:ascii="Calibri" w:hAnsi="Calibri"/>
          <w:color w:val="1E293B"/>
          <w:sz w:val="21"/>
        </w:rPr>
        <w:t>Graphic showing standard RAG dumping a 300-page PDF vs IP-SAKTI drilling down: Act → Section 3 → Subsection (p) → Explanation → TKDL Reference.</w:t>
      </w:r>
    </w:p>
    <w:p>
      <w:pPr>
        <w:spacing w:before="0" w:after="120" w:line="276" w:lineRule="auto"/>
      </w:pPr>
      <w:r>
        <w:rPr>
          <w:rFonts w:ascii="Calibri" w:hAnsi="Calibri"/>
          <w:b/>
          <w:color w:val="1E293B"/>
          <w:sz w:val="21"/>
        </w:rPr>
        <w:t xml:space="preserve">Presenter Pitching Script (Word-for-Word): </w:t>
      </w:r>
      <w:r>
        <w:rPr>
          <w:rFonts w:ascii="Calibri" w:hAnsi="Calibri"/>
          <w:color w:val="1E293B"/>
          <w:sz w:val="21"/>
        </w:rPr>
        <w:t>"Most RAG systems retrieve broad 100-page PDF chunks, losing legal provisos. IP-SAKTI parses legislation into atomic clause units. When an innovator asks about herbal patentability, the system retrieves only Section 3(p), the 2019 Ayush Guidelines explanation, and relevant judicial rulings."</w:t>
      </w:r>
    </w:p>
    <w:tbl>
      <w:tblPr>
        <w:tblW w:type="auto" w:w="0"/>
        <w:jc w:val="center"/>
        <w:tblLayout w:type="fixed"/>
        <w:tblLook w:firstColumn="1" w:firstRow="1" w:lastColumn="0" w:lastRow="0" w:noHBand="0" w:noVBand="1" w:val="04A0"/>
      </w:tblPr>
      <w:tblGrid>
        <w:gridCol w:w="9360"/>
      </w:tblGrid>
      <w:tr>
        <w:tc>
          <w:tcPr>
            <w:tcW w:type="dxa" w:w="9360"/>
            <w:shd w:fill="FFFBEB"/>
            <w:tcMar>
              <w:top w:w="160" w:type="dxa"/>
              <w:bottom w:w="160" w:type="dxa"/>
              <w:left w:w="220" w:type="dxa"/>
              <w:right w:w="220" w:type="dxa"/>
            </w:tcMar>
            <w:tcBorders>
              <w:top w:val="none"/>
              <w:left w:val="single" w:sz="36" w:space="0" w:color="B45309"/>
              <w:bottom w:val="none"/>
              <w:right w:val="none"/>
            </w:tcBorders>
          </w:tcPr>
          <w:p>
            <w:pPr>
              <w:spacing w:before="0" w:after="60"/>
            </w:pPr>
            <w:r>
              <w:rPr>
                <w:rFonts w:ascii="Calibri" w:hAnsi="Calibri"/>
                <w:b/>
                <w:color w:val="B45309"/>
                <w:sz w:val="21"/>
              </w:rPr>
              <w:t>✦ ANTIPATED JUDGE TRAP &amp; WINNING DEFENSE (Slide 5)</w:t>
              <w:br/>
            </w:r>
            <w:r>
              <w:rPr>
                <w:rFonts w:ascii="Calibri" w:hAnsi="Calibri"/>
                <w:i/>
                <w:color w:val="1E293B"/>
                <w:sz w:val="20"/>
              </w:rPr>
              <w:t>Judge Question: "What is the speed advantage of atomic chunking?"</w:t>
              <w:br/>
              <w:br/>
              <w:t>Winning Answer: "It reduces retrieval latency by 72% and completely eliminates context window clutter, allowing our LLM to achieve 99.4% factual grounding."</w:t>
            </w:r>
          </w:p>
        </w:tc>
      </w:tr>
    </w:tbl>
    <w:p>
      <w:pPr>
        <w:spacing w:after="120"/>
      </w:pPr>
    </w:p>
    <w:p>
      <w:pPr>
        <w:spacing w:after="120"/>
      </w:pPr>
    </w:p>
    <w:p>
      <w:pPr>
        <w:keepNext/>
        <w:spacing w:before="320" w:after="120"/>
      </w:pPr>
      <w:r>
        <w:rPr>
          <w:rFonts w:ascii="Calibri" w:hAnsi="Calibri"/>
          <w:b/>
          <w:color w:val="B45309"/>
          <w:sz w:val="27"/>
        </w:rPr>
        <w:t>Slide 6: Killer Innovation #2: Cross-Regulation Conflict &amp; Ambiguity Detection</w:t>
      </w:r>
    </w:p>
    <w:p>
      <w:pPr>
        <w:spacing w:before="0" w:after="120" w:line="276" w:lineRule="auto"/>
      </w:pPr>
      <w:r>
        <w:rPr>
          <w:rFonts w:ascii="Calibri" w:hAnsi="Calibri"/>
          <w:b/>
          <w:color w:val="1E293B"/>
          <w:sz w:val="21"/>
        </w:rPr>
        <w:t xml:space="preserve">Visual Presentation Mockup: </w:t>
      </w:r>
      <w:r>
        <w:rPr>
          <w:rFonts w:ascii="Calibri" w:hAnsi="Calibri"/>
          <w:color w:val="1E293B"/>
          <w:sz w:val="21"/>
        </w:rPr>
        <w:t>Interactive Conflict Matrix screenshot: Yellow warning on Patent Act 3(e), Red alert on NBA Section 6, Green check on Ayush Drug License.</w:t>
      </w:r>
    </w:p>
    <w:p>
      <w:pPr>
        <w:spacing w:before="0" w:after="120" w:line="276" w:lineRule="auto"/>
      </w:pPr>
      <w:r>
        <w:rPr>
          <w:rFonts w:ascii="Calibri" w:hAnsi="Calibri"/>
          <w:b/>
          <w:color w:val="1E293B"/>
          <w:sz w:val="21"/>
        </w:rPr>
        <w:t xml:space="preserve">Presenter Pitching Script (Word-for-Word): </w:t>
      </w:r>
      <w:r>
        <w:rPr>
          <w:rFonts w:ascii="Calibri" w:hAnsi="Calibri"/>
          <w:color w:val="1E293B"/>
          <w:sz w:val="21"/>
        </w:rPr>
        <w:t>"Here is what no other AI can do: Cross-regulation conflict reasoning. If Ayush licensing allows your formulation, but Patent Law rejects it as traditional knowledge, and the Biodiversity Act demands prior approval, our engine flags the exact contradiction and provides an actionable remedy."</w:t>
      </w:r>
    </w:p>
    <w:tbl>
      <w:tblPr>
        <w:tblW w:type="auto" w:w="0"/>
        <w:jc w:val="center"/>
        <w:tblLayout w:type="fixed"/>
        <w:tblLook w:firstColumn="1" w:firstRow="1" w:lastColumn="0" w:lastRow="0" w:noHBand="0" w:noVBand="1" w:val="04A0"/>
      </w:tblPr>
      <w:tblGrid>
        <w:gridCol w:w="9360"/>
      </w:tblGrid>
      <w:tr>
        <w:tc>
          <w:tcPr>
            <w:tcW w:type="dxa" w:w="9360"/>
            <w:shd w:fill="FFFBEB"/>
            <w:tcMar>
              <w:top w:w="160" w:type="dxa"/>
              <w:bottom w:w="160" w:type="dxa"/>
              <w:left w:w="220" w:type="dxa"/>
              <w:right w:w="220" w:type="dxa"/>
            </w:tcMar>
            <w:tcBorders>
              <w:top w:val="none"/>
              <w:left w:val="single" w:sz="36" w:space="0" w:color="B45309"/>
              <w:bottom w:val="none"/>
              <w:right w:val="none"/>
            </w:tcBorders>
          </w:tcPr>
          <w:p>
            <w:pPr>
              <w:spacing w:before="0" w:after="60"/>
            </w:pPr>
            <w:r>
              <w:rPr>
                <w:rFonts w:ascii="Calibri" w:hAnsi="Calibri"/>
                <w:b/>
                <w:color w:val="B45309"/>
                <w:sz w:val="21"/>
              </w:rPr>
              <w:t>✦ ANTIPATED JUDGE TRAP &amp; WINNING DEFENSE (Slide 6)</w:t>
              <w:br/>
            </w:r>
            <w:r>
              <w:rPr>
                <w:rFonts w:ascii="Calibri" w:hAnsi="Calibri"/>
                <w:i/>
                <w:color w:val="1E293B"/>
                <w:sz w:val="20"/>
              </w:rPr>
              <w:t>Judge Question: "Can you give an example of an actionable remedy suggested by your AI?"</w:t>
              <w:br/>
              <w:br/>
              <w:t>Winning Answer: "For an Ashwagandha-Curcumin formulation, instead of a crude admixture claim, the engine drafts claims focused on a novel supercritical CO2 extraction method and liposomal nanocarrier with CI &lt; 0.7."</w:t>
            </w:r>
          </w:p>
        </w:tc>
      </w:tr>
    </w:tbl>
    <w:p>
      <w:pPr>
        <w:spacing w:after="120"/>
      </w:pPr>
    </w:p>
    <w:p>
      <w:pPr>
        <w:spacing w:after="120"/>
      </w:pPr>
    </w:p>
    <w:p>
      <w:pPr>
        <w:keepNext/>
        <w:spacing w:before="320" w:after="120"/>
      </w:pPr>
      <w:r>
        <w:rPr>
          <w:rFonts w:ascii="Calibri" w:hAnsi="Calibri"/>
          <w:b/>
          <w:color w:val="B45309"/>
          <w:sz w:val="27"/>
        </w:rPr>
        <w:t>Slide 7: Killer Innovation #3: Tri-Anchor Zero-Hallucination Reflector Node</w:t>
      </w:r>
    </w:p>
    <w:p>
      <w:pPr>
        <w:spacing w:before="0" w:after="120" w:line="276" w:lineRule="auto"/>
      </w:pPr>
      <w:r>
        <w:rPr>
          <w:rFonts w:ascii="Calibri" w:hAnsi="Calibri"/>
          <w:b/>
          <w:color w:val="1E293B"/>
          <w:sz w:val="21"/>
        </w:rPr>
        <w:t xml:space="preserve">Visual Presentation Mockup: </w:t>
      </w:r>
      <w:r>
        <w:rPr>
          <w:rFonts w:ascii="Calibri" w:hAnsi="Calibri"/>
          <w:color w:val="1E293B"/>
          <w:sz w:val="21"/>
        </w:rPr>
        <w:t>Three-pillar lock icon: 1. Context Faithfulness. 2. Statutory Entity Check. 3. Strict Out-of-Distribution Grounding Fallback.</w:t>
      </w:r>
    </w:p>
    <w:p>
      <w:pPr>
        <w:spacing w:before="0" w:after="120" w:line="276" w:lineRule="auto"/>
      </w:pPr>
      <w:r>
        <w:rPr>
          <w:rFonts w:ascii="Calibri" w:hAnsi="Calibri"/>
          <w:b/>
          <w:color w:val="1E293B"/>
          <w:sz w:val="21"/>
        </w:rPr>
        <w:t xml:space="preserve">Presenter Pitching Script (Word-for-Word): </w:t>
      </w:r>
      <w:r>
        <w:rPr>
          <w:rFonts w:ascii="Calibri" w:hAnsi="Calibri"/>
          <w:color w:val="1E293B"/>
          <w:sz w:val="21"/>
        </w:rPr>
        <w:t>"We achieve zero-hallucination through a Tri-Anchor verification node. If a generated claim lacks an exact statutory clause in the context, it is pruned. If no gazette exists for a query, the system strictly outputs 'Grounding Fallback: No statutory clause found' rather than speculating."</w:t>
      </w:r>
    </w:p>
    <w:tbl>
      <w:tblPr>
        <w:tblW w:type="auto" w:w="0"/>
        <w:jc w:val="center"/>
        <w:tblLayout w:type="fixed"/>
        <w:tblLook w:firstColumn="1" w:firstRow="1" w:lastColumn="0" w:lastRow="0" w:noHBand="0" w:noVBand="1" w:val="04A0"/>
      </w:tblPr>
      <w:tblGrid>
        <w:gridCol w:w="9360"/>
      </w:tblGrid>
      <w:tr>
        <w:tc>
          <w:tcPr>
            <w:tcW w:type="dxa" w:w="9360"/>
            <w:shd w:fill="FFFBEB"/>
            <w:tcMar>
              <w:top w:w="160" w:type="dxa"/>
              <w:bottom w:w="160" w:type="dxa"/>
              <w:left w:w="220" w:type="dxa"/>
              <w:right w:w="220" w:type="dxa"/>
            </w:tcMar>
            <w:tcBorders>
              <w:top w:val="none"/>
              <w:left w:val="single" w:sz="36" w:space="0" w:color="B45309"/>
              <w:bottom w:val="none"/>
              <w:right w:val="none"/>
            </w:tcBorders>
          </w:tcPr>
          <w:p>
            <w:pPr>
              <w:spacing w:before="0" w:after="60"/>
            </w:pPr>
            <w:r>
              <w:rPr>
                <w:rFonts w:ascii="Calibri" w:hAnsi="Calibri"/>
                <w:b/>
                <w:color w:val="B45309"/>
                <w:sz w:val="21"/>
              </w:rPr>
              <w:t>✦ ANTIPATED JUDGE TRAP &amp; WINNING DEFENSE (Slide 7)</w:t>
              <w:br/>
            </w:r>
            <w:r>
              <w:rPr>
                <w:rFonts w:ascii="Calibri" w:hAnsi="Calibri"/>
                <w:i/>
                <w:color w:val="1E293B"/>
                <w:sz w:val="20"/>
              </w:rPr>
              <w:t>Judge Question: "What happens if a user asks about an obscure state circular that isn't indexed?"</w:t>
              <w:br/>
              <w:br/>
              <w:t>Winning Answer: "The system engages its Grounding Fallback, triggers the Live Gazette Sentinel to queue a crawl, and alerts the user that authoritative state records are being fetched."</w:t>
            </w:r>
          </w:p>
        </w:tc>
      </w:tr>
    </w:tbl>
    <w:p>
      <w:pPr>
        <w:spacing w:after="120"/>
      </w:pPr>
    </w:p>
    <w:p>
      <w:pPr>
        <w:spacing w:after="120"/>
      </w:pPr>
    </w:p>
    <w:p>
      <w:pPr>
        <w:keepNext/>
        <w:spacing w:before="320" w:after="120"/>
      </w:pPr>
      <w:r>
        <w:rPr>
          <w:rFonts w:ascii="Calibri" w:hAnsi="Calibri"/>
          <w:b/>
          <w:color w:val="B45309"/>
          <w:sz w:val="27"/>
        </w:rPr>
        <w:t>Slide 8: Killer Innovation #4: Interactive Split-Screen Gazette Viewer</w:t>
      </w:r>
    </w:p>
    <w:p>
      <w:pPr>
        <w:spacing w:before="0" w:after="120" w:line="276" w:lineRule="auto"/>
      </w:pPr>
      <w:r>
        <w:rPr>
          <w:rFonts w:ascii="Calibri" w:hAnsi="Calibri"/>
          <w:b/>
          <w:color w:val="1E293B"/>
          <w:sz w:val="21"/>
        </w:rPr>
        <w:t xml:space="preserve">Visual Presentation Mockup: </w:t>
      </w:r>
      <w:r>
        <w:rPr>
          <w:rFonts w:ascii="Calibri" w:hAnsi="Calibri"/>
          <w:color w:val="1E293B"/>
          <w:sz w:val="21"/>
        </w:rPr>
        <w:t>Mockup of UI: Chat conversation on left, official Government of India Gazette PDF opened on right with highlighted statutory clause and SHA-256 verification hash.</w:t>
      </w:r>
    </w:p>
    <w:p>
      <w:pPr>
        <w:spacing w:before="0" w:after="120" w:line="276" w:lineRule="auto"/>
      </w:pPr>
      <w:r>
        <w:rPr>
          <w:rFonts w:ascii="Calibri" w:hAnsi="Calibri"/>
          <w:b/>
          <w:color w:val="1E293B"/>
          <w:sz w:val="21"/>
        </w:rPr>
        <w:t xml:space="preserve">Presenter Pitching Script (Word-for-Word): </w:t>
      </w:r>
      <w:r>
        <w:rPr>
          <w:rFonts w:ascii="Calibri" w:hAnsi="Calibri"/>
          <w:color w:val="1E293B"/>
          <w:sz w:val="21"/>
        </w:rPr>
        <w:t>"For total legal transparency, every citation pill in our assistant is interactive. Clicking [Patents Act, §3(p)] opens the authentic gazette notification side-by-side with the exact clause highlighted and its digital SHA-256 hash verified in real-time."</w:t>
      </w:r>
    </w:p>
    <w:tbl>
      <w:tblPr>
        <w:tblW w:type="auto" w:w="0"/>
        <w:jc w:val="center"/>
        <w:tblLayout w:type="fixed"/>
        <w:tblLook w:firstColumn="1" w:firstRow="1" w:lastColumn="0" w:lastRow="0" w:noHBand="0" w:noVBand="1" w:val="04A0"/>
      </w:tblPr>
      <w:tblGrid>
        <w:gridCol w:w="9360"/>
      </w:tblGrid>
      <w:tr>
        <w:tc>
          <w:tcPr>
            <w:tcW w:type="dxa" w:w="9360"/>
            <w:shd w:fill="FFFBEB"/>
            <w:tcMar>
              <w:top w:w="160" w:type="dxa"/>
              <w:bottom w:w="160" w:type="dxa"/>
              <w:left w:w="220" w:type="dxa"/>
              <w:right w:w="220" w:type="dxa"/>
            </w:tcMar>
            <w:tcBorders>
              <w:top w:val="none"/>
              <w:left w:val="single" w:sz="36" w:space="0" w:color="B45309"/>
              <w:bottom w:val="none"/>
              <w:right w:val="none"/>
            </w:tcBorders>
          </w:tcPr>
          <w:p>
            <w:pPr>
              <w:spacing w:before="0" w:after="60"/>
            </w:pPr>
            <w:r>
              <w:rPr>
                <w:rFonts w:ascii="Calibri" w:hAnsi="Calibri"/>
                <w:b/>
                <w:color w:val="B45309"/>
                <w:sz w:val="21"/>
              </w:rPr>
              <w:t>✦ ANTIPATED JUDGE TRAP &amp; WINNING DEFENSE (Slide 8)</w:t>
              <w:br/>
            </w:r>
            <w:r>
              <w:rPr>
                <w:rFonts w:ascii="Calibri" w:hAnsi="Calibri"/>
                <w:i/>
                <w:color w:val="1E293B"/>
                <w:sz w:val="20"/>
              </w:rPr>
              <w:t>Judge Question: "Can the user download or print the cited gazette?"</w:t>
              <w:br/>
              <w:br/>
              <w:t>Winning Answer: "Yes, the split-screen viewer allows instant downloading of the official signed gazette notification for submission in legal proceedings."</w:t>
            </w:r>
          </w:p>
        </w:tc>
      </w:tr>
    </w:tbl>
    <w:p>
      <w:pPr>
        <w:spacing w:after="120"/>
      </w:pPr>
    </w:p>
    <w:p>
      <w:pPr>
        <w:spacing w:after="120"/>
      </w:pPr>
    </w:p>
    <w:p>
      <w:pPr>
        <w:keepNext/>
        <w:spacing w:before="320" w:after="120"/>
      </w:pPr>
      <w:r>
        <w:rPr>
          <w:rFonts w:ascii="Calibri" w:hAnsi="Calibri"/>
          <w:b/>
          <w:color w:val="B45309"/>
          <w:sz w:val="27"/>
        </w:rPr>
        <w:t>Slide 9: Killer Innovation #5: Automated IP &amp; Regulatory Document Generator</w:t>
      </w:r>
    </w:p>
    <w:p>
      <w:pPr>
        <w:spacing w:before="0" w:after="120" w:line="276" w:lineRule="auto"/>
      </w:pPr>
      <w:r>
        <w:rPr>
          <w:rFonts w:ascii="Calibri" w:hAnsi="Calibri"/>
          <w:b/>
          <w:color w:val="1E293B"/>
          <w:sz w:val="21"/>
        </w:rPr>
        <w:t xml:space="preserve">Visual Presentation Mockup: </w:t>
      </w:r>
      <w:r>
        <w:rPr>
          <w:rFonts w:ascii="Calibri" w:hAnsi="Calibri"/>
          <w:color w:val="1E293B"/>
          <w:sz w:val="21"/>
        </w:rPr>
        <w:t>Collage of pre-filled legal forms: Indian Patent Form 1 &amp; 2, NBA Form 3, and Rule 158-B Compliance Dossier with download icons.</w:t>
      </w:r>
    </w:p>
    <w:p>
      <w:pPr>
        <w:spacing w:before="0" w:after="120" w:line="276" w:lineRule="auto"/>
      </w:pPr>
      <w:r>
        <w:rPr>
          <w:rFonts w:ascii="Calibri" w:hAnsi="Calibri"/>
          <w:b/>
          <w:color w:val="1E293B"/>
          <w:sz w:val="21"/>
        </w:rPr>
        <w:t xml:space="preserve">Presenter Pitching Script (Word-for-Word): </w:t>
      </w:r>
      <w:r>
        <w:rPr>
          <w:rFonts w:ascii="Calibri" w:hAnsi="Calibri"/>
          <w:color w:val="1E293B"/>
          <w:sz w:val="21"/>
        </w:rPr>
        <w:t>"Innovators don't just want advice; they need ready-to-file documents. With a single click, IP-SAKTI Sahayak generates populated Indian Patent Form 1 &amp; 2 drafts, NBA Form 3 biodiversity applications, and Rule 158-B licensing dossiers."</w:t>
      </w:r>
    </w:p>
    <w:tbl>
      <w:tblPr>
        <w:tblW w:type="auto" w:w="0"/>
        <w:jc w:val="center"/>
        <w:tblLayout w:type="fixed"/>
        <w:tblLook w:firstColumn="1" w:firstRow="1" w:lastColumn="0" w:lastRow="0" w:noHBand="0" w:noVBand="1" w:val="04A0"/>
      </w:tblPr>
      <w:tblGrid>
        <w:gridCol w:w="9360"/>
      </w:tblGrid>
      <w:tr>
        <w:tc>
          <w:tcPr>
            <w:tcW w:type="dxa" w:w="9360"/>
            <w:shd w:fill="FFFBEB"/>
            <w:tcMar>
              <w:top w:w="160" w:type="dxa"/>
              <w:bottom w:w="160" w:type="dxa"/>
              <w:left w:w="220" w:type="dxa"/>
              <w:right w:w="220" w:type="dxa"/>
            </w:tcMar>
            <w:tcBorders>
              <w:top w:val="none"/>
              <w:left w:val="single" w:sz="36" w:space="0" w:color="B45309"/>
              <w:bottom w:val="none"/>
              <w:right w:val="none"/>
            </w:tcBorders>
          </w:tcPr>
          <w:p>
            <w:pPr>
              <w:spacing w:before="0" w:after="60"/>
            </w:pPr>
            <w:r>
              <w:rPr>
                <w:rFonts w:ascii="Calibri" w:hAnsi="Calibri"/>
                <w:b/>
                <w:color w:val="B45309"/>
                <w:sz w:val="21"/>
              </w:rPr>
              <w:t>✦ ANTIPATED JUDGE TRAP &amp; WINNING DEFENSE (Slide 9)</w:t>
              <w:br/>
            </w:r>
            <w:r>
              <w:rPr>
                <w:rFonts w:ascii="Calibri" w:hAnsi="Calibri"/>
                <w:i/>
                <w:color w:val="1E293B"/>
                <w:sz w:val="20"/>
              </w:rPr>
              <w:t>Judge Question: "Are these generated documents legally binding?"</w:t>
              <w:br/>
              <w:br/>
              <w:t>Winning Answer: "They conform strictly to official government templates and serve as pre-filled, attorney-ready filing drafts, saving innovators weeks of manual legal work."</w:t>
            </w:r>
          </w:p>
        </w:tc>
      </w:tr>
    </w:tbl>
    <w:p>
      <w:pPr>
        <w:spacing w:after="120"/>
      </w:pPr>
    </w:p>
    <w:p>
      <w:pPr>
        <w:spacing w:after="120"/>
      </w:pPr>
    </w:p>
    <w:p>
      <w:pPr>
        <w:keepNext/>
        <w:spacing w:before="320" w:after="120"/>
      </w:pPr>
      <w:r>
        <w:rPr>
          <w:rFonts w:ascii="Calibri" w:hAnsi="Calibri"/>
          <w:b/>
          <w:color w:val="B45309"/>
          <w:sz w:val="27"/>
        </w:rPr>
        <w:t>Slide 10: Killer Innovation #6: Bhashini Indic Voice-First Accessibility</w:t>
      </w:r>
    </w:p>
    <w:p>
      <w:pPr>
        <w:spacing w:before="0" w:after="120" w:line="276" w:lineRule="auto"/>
      </w:pPr>
      <w:r>
        <w:rPr>
          <w:rFonts w:ascii="Calibri" w:hAnsi="Calibri"/>
          <w:b/>
          <w:color w:val="1E293B"/>
          <w:sz w:val="21"/>
        </w:rPr>
        <w:t xml:space="preserve">Visual Presentation Mockup: </w:t>
      </w:r>
      <w:r>
        <w:rPr>
          <w:rFonts w:ascii="Calibri" w:hAnsi="Calibri"/>
          <w:color w:val="1E293B"/>
          <w:sz w:val="21"/>
        </w:rPr>
        <w:t>Microphone waveform interface showing Hindi voice query from a rural Vaidya, transcribed, processed, and responded with Hindi speech synthesis.</w:t>
      </w:r>
    </w:p>
    <w:p>
      <w:pPr>
        <w:spacing w:before="0" w:after="120" w:line="276" w:lineRule="auto"/>
      </w:pPr>
      <w:r>
        <w:rPr>
          <w:rFonts w:ascii="Calibri" w:hAnsi="Calibri"/>
          <w:b/>
          <w:color w:val="1E293B"/>
          <w:sz w:val="21"/>
        </w:rPr>
        <w:t xml:space="preserve">Presenter Pitching Script (Word-for-Word): </w:t>
      </w:r>
      <w:r>
        <w:rPr>
          <w:rFonts w:ascii="Calibri" w:hAnsi="Calibri"/>
          <w:color w:val="1E293B"/>
          <w:sz w:val="21"/>
        </w:rPr>
        <w:t>"85% of India's traditional healers do not speak English. By integrating the Government of India's Bhashini AI stack, our platform allows a rural Vaidya or Hakim in Uttar Pradesh or Tamil Nadu to speak in Hindi or Tamil and receive verified legal guidance via voice."</w:t>
      </w:r>
    </w:p>
    <w:tbl>
      <w:tblPr>
        <w:tblW w:type="auto" w:w="0"/>
        <w:jc w:val="center"/>
        <w:tblLayout w:type="fixed"/>
        <w:tblLook w:firstColumn="1" w:firstRow="1" w:lastColumn="0" w:lastRow="0" w:noHBand="0" w:noVBand="1" w:val="04A0"/>
      </w:tblPr>
      <w:tblGrid>
        <w:gridCol w:w="9360"/>
      </w:tblGrid>
      <w:tr>
        <w:tc>
          <w:tcPr>
            <w:tcW w:type="dxa" w:w="9360"/>
            <w:shd w:fill="FFFBEB"/>
            <w:tcMar>
              <w:top w:w="160" w:type="dxa"/>
              <w:bottom w:w="160" w:type="dxa"/>
              <w:left w:w="220" w:type="dxa"/>
              <w:right w:w="220" w:type="dxa"/>
            </w:tcMar>
            <w:tcBorders>
              <w:top w:val="none"/>
              <w:left w:val="single" w:sz="36" w:space="0" w:color="B45309"/>
              <w:bottom w:val="none"/>
              <w:right w:val="none"/>
            </w:tcBorders>
          </w:tcPr>
          <w:p>
            <w:pPr>
              <w:spacing w:before="0" w:after="60"/>
            </w:pPr>
            <w:r>
              <w:rPr>
                <w:rFonts w:ascii="Calibri" w:hAnsi="Calibri"/>
                <w:b/>
                <w:color w:val="B45309"/>
                <w:sz w:val="21"/>
              </w:rPr>
              <w:t>✦ ANTIPATED JUDGE TRAP &amp; WINNING DEFENSE (Slide 10)</w:t>
              <w:br/>
            </w:r>
            <w:r>
              <w:rPr>
                <w:rFonts w:ascii="Calibri" w:hAnsi="Calibri"/>
                <w:i/>
                <w:color w:val="1E293B"/>
                <w:sz w:val="20"/>
              </w:rPr>
              <w:t>Judge Question: "How accurate is speech recognition for technical Ayush terms in Hindi?"</w:t>
              <w:br/>
              <w:br/>
              <w:t>Winning Answer: "We fine-tune the Bhashini acoustic models with a dedicated Ayush botanical lexicon containing 12,000+ classical formulations and herb names."</w:t>
            </w:r>
          </w:p>
        </w:tc>
      </w:tr>
    </w:tbl>
    <w:p>
      <w:pPr>
        <w:spacing w:after="120"/>
      </w:pPr>
    </w:p>
    <w:p>
      <w:pPr>
        <w:spacing w:after="120"/>
      </w:pPr>
    </w:p>
    <w:p>
      <w:pPr>
        <w:keepNext/>
        <w:spacing w:before="320" w:after="120"/>
      </w:pPr>
      <w:r>
        <w:rPr>
          <w:rFonts w:ascii="Calibri" w:hAnsi="Calibri"/>
          <w:b/>
          <w:color w:val="B45309"/>
          <w:sz w:val="27"/>
        </w:rPr>
        <w:t>Slide 11: Feasibility, Security &amp; Sovereign Deployment</w:t>
      </w:r>
    </w:p>
    <w:p>
      <w:pPr>
        <w:spacing w:before="0" w:after="120" w:line="276" w:lineRule="auto"/>
      </w:pPr>
      <w:r>
        <w:rPr>
          <w:rFonts w:ascii="Calibri" w:hAnsi="Calibri"/>
          <w:b/>
          <w:color w:val="1E293B"/>
          <w:sz w:val="21"/>
        </w:rPr>
        <w:t xml:space="preserve">Visual Presentation Mockup: </w:t>
      </w:r>
      <w:r>
        <w:rPr>
          <w:rFonts w:ascii="Calibri" w:hAnsi="Calibri"/>
          <w:color w:val="1E293B"/>
          <w:sz w:val="21"/>
        </w:rPr>
        <w:t>Security badges: ISO 27001, DPDP Act 2023 Compliant, Air-Gapped Deployment on MeghRaj / NIC Government Cloud.</w:t>
      </w:r>
    </w:p>
    <w:p>
      <w:pPr>
        <w:spacing w:before="0" w:after="120" w:line="276" w:lineRule="auto"/>
      </w:pPr>
      <w:r>
        <w:rPr>
          <w:rFonts w:ascii="Calibri" w:hAnsi="Calibri"/>
          <w:b/>
          <w:color w:val="1E293B"/>
          <w:sz w:val="21"/>
        </w:rPr>
        <w:t xml:space="preserve">Presenter Pitching Script (Word-for-Word): </w:t>
      </w:r>
      <w:r>
        <w:rPr>
          <w:rFonts w:ascii="Calibri" w:hAnsi="Calibri"/>
          <w:color w:val="1E293B"/>
          <w:sz w:val="21"/>
        </w:rPr>
        <w:t>"IP-SAKTI Sahayak is designed for sovereign deployment on Indian Government Cloud (NIC / MeghRaj). It strictly complies with the Digital Personal Data Protection (DPDP) Act, 2023. Patent drafts and unpublished formulations remain 100% encrypted and confidential."</w:t>
      </w:r>
    </w:p>
    <w:tbl>
      <w:tblPr>
        <w:tblW w:type="auto" w:w="0"/>
        <w:jc w:val="center"/>
        <w:tblLayout w:type="fixed"/>
        <w:tblLook w:firstColumn="1" w:firstRow="1" w:lastColumn="0" w:lastRow="0" w:noHBand="0" w:noVBand="1" w:val="04A0"/>
      </w:tblPr>
      <w:tblGrid>
        <w:gridCol w:w="9360"/>
      </w:tblGrid>
      <w:tr>
        <w:tc>
          <w:tcPr>
            <w:tcW w:type="dxa" w:w="9360"/>
            <w:shd w:fill="FFFBEB"/>
            <w:tcMar>
              <w:top w:w="160" w:type="dxa"/>
              <w:bottom w:w="160" w:type="dxa"/>
              <w:left w:w="220" w:type="dxa"/>
              <w:right w:w="220" w:type="dxa"/>
            </w:tcMar>
            <w:tcBorders>
              <w:top w:val="none"/>
              <w:left w:val="single" w:sz="36" w:space="0" w:color="B45309"/>
              <w:bottom w:val="none"/>
              <w:right w:val="none"/>
            </w:tcBorders>
          </w:tcPr>
          <w:p>
            <w:pPr>
              <w:spacing w:before="0" w:after="60"/>
            </w:pPr>
            <w:r>
              <w:rPr>
                <w:rFonts w:ascii="Calibri" w:hAnsi="Calibri"/>
                <w:b/>
                <w:color w:val="B45309"/>
                <w:sz w:val="21"/>
              </w:rPr>
              <w:t>✦ ANTIPATED JUDGE TRAP &amp; WINNING DEFENSE (Slide 11)</w:t>
              <w:br/>
            </w:r>
            <w:r>
              <w:rPr>
                <w:rFonts w:ascii="Calibri" w:hAnsi="Calibri"/>
                <w:i/>
                <w:color w:val="1E293B"/>
                <w:sz w:val="20"/>
              </w:rPr>
              <w:t>Judge Question: "How will you handle proprietary formulation secrets entered by startups?"</w:t>
              <w:br/>
              <w:br/>
              <w:t>Winning Answer: "All formulation evaluations run inside encrypted, stateless enclave memory with zero data retention, ensuring complete trade secret confidentiality."</w:t>
            </w:r>
          </w:p>
        </w:tc>
      </w:tr>
    </w:tbl>
    <w:p>
      <w:pPr>
        <w:spacing w:after="120"/>
      </w:pPr>
    </w:p>
    <w:p>
      <w:pPr>
        <w:spacing w:after="120"/>
      </w:pPr>
    </w:p>
    <w:p>
      <w:pPr>
        <w:keepNext/>
        <w:spacing w:before="320" w:after="120"/>
      </w:pPr>
      <w:r>
        <w:rPr>
          <w:rFonts w:ascii="Calibri" w:hAnsi="Calibri"/>
          <w:b/>
          <w:color w:val="B45309"/>
          <w:sz w:val="27"/>
        </w:rPr>
        <w:t>Slide 12: National Impact &amp; Ministry of Ayush Rollout Roadmap</w:t>
      </w:r>
    </w:p>
    <w:p>
      <w:pPr>
        <w:spacing w:before="0" w:after="120" w:line="276" w:lineRule="auto"/>
      </w:pPr>
      <w:r>
        <w:rPr>
          <w:rFonts w:ascii="Calibri" w:hAnsi="Calibri"/>
          <w:b/>
          <w:color w:val="1E293B"/>
          <w:sz w:val="21"/>
        </w:rPr>
        <w:t xml:space="preserve">Visual Presentation Mockup: </w:t>
      </w:r>
      <w:r>
        <w:rPr>
          <w:rFonts w:ascii="Calibri" w:hAnsi="Calibri"/>
          <w:color w:val="1E293B"/>
          <w:sz w:val="21"/>
        </w:rPr>
        <w:t>12-month phased roadmap timeline: Q1 MVP &amp; State Piloting → Q2 Bhashini Voice Integration → Q3 NIC Sovereign Deployment → Q4 Nationwide Rollout.</w:t>
      </w:r>
    </w:p>
    <w:p>
      <w:pPr>
        <w:spacing w:before="0" w:after="120" w:line="276" w:lineRule="auto"/>
      </w:pPr>
      <w:r>
        <w:rPr>
          <w:rFonts w:ascii="Calibri" w:hAnsi="Calibri"/>
          <w:b/>
          <w:color w:val="1E293B"/>
          <w:sz w:val="21"/>
        </w:rPr>
        <w:t xml:space="preserve">Presenter Pitching Script (Word-for-Word): </w:t>
      </w:r>
      <w:r>
        <w:rPr>
          <w:rFonts w:ascii="Calibri" w:hAnsi="Calibri"/>
          <w:color w:val="1E293B"/>
          <w:sz w:val="21"/>
        </w:rPr>
        <w:t>"Our platform directly accelerates the Prime Minister's vision of an export-ready, biopiracy-resilient Ayush bio-economy. We have a clear 12-month phased rollout plan for national deployment across all State Ayush Licensing Authorities and the Indian Patent Office."</w:t>
      </w:r>
    </w:p>
    <w:tbl>
      <w:tblPr>
        <w:tblW w:type="auto" w:w="0"/>
        <w:jc w:val="center"/>
        <w:tblLayout w:type="fixed"/>
        <w:tblLook w:firstColumn="1" w:firstRow="1" w:lastColumn="0" w:lastRow="0" w:noHBand="0" w:noVBand="1" w:val="04A0"/>
      </w:tblPr>
      <w:tblGrid>
        <w:gridCol w:w="9360"/>
      </w:tblGrid>
      <w:tr>
        <w:tc>
          <w:tcPr>
            <w:tcW w:type="dxa" w:w="9360"/>
            <w:shd w:fill="FFFBEB"/>
            <w:tcMar>
              <w:top w:w="160" w:type="dxa"/>
              <w:bottom w:w="160" w:type="dxa"/>
              <w:left w:w="220" w:type="dxa"/>
              <w:right w:w="220" w:type="dxa"/>
            </w:tcMar>
            <w:tcBorders>
              <w:top w:val="none"/>
              <w:left w:val="single" w:sz="36" w:space="0" w:color="B45309"/>
              <w:bottom w:val="none"/>
              <w:right w:val="none"/>
            </w:tcBorders>
          </w:tcPr>
          <w:p>
            <w:pPr>
              <w:spacing w:before="0" w:after="60"/>
            </w:pPr>
            <w:r>
              <w:rPr>
                <w:rFonts w:ascii="Calibri" w:hAnsi="Calibri"/>
                <w:b/>
                <w:color w:val="B45309"/>
                <w:sz w:val="21"/>
              </w:rPr>
              <w:t>✦ ANTIPATED JUDGE TRAP &amp; WINNING DEFENSE (Slide 12)</w:t>
              <w:br/>
            </w:r>
            <w:r>
              <w:rPr>
                <w:rFonts w:ascii="Calibri" w:hAnsi="Calibri"/>
                <w:i/>
                <w:color w:val="1E293B"/>
                <w:sz w:val="20"/>
              </w:rPr>
              <w:t>Judge Question: "What is your call to action for the Ministry of Ayush?"</w:t>
              <w:br/>
              <w:br/>
              <w:t>Winning Answer: "Integrate IP-SAKTI Sahayak into the e-Aushadhi and IP India portals as the official statutory screening co-pilot for Indian Ayush innovators."</w:t>
            </w:r>
          </w:p>
        </w:tc>
      </w:tr>
    </w:tbl>
    <w:p>
      <w:pPr>
        <w:spacing w:after="120"/>
      </w:pPr>
    </w:p>
    <w:p>
      <w:pPr>
        <w:spacing w:after="120"/>
      </w:pPr>
    </w:p>
    <w:p>
      <w:r>
        <w:br w:type="page"/>
      </w:r>
    </w:p>
    <w:p>
      <w:pPr>
        <w:keepNext/>
        <w:spacing w:before="440" w:after="160"/>
        <w:pBdr>
          <w:bottom w:val="single" w:sz="12" w:space="4" w:color="B45309"/>
        </w:pBdr>
      </w:pPr>
      <w:r>
        <w:rPr>
          <w:rFonts w:ascii="Calibri" w:hAnsi="Calibri"/>
          <w:b/>
          <w:color w:val="0F2942"/>
          <w:sz w:val="34"/>
        </w:rPr>
        <w:t>Chapter 7: National Socio-Economic Impact, Sovereign Security &amp; Ministry Roadmap</w:t>
      </w:r>
    </w:p>
    <w:p>
      <w:pPr>
        <w:keepNext/>
        <w:spacing w:before="320" w:after="120"/>
      </w:pPr>
      <w:r>
        <w:rPr>
          <w:rFonts w:ascii="Calibri" w:hAnsi="Calibri"/>
          <w:b/>
          <w:color w:val="B45309"/>
          <w:sz w:val="27"/>
        </w:rPr>
        <w:t>7.1 Socio-Economic &amp; Bio-Economy Impact</w:t>
      </w:r>
    </w:p>
    <w:p>
      <w:pPr>
        <w:spacing w:before="0" w:after="120" w:line="276" w:lineRule="auto"/>
      </w:pPr>
      <w:r>
        <w:rPr>
          <w:rFonts w:ascii="Calibri" w:hAnsi="Calibri"/>
          <w:color w:val="1E293B"/>
          <w:sz w:val="21"/>
        </w:rPr>
        <w:t>India's Ayush market has expanded rapidly, reaching an estimated $24+ Billion in domestic and international turnover. However, the absence of robust, accessible intellectual property protection leaves Indian biological resources vulnerable to foreign patent appropriation (biopiracy) while stifling domestic R&amp;D. IP-SAKTI Sahayak creates tangible national impact:</w:t>
      </w:r>
    </w:p>
    <w:p>
      <w:pPr>
        <w:pStyle w:val="ListBullet"/>
        <w:spacing w:before="20" w:after="80" w:line="276" w:lineRule="auto"/>
        <w:ind w:left="360"/>
      </w:pPr>
      <w:r>
        <w:rPr>
          <w:rFonts w:ascii="Calibri" w:hAnsi="Calibri"/>
          <w:b/>
          <w:color w:val="1E293B"/>
          <w:sz w:val="21"/>
        </w:rPr>
        <w:t xml:space="preserve">1. Tripling Ayush Patent Grants: </w:t>
      </w:r>
      <w:r>
        <w:rPr>
          <w:rFonts w:ascii="Calibri" w:hAnsi="Calibri"/>
          <w:color w:val="1E293B"/>
          <w:sz w:val="21"/>
        </w:rPr>
        <w:t>By identifying Section 3(p) and 3(e) barriers early and guiding applicants toward synergistic and novel extraction claims, domestic patent grant success will increase from &lt;30% to over 75%.</w:t>
      </w:r>
    </w:p>
    <w:p>
      <w:pPr>
        <w:pStyle w:val="ListBullet"/>
        <w:spacing w:before="20" w:after="80" w:line="276" w:lineRule="auto"/>
        <w:ind w:left="360"/>
      </w:pPr>
      <w:r>
        <w:rPr>
          <w:rFonts w:ascii="Calibri" w:hAnsi="Calibri"/>
          <w:b/>
          <w:color w:val="1E293B"/>
          <w:sz w:val="21"/>
        </w:rPr>
        <w:t xml:space="preserve">2. 100% Elimination of NBA Non-Compliance: </w:t>
      </w:r>
      <w:r>
        <w:rPr>
          <w:rFonts w:ascii="Calibri" w:hAnsi="Calibri"/>
          <w:color w:val="1E293B"/>
          <w:sz w:val="21"/>
        </w:rPr>
        <w:t>By automating NBA Form 1 and Form 3 compliance checks, the system ensures complete statutory alignment with the Biological Diversity Act, eliminating legal disputes and criminal liabilities.</w:t>
      </w:r>
    </w:p>
    <w:p>
      <w:pPr>
        <w:pStyle w:val="ListBullet"/>
        <w:spacing w:before="20" w:after="80" w:line="276" w:lineRule="auto"/>
        <w:ind w:left="360"/>
      </w:pPr>
      <w:r>
        <w:rPr>
          <w:rFonts w:ascii="Calibri" w:hAnsi="Calibri"/>
          <w:b/>
          <w:color w:val="1E293B"/>
          <w:sz w:val="21"/>
        </w:rPr>
        <w:t xml:space="preserve">3. Grassroots Empowerment: </w:t>
      </w:r>
      <w:r>
        <w:rPr>
          <w:rFonts w:ascii="Calibri" w:hAnsi="Calibri"/>
          <w:color w:val="1E293B"/>
          <w:sz w:val="21"/>
        </w:rPr>
        <w:t>By bridging grassroots healers and MSMEs through Bhashini voice intelligence, the platform democratizes legal knowledge previously accessible only to elite corporate law firms.</w:t>
      </w:r>
    </w:p>
    <w:p>
      <w:pPr>
        <w:pStyle w:val="ListBullet"/>
        <w:spacing w:before="20" w:after="80" w:line="276" w:lineRule="auto"/>
        <w:ind w:left="360"/>
      </w:pPr>
      <w:r>
        <w:rPr>
          <w:rFonts w:ascii="Calibri" w:hAnsi="Calibri"/>
          <w:b/>
          <w:color w:val="1E293B"/>
          <w:sz w:val="21"/>
        </w:rPr>
        <w:t xml:space="preserve">4. Export Acceleration: </w:t>
      </w:r>
      <w:r>
        <w:rPr>
          <w:rFonts w:ascii="Calibri" w:hAnsi="Calibri"/>
          <w:color w:val="1E293B"/>
          <w:sz w:val="21"/>
        </w:rPr>
        <w:t>By clarifying EU THMPD and US FDA Botanical Guidance distinctions, Ayush manufacturers can structure their export dossiers properly, unlocking billions in European and American wellness markets.</w:t>
      </w:r>
    </w:p>
    <w:p>
      <w:pPr>
        <w:keepNext/>
        <w:spacing w:before="320" w:after="120"/>
      </w:pPr>
      <w:r>
        <w:rPr>
          <w:rFonts w:ascii="Calibri" w:hAnsi="Calibri"/>
          <w:b/>
          <w:color w:val="B45309"/>
          <w:sz w:val="27"/>
        </w:rPr>
        <w:t>7.2 Sovereign Data Security &amp; DPDP Act 2023 Compliance</w:t>
      </w:r>
    </w:p>
    <w:p>
      <w:pPr>
        <w:spacing w:before="0" w:after="120" w:line="276" w:lineRule="auto"/>
      </w:pPr>
      <w:r>
        <w:rPr>
          <w:rFonts w:ascii="Calibri" w:hAnsi="Calibri"/>
          <w:color w:val="1E293B"/>
          <w:sz w:val="21"/>
        </w:rPr>
        <w:t>Because intellectual property applications involve highly confidential, pre-filing trade secrets and formulation data, IP-SAKTI Sahayak implements an uncompromising defense-grade security architecture:</w:t>
      </w:r>
    </w:p>
    <w:p>
      <w:pPr>
        <w:pStyle w:val="ListBullet"/>
        <w:spacing w:before="20" w:after="80" w:line="276" w:lineRule="auto"/>
        <w:ind w:left="360"/>
      </w:pPr>
      <w:r>
        <w:rPr>
          <w:rFonts w:ascii="Calibri" w:hAnsi="Calibri"/>
          <w:b/>
          <w:color w:val="1E293B"/>
          <w:sz w:val="21"/>
        </w:rPr>
        <w:t xml:space="preserve">Air-Gapped Sovereign Deployment: </w:t>
      </w:r>
      <w:r>
        <w:rPr>
          <w:rFonts w:ascii="Calibri" w:hAnsi="Calibri"/>
          <w:color w:val="1E293B"/>
          <w:sz w:val="21"/>
        </w:rPr>
        <w:t>Can be hosted entirely on sovereign National Informatics Centre (NIC) or MeghRaj cloud infrastructure, ensuring no data leaves Indian territorial borders.</w:t>
      </w:r>
    </w:p>
    <w:p>
      <w:pPr>
        <w:pStyle w:val="ListBullet"/>
        <w:spacing w:before="20" w:after="80" w:line="276" w:lineRule="auto"/>
        <w:ind w:left="360"/>
      </w:pPr>
      <w:r>
        <w:rPr>
          <w:rFonts w:ascii="Calibri" w:hAnsi="Calibri"/>
          <w:b/>
          <w:color w:val="1E293B"/>
          <w:sz w:val="21"/>
        </w:rPr>
        <w:t xml:space="preserve">Stateless Formulation Processing: </w:t>
      </w:r>
      <w:r>
        <w:rPr>
          <w:rFonts w:ascii="Calibri" w:hAnsi="Calibri"/>
          <w:color w:val="1E293B"/>
          <w:sz w:val="21"/>
        </w:rPr>
        <w:t>All formulation checks are processed in isolated stateless memory enclaves with zero permanent logging of proprietary ingredient ratios.</w:t>
      </w:r>
    </w:p>
    <w:p>
      <w:pPr>
        <w:pStyle w:val="ListBullet"/>
        <w:spacing w:before="20" w:after="80" w:line="276" w:lineRule="auto"/>
        <w:ind w:left="360"/>
      </w:pPr>
      <w:r>
        <w:rPr>
          <w:rFonts w:ascii="Calibri" w:hAnsi="Calibri"/>
          <w:b/>
          <w:color w:val="1E293B"/>
          <w:sz w:val="21"/>
        </w:rPr>
        <w:t xml:space="preserve">DPDP Act Compliance: </w:t>
      </w:r>
      <w:r>
        <w:rPr>
          <w:rFonts w:ascii="Calibri" w:hAnsi="Calibri"/>
          <w:color w:val="1E293B"/>
          <w:sz w:val="21"/>
        </w:rPr>
        <w:t>Full compliance with India's Digital Personal Data Protection Act (DPDP Act, 2023) and ISO 27001 data governance standards.</w:t>
      </w:r>
    </w:p>
    <w:p>
      <w:pPr>
        <w:keepNext/>
        <w:spacing w:before="320" w:after="120"/>
      </w:pPr>
      <w:r>
        <w:rPr>
          <w:rFonts w:ascii="Calibri" w:hAnsi="Calibri"/>
          <w:b/>
          <w:color w:val="B45309"/>
          <w:sz w:val="27"/>
        </w:rPr>
        <w:t>7.3 12-Month Phased Rollout Roadmap for Ministry of Ayush</w:t>
      </w:r>
    </w:p>
    <w:tbl>
      <w:tblPr>
        <w:tblW w:type="auto" w:w="0"/>
        <w:jc w:val="center"/>
        <w:tblLayout w:type="fixed"/>
        <w:tblLook w:firstColumn="1" w:firstRow="1" w:lastColumn="0" w:lastRow="0" w:noHBand="0" w:noVBand="1" w:val="04A0"/>
        <w:tblBorders>
          <w:top w:val="single" w:sz="6" w:space="0" w:color="CBD5E1"/>
          <w:left w:val="none"/>
          <w:bottom w:val="single" w:sz="8" w:space="0" w:color="CBD5E1"/>
          <w:right w:val="none"/>
          <w:insideH w:val="single" w:sz="4" w:space="0" w:color="CBD5E1"/>
          <w:insideV w:val="none"/>
        </w:tblBorders>
      </w:tblPr>
      <w:tblGrid>
        <w:gridCol w:w="3120"/>
        <w:gridCol w:w="3120"/>
        <w:gridCol w:w="3120"/>
      </w:tblGrid>
      <w:tr>
        <w:trPr>
          <w:tblHeader/>
        </w:trPr>
        <w:tc>
          <w:tcPr>
            <w:tcW w:type="dxa" w:w="2160"/>
            <w:shd w:fill="0F2942"/>
            <w:tcMar>
              <w:top w:w="140" w:type="dxa"/>
              <w:bottom w:w="140" w:type="dxa"/>
              <w:left w:w="160" w:type="dxa"/>
              <w:right w:w="160" w:type="dxa"/>
            </w:tcMar>
          </w:tcPr>
          <w:p>
            <w:pPr>
              <w:spacing w:before="0" w:after="0"/>
            </w:pPr>
            <w:r>
              <w:rPr>
                <w:rFonts w:ascii="Calibri" w:hAnsi="Calibri"/>
                <w:b/>
                <w:color w:val="FFFFFF"/>
                <w:sz w:val="19"/>
              </w:rPr>
              <w:t>Phase &amp; Timeline</w:t>
            </w:r>
          </w:p>
        </w:tc>
        <w:tc>
          <w:tcPr>
            <w:tcW w:type="dxa" w:w="5040"/>
            <w:shd w:fill="0F2942"/>
            <w:tcMar>
              <w:top w:w="140" w:type="dxa"/>
              <w:bottom w:w="140" w:type="dxa"/>
              <w:left w:w="160" w:type="dxa"/>
              <w:right w:w="160" w:type="dxa"/>
            </w:tcMar>
          </w:tcPr>
          <w:p>
            <w:pPr>
              <w:spacing w:before="0" w:after="0"/>
            </w:pPr>
            <w:r>
              <w:rPr>
                <w:rFonts w:ascii="Calibri" w:hAnsi="Calibri"/>
                <w:b/>
                <w:color w:val="FFFFFF"/>
                <w:sz w:val="19"/>
              </w:rPr>
              <w:t>Milestones &amp; Core Deliverables</w:t>
            </w:r>
          </w:p>
        </w:tc>
        <w:tc>
          <w:tcPr>
            <w:tcW w:type="dxa" w:w="2160"/>
            <w:shd w:fill="0F2942"/>
            <w:tcMar>
              <w:top w:w="140" w:type="dxa"/>
              <w:bottom w:w="140" w:type="dxa"/>
              <w:left w:w="160" w:type="dxa"/>
              <w:right w:w="160" w:type="dxa"/>
            </w:tcMar>
          </w:tcPr>
          <w:p>
            <w:pPr>
              <w:spacing w:before="0" w:after="0"/>
            </w:pPr>
            <w:r>
              <w:rPr>
                <w:rFonts w:ascii="Calibri" w:hAnsi="Calibri"/>
                <w:b/>
                <w:color w:val="FFFFFF"/>
                <w:sz w:val="19"/>
              </w:rPr>
              <w:t>Target Beneficiaries</w:t>
            </w:r>
          </w:p>
        </w:tc>
      </w:tr>
      <w:tr>
        <w:tc>
          <w:tcPr>
            <w:tcW w:type="dxa" w:w="2160"/>
            <w:shd w:fill="FFFFFF"/>
            <w:tcMar>
              <w:top w:w="100" w:type="dxa"/>
              <w:bottom w:w="100" w:type="dxa"/>
              <w:left w:w="140" w:type="dxa"/>
              <w:right w:w="140" w:type="dxa"/>
            </w:tcMar>
          </w:tcPr>
          <w:p>
            <w:pPr>
              <w:spacing w:before="0" w:after="0" w:line="269" w:lineRule="auto"/>
            </w:pPr>
            <w:r>
              <w:rPr>
                <w:rFonts w:ascii="Calibri" w:hAnsi="Calibri"/>
                <w:color w:val="1E293B"/>
                <w:sz w:val="18"/>
              </w:rPr>
              <w:t>Phase 1: Months 1-3</w:t>
              <w:br/>
              <w:t>(Hackathon Prototype to Pilot)</w:t>
            </w:r>
          </w:p>
        </w:tc>
        <w:tc>
          <w:tcPr>
            <w:tcW w:type="dxa" w:w="5040"/>
            <w:shd w:fill="FFFFFF"/>
            <w:tcMar>
              <w:top w:w="100" w:type="dxa"/>
              <w:bottom w:w="100" w:type="dxa"/>
              <w:left w:w="140" w:type="dxa"/>
              <w:right w:w="140" w:type="dxa"/>
            </w:tcMar>
          </w:tcPr>
          <w:p>
            <w:pPr>
              <w:spacing w:before="0" w:after="0" w:line="269" w:lineRule="auto"/>
            </w:pPr>
            <w:r>
              <w:rPr>
                <w:rFonts w:ascii="Calibri" w:hAnsi="Calibri"/>
                <w:color w:val="991B1B"/>
                <w:sz w:val="18"/>
              </w:rPr>
              <w:t>• Index complete Indian Patents Act, Ayush Examination Guidelines, Biological Diversity Act 2023, and D&amp;C Rule 158B.</w:t>
              <w:br/>
              <w:t>• Deploy core 4-Agent MoE and Conflict Detection Engine.</w:t>
              <w:br/>
              <w:t>• Pilot with 50 Ayush startups and academic incubation centers.</w:t>
            </w:r>
          </w:p>
        </w:tc>
        <w:tc>
          <w:tcPr>
            <w:tcW w:type="dxa" w:w="2160"/>
            <w:shd w:fill="FFFFFF"/>
            <w:tcMar>
              <w:top w:w="100" w:type="dxa"/>
              <w:bottom w:w="100" w:type="dxa"/>
              <w:left w:w="140" w:type="dxa"/>
              <w:right w:w="140" w:type="dxa"/>
            </w:tcMar>
          </w:tcPr>
          <w:p>
            <w:pPr>
              <w:spacing w:before="0" w:after="0" w:line="269" w:lineRule="auto"/>
            </w:pPr>
            <w:r>
              <w:rPr>
                <w:rFonts w:ascii="Calibri" w:hAnsi="Calibri"/>
                <w:color w:val="1E293B"/>
                <w:sz w:val="18"/>
              </w:rPr>
              <w:t>Ayush Incubators, Patent Attorneys, Academic Researchers</w:t>
            </w:r>
          </w:p>
        </w:tc>
      </w:tr>
      <w:tr>
        <w:tc>
          <w:tcPr>
            <w:tcW w:type="dxa" w:w="2160"/>
            <w:shd w:fill="F8FAFC"/>
            <w:tcMar>
              <w:top w:w="100" w:type="dxa"/>
              <w:bottom w:w="100" w:type="dxa"/>
              <w:left w:w="140" w:type="dxa"/>
              <w:right w:w="140" w:type="dxa"/>
            </w:tcMar>
          </w:tcPr>
          <w:p>
            <w:pPr>
              <w:spacing w:before="0" w:after="0" w:line="269" w:lineRule="auto"/>
            </w:pPr>
            <w:r>
              <w:rPr>
                <w:rFonts w:ascii="Calibri" w:hAnsi="Calibri"/>
                <w:color w:val="1E293B"/>
                <w:sz w:val="18"/>
              </w:rPr>
              <w:t>Phase 2: Months 4-6</w:t>
              <w:br/>
              <w:t>(Bhashini &amp; State Ayush Integration)</w:t>
            </w:r>
          </w:p>
        </w:tc>
        <w:tc>
          <w:tcPr>
            <w:tcW w:type="dxa" w:w="5040"/>
            <w:shd w:fill="F8FAFC"/>
            <w:tcMar>
              <w:top w:w="100" w:type="dxa"/>
              <w:bottom w:w="100" w:type="dxa"/>
              <w:left w:w="140" w:type="dxa"/>
              <w:right w:w="140" w:type="dxa"/>
            </w:tcMar>
          </w:tcPr>
          <w:p>
            <w:pPr>
              <w:spacing w:before="0" w:after="0" w:line="269" w:lineRule="auto"/>
            </w:pPr>
            <w:r>
              <w:rPr>
                <w:rFonts w:ascii="Calibri" w:hAnsi="Calibri"/>
                <w:color w:val="1E293B"/>
                <w:sz w:val="18"/>
              </w:rPr>
              <w:t>• Integrate Government of India Bhashini ASR/TTS for Hindi, Tamil, Telugu, and Marathi.</w:t>
              <w:br/>
              <w:t>• Connect with Uttar Pradesh, Kerala, and Gujarat State Ayush Licensing Authority (SALA) portals.</w:t>
              <w:br/>
              <w:t>• Release Automated Form Drafting Suite (IPO Form 1/2, NBA Form 3).</w:t>
            </w:r>
          </w:p>
        </w:tc>
        <w:tc>
          <w:tcPr>
            <w:tcW w:type="dxa" w:w="2160"/>
            <w:shd w:fill="F8FAFC"/>
            <w:tcMar>
              <w:top w:w="100" w:type="dxa"/>
              <w:bottom w:w="100" w:type="dxa"/>
              <w:left w:w="140" w:type="dxa"/>
              <w:right w:w="140" w:type="dxa"/>
            </w:tcMar>
          </w:tcPr>
          <w:p>
            <w:pPr>
              <w:spacing w:before="0" w:after="0" w:line="269" w:lineRule="auto"/>
            </w:pPr>
            <w:r>
              <w:rPr>
                <w:rFonts w:ascii="Calibri" w:hAnsi="Calibri"/>
                <w:color w:val="1E293B"/>
                <w:sz w:val="18"/>
              </w:rPr>
              <w:t>Grassroots Vaidyas, Hakims, State Licensing Authorities</w:t>
            </w:r>
          </w:p>
        </w:tc>
      </w:tr>
      <w:tr>
        <w:tc>
          <w:tcPr>
            <w:tcW w:type="dxa" w:w="2160"/>
            <w:shd w:fill="FFFFFF"/>
            <w:tcMar>
              <w:top w:w="100" w:type="dxa"/>
              <w:bottom w:w="100" w:type="dxa"/>
              <w:left w:w="140" w:type="dxa"/>
              <w:right w:w="140" w:type="dxa"/>
            </w:tcMar>
          </w:tcPr>
          <w:p>
            <w:pPr>
              <w:spacing w:before="0" w:after="0" w:line="269" w:lineRule="auto"/>
            </w:pPr>
            <w:r>
              <w:rPr>
                <w:rFonts w:ascii="Calibri" w:hAnsi="Calibri"/>
                <w:color w:val="1E293B"/>
                <w:sz w:val="18"/>
              </w:rPr>
              <w:t>Phase 3: Months 7-9</w:t>
              <w:br/>
              <w:t>(NIC Sovereign Cloud Deployment)</w:t>
            </w:r>
          </w:p>
        </w:tc>
        <w:tc>
          <w:tcPr>
            <w:tcW w:type="dxa" w:w="5040"/>
            <w:shd w:fill="FFFFFF"/>
            <w:tcMar>
              <w:top w:w="100" w:type="dxa"/>
              <w:bottom w:w="100" w:type="dxa"/>
              <w:left w:w="140" w:type="dxa"/>
              <w:right w:w="140" w:type="dxa"/>
            </w:tcMar>
          </w:tcPr>
          <w:p>
            <w:pPr>
              <w:spacing w:before="0" w:after="0" w:line="269" w:lineRule="auto"/>
            </w:pPr>
            <w:r>
              <w:rPr>
                <w:rFonts w:ascii="Calibri" w:hAnsi="Calibri"/>
                <w:color w:val="1E293B"/>
                <w:sz w:val="18"/>
              </w:rPr>
              <w:t>• Deploy production instances on MeghRaj / NIC cloud infrastructure.</w:t>
              <w:br/>
              <w:t>• Connect live Gazette Sentinel to Ministry of Ayush and IP India circular feeds.</w:t>
              <w:br/>
              <w:t>• Complete formal security audit and DPDP Act compliance certification.</w:t>
            </w:r>
          </w:p>
        </w:tc>
        <w:tc>
          <w:tcPr>
            <w:tcW w:type="dxa" w:w="2160"/>
            <w:shd w:fill="FFFFFF"/>
            <w:tcMar>
              <w:top w:w="100" w:type="dxa"/>
              <w:bottom w:w="100" w:type="dxa"/>
              <w:left w:w="140" w:type="dxa"/>
              <w:right w:w="140" w:type="dxa"/>
            </w:tcMar>
          </w:tcPr>
          <w:p>
            <w:pPr>
              <w:spacing w:before="0" w:after="0" w:line="269" w:lineRule="auto"/>
            </w:pPr>
            <w:r>
              <w:rPr>
                <w:rFonts w:ascii="Calibri" w:hAnsi="Calibri"/>
                <w:color w:val="1E293B"/>
                <w:sz w:val="18"/>
              </w:rPr>
              <w:t>Ministry of Ayush, Controller General of Patents (CGPDTM)</w:t>
            </w:r>
          </w:p>
        </w:tc>
      </w:tr>
      <w:tr>
        <w:tc>
          <w:tcPr>
            <w:tcW w:type="dxa" w:w="2160"/>
            <w:shd w:fill="F8FAFC"/>
            <w:tcMar>
              <w:top w:w="100" w:type="dxa"/>
              <w:bottom w:w="100" w:type="dxa"/>
              <w:left w:w="140" w:type="dxa"/>
              <w:right w:w="140" w:type="dxa"/>
            </w:tcMar>
          </w:tcPr>
          <w:p>
            <w:pPr>
              <w:spacing w:before="0" w:after="0" w:line="269" w:lineRule="auto"/>
            </w:pPr>
            <w:r>
              <w:rPr>
                <w:rFonts w:ascii="Calibri" w:hAnsi="Calibri"/>
                <w:color w:val="1E293B"/>
                <w:sz w:val="18"/>
              </w:rPr>
              <w:t>Phase 4: Months 10-12</w:t>
              <w:br/>
              <w:t>(Nationwide Ecosystem Launch)</w:t>
            </w:r>
          </w:p>
        </w:tc>
        <w:tc>
          <w:tcPr>
            <w:tcW w:type="dxa" w:w="5040"/>
            <w:shd w:fill="F8FAFC"/>
            <w:tcMar>
              <w:top w:w="100" w:type="dxa"/>
              <w:bottom w:w="100" w:type="dxa"/>
              <w:left w:w="140" w:type="dxa"/>
              <w:right w:w="140" w:type="dxa"/>
            </w:tcMar>
          </w:tcPr>
          <w:p>
            <w:pPr>
              <w:spacing w:before="0" w:after="0" w:line="269" w:lineRule="auto"/>
            </w:pPr>
            <w:r>
              <w:rPr>
                <w:rFonts w:ascii="Calibri" w:hAnsi="Calibri"/>
                <w:color w:val="1E293B"/>
                <w:sz w:val="18"/>
              </w:rPr>
              <w:t>• Full public integration into e-Aushadhi and IP India portals.</w:t>
              <w:br/>
              <w:t>• Nationwide training workshops across 100+ Ayush universities and research councils (CCRAS, CCRUM, CCRH).</w:t>
              <w:br/>
              <w:t>• Launch Global Export Advisor module for WIPO, US-FDA, and EU markets.</w:t>
            </w:r>
          </w:p>
        </w:tc>
        <w:tc>
          <w:tcPr>
            <w:tcW w:type="dxa" w:w="2160"/>
            <w:shd w:fill="F8FAFC"/>
            <w:tcMar>
              <w:top w:w="100" w:type="dxa"/>
              <w:bottom w:w="100" w:type="dxa"/>
              <w:left w:w="140" w:type="dxa"/>
              <w:right w:w="140" w:type="dxa"/>
            </w:tcMar>
          </w:tcPr>
          <w:p>
            <w:pPr>
              <w:spacing w:before="0" w:after="0" w:line="269" w:lineRule="auto"/>
            </w:pPr>
            <w:r>
              <w:rPr>
                <w:rFonts w:ascii="Calibri" w:hAnsi="Calibri"/>
                <w:color w:val="1E293B"/>
                <w:sz w:val="18"/>
              </w:rPr>
              <w:t>Pan-India Ayush Innovation Ecosystem &amp; Global Exporters</w:t>
            </w:r>
          </w:p>
        </w:tc>
      </w:tr>
    </w:tbl>
    <w:p>
      <w:pPr>
        <w:spacing w:after="160"/>
      </w:pPr>
    </w:p>
    <w:p>
      <w:pPr>
        <w:keepNext/>
        <w:spacing w:before="320" w:after="120"/>
      </w:pPr>
      <w:r>
        <w:rPr>
          <w:rFonts w:ascii="Calibri" w:hAnsi="Calibri"/>
          <w:b/>
          <w:color w:val="B45309"/>
          <w:sz w:val="27"/>
        </w:rPr>
        <w:t>7.4 Conclusion &amp; Call to Action</w:t>
      </w:r>
    </w:p>
    <w:p>
      <w:pPr>
        <w:spacing w:before="0" w:after="120" w:line="276" w:lineRule="auto"/>
      </w:pPr>
      <w:r>
        <w:rPr>
          <w:rFonts w:ascii="Calibri" w:hAnsi="Calibri"/>
          <w:color w:val="1E293B"/>
          <w:sz w:val="21"/>
        </w:rPr>
        <w:t>IP-SAKTI Sahayak is not just a hackathon demonstration; it is a foundational national infrastructure project. By combining atomic clause-level legal grounding, multi-agent cross-regulatory conflict reasoning, and voice-first multilingual accessibility, it resolves the historical Ayush Patent Paradox and safeguards India's traditional knowledge for generations to come. We look forward to presenting this transformative platform to the Ministry of Ayush and securing victory at Smart India Hackathon 2026.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Confidential — Smart India Hackathon 2026 Technical Project Report &amp; Presentation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IP-SAKTI Sahayak | SIH26045 — Ministry of Ayush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