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400"/>
        <w:jc w:val="center"/>
      </w:pPr>
      <w:r>
        <w:rPr>
          <w:rFonts w:ascii="Tajawal" w:cs="Tajawal" w:eastAsia="Tajawal" w:hAnsi="Tajawal"/>
          <w:color w:val="C49A2B"/>
          <w:sz w:val="22"/>
          <w:szCs w:val="22"/>
          <w:rtl/>
        </w:rPr>
        <w:t xml:space="preserve">ARKANE AI · قسم الأبحاث</w:t>
      </w:r>
    </w:p>
    <w:p>
      <w:pPr>
        <w:bidi/>
        <w:spacing w:after="100" w:before="200"/>
        <w:jc w:val="center"/>
      </w:pPr>
      <w:r>
        <w:rPr>
          <w:rFonts w:ascii="Tajawal" w:cs="Tajawal" w:eastAsia="Tajawal" w:hAnsi="Tajawal"/>
          <w:b/>
          <w:bCs/>
          <w:color w:val="0F2745"/>
          <w:sz w:val="64"/>
          <w:szCs w:val="64"/>
          <w:rtl/>
        </w:rPr>
        <w:t xml:space="preserve">بنية السياق السائل</w:t>
      </w:r>
    </w:p>
    <w:p>
      <w:pPr>
        <w:bidi/>
        <w:spacing w:after="200"/>
        <w:jc w:val="center"/>
      </w:pPr>
      <w:r>
        <w:rPr>
          <w:rFonts w:ascii="Calibri" w:cs="Calibri" w:eastAsia="Calibri" w:hAnsi="Calibri"/>
          <w:b/>
          <w:bCs/>
          <w:color w:val="C49A2B"/>
          <w:sz w:val="28"/>
          <w:szCs w:val="28"/>
        </w:rPr>
        <w:t xml:space="preserve">LIQUID  CONTEXT  ARCHITECTURE</w:t>
      </w:r>
    </w:p>
    <w:p>
      <w:pPr>
        <w:bidi/>
        <w:spacing w:after="200"/>
        <w:jc w:val="center"/>
      </w:pPr>
      <w:r>
        <w:rPr>
          <w:rFonts w:ascii="Tajawal" w:cs="Tajawal" w:eastAsia="Tajawal" w:hAnsi="Tajawal"/>
          <w:color w:val="1F8A98"/>
          <w:sz w:val="26"/>
          <w:szCs w:val="26"/>
          <w:rtl/>
        </w:rPr>
        <w:t xml:space="preserve">إصدار عربي أصلي</w:t>
      </w:r>
    </w:p>
    <w:p>
      <w:pPr>
        <w:bidi/>
        <w:spacing w:after="600"/>
        <w:jc w:val="center"/>
      </w:pPr>
      <w:r>
        <w:rPr>
          <w:rFonts w:ascii="Tajawal" w:cs="Tajawal" w:eastAsia="Tajawal" w:hAnsi="Tajawal"/>
          <w:sz w:val="24"/>
          <w:szCs w:val="24"/>
          <w:rtl/>
        </w:rPr>
        <w:t xml:space="preserve">ذاكرة هرمية واعية بالصرف للذكاء الاصطناعي السيادي</w:t>
      </w:r>
    </w:p>
    <w:p>
      <w:pPr>
        <w:bidi/>
        <w:spacing w:after="80" w:before="400"/>
        <w:jc w:val="center"/>
      </w:pPr>
      <w:r>
        <w:rPr>
          <w:rFonts w:ascii="Tajawal" w:cs="Tajawal" w:eastAsia="Tajawal" w:hAnsi="Tajawal"/>
          <w:b/>
          <w:bCs/>
          <w:sz w:val="24"/>
          <w:szCs w:val="24"/>
          <w:rtl/>
        </w:rPr>
        <w:t xml:space="preserve">دراسة بحثية متعمّقة في المعمارية التقنية والجدوى التجارية</w:t>
      </w:r>
    </w:p>
    <w:p>
      <w:pPr>
        <w:bidi/>
        <w:spacing w:after="80" w:before="600"/>
        <w:jc w:val="center"/>
      </w:pPr>
      <w:r>
        <w:rPr>
          <w:rFonts w:ascii="Tajawal" w:cs="Tajawal" w:eastAsia="Tajawal" w:hAnsi="Tajawal"/>
          <w:sz w:val="22"/>
          <w:szCs w:val="22"/>
          <w:rtl/>
        </w:rPr>
        <w:t xml:space="preserve">وثيقة بحث داخلية</w:t>
      </w:r>
    </w:p>
    <w:p>
      <w:pPr>
        <w:bidi/>
        <w:spacing w:after="80"/>
        <w:jc w:val="center"/>
      </w:pPr>
      <w:r>
        <w:rPr>
          <w:rFonts w:ascii="Tajawal" w:cs="Tajawal" w:eastAsia="Tajawal" w:hAnsi="Tajawal"/>
          <w:b/>
          <w:bCs/>
          <w:color w:val="0F2745"/>
          <w:sz w:val="26"/>
          <w:szCs w:val="26"/>
          <w:rtl/>
        </w:rPr>
        <w:t xml:space="preserve">دراسة بحثية وجدوى أكاديمية</w:t>
      </w:r>
    </w:p>
    <w:p>
      <w:pPr>
        <w:bidi/>
        <w:spacing w:after="400"/>
        <w:jc w:val="center"/>
      </w:pPr>
      <w:r>
        <w:rPr>
          <w:rFonts w:ascii="Tajawal" w:cs="Tajawal" w:eastAsia="Tajawal" w:hAnsi="Tajawal"/>
          <w:sz w:val="22"/>
          <w:szCs w:val="22"/>
          <w:rtl/>
        </w:rPr>
        <w:t xml:space="preserve">حول معمارية نماذج LLM العربية الأصلية</w:t>
      </w:r>
    </w:p>
    <w:p>
      <w:pPr>
        <w:bidi/>
        <w:spacing w:after="80" w:before="600"/>
        <w:jc w:val="center"/>
      </w:pPr>
      <w:r>
        <w:rPr>
          <w:rFonts w:ascii="Tajawal" w:cs="Tajawal" w:eastAsia="Tajawal" w:hAnsi="Tajawal"/>
          <w:b/>
          <w:bCs/>
          <w:sz w:val="24"/>
          <w:szCs w:val="24"/>
          <w:rtl/>
        </w:rPr>
        <w:t xml:space="preserve">قسم أبحاث ARKANE AI</w:t>
      </w:r>
    </w:p>
    <w:p>
      <w:pPr>
        <w:bidi/>
        <w:spacing w:after="80"/>
        <w:jc w:val="center"/>
      </w:pPr>
      <w:r>
        <w:rPr>
          <w:rFonts w:ascii="Tajawal" w:cs="Tajawal" w:eastAsia="Tajawal" w:hAnsi="Tajawal"/>
          <w:sz w:val="22"/>
          <w:szCs w:val="22"/>
          <w:rtl/>
        </w:rPr>
        <w:t xml:space="preserve">مبادرة أبحاث معمارية السياق السائل (LCA)</w:t>
      </w:r>
    </w:p>
    <w:p>
      <w:pPr>
        <w:bidi/>
        <w:spacing w:after="400"/>
        <w:jc w:val="center"/>
      </w:pPr>
      <w:r>
        <w:rPr>
          <w:rFonts w:ascii="Tajawal" w:cs="Tajawal" w:eastAsia="Tajawal" w:hAnsi="Tajawal"/>
          <w:sz w:val="22"/>
          <w:szCs w:val="22"/>
          <w:rtl/>
        </w:rPr>
        <w:t xml:space="preserve">أبها  ·  المملكة العربية السعودية  ·  2026</w:t>
      </w:r>
    </w:p>
    <w:p>
      <w:pPr>
        <w:bidi/>
        <w:spacing w:before="800"/>
        <w:jc w:val="center"/>
      </w:pPr>
      <w:r>
        <w:rPr>
          <w:rFonts w:ascii="Tajawal" w:cs="Tajawal" w:eastAsia="Tajawal" w:hAnsi="Tajawal"/>
          <w:color w:val="C49A2B"/>
          <w:sz w:val="22"/>
          <w:szCs w:val="22"/>
          <w:rtl/>
        </w:rPr>
        <w:t xml:space="preserve">سرّي — إفصاح ما قبل البراءة</w:t>
      </w:r>
    </w:p>
    <w:p>
      <w:pPr>
        <w:pageBreakBefore/>
      </w:pPr>
    </w:p>
    <w:p>
      <w:pPr>
        <w:pStyle w:val="Heading1"/>
        <w:bidi/>
        <w:spacing w:after="160" w:before="360"/>
        <w:jc w:val="right"/>
      </w:pPr>
      <w:r>
        <w:rPr>
          <w:rFonts w:ascii="Tajawal" w:cs="Tajawal" w:eastAsia="Tajawal" w:hAnsi="Tajawal"/>
          <w:b/>
          <w:bCs/>
          <w:color w:val="0F2745"/>
          <w:sz w:val="36"/>
          <w:szCs w:val="36"/>
          <w:rtl/>
        </w:rPr>
        <w:t xml:space="preserve">1. الملخّص التنفيذي</w:t>
      </w:r>
    </w:p>
    <w:p>
      <w:pPr>
        <w:pStyle w:val="Heading3"/>
        <w:bidi/>
        <w:spacing w:after="100" w:before="220"/>
        <w:jc w:val="right"/>
      </w:pPr>
      <w:r>
        <w:rPr>
          <w:rFonts w:ascii="Tajawal" w:cs="Tajawal" w:eastAsia="Tajawal" w:hAnsi="Tajawal"/>
          <w:b/>
          <w:bCs/>
          <w:color w:val="C49A2B"/>
          <w:sz w:val="24"/>
          <w:szCs w:val="24"/>
          <w:rtl/>
        </w:rPr>
        <w:t xml:space="preserve">الفرصة</w:t>
      </w:r>
    </w:p>
    <w:p>
      <w:pPr>
        <w:bidi/>
        <w:spacing w:after="80" w:before="80" w:line="360"/>
        <w:jc w:val="right"/>
      </w:pPr>
      <w:r>
        <w:rPr>
          <w:rFonts w:ascii="Tajawal" w:cs="Tajawal" w:eastAsia="Tajawal" w:hAnsi="Tajawal"/>
          <w:sz w:val="22"/>
          <w:szCs w:val="22"/>
          <w:rtl/>
        </w:rPr>
        <w:t xml:space="preserve">كل نموذج لغوي ضخم منتشر في العالم العربي اليوم — النماذج العربية الإقليمية الرائدة، والجيل الجديد من نماذج الأساس السيادية قيد التطوير — هو في جوهره معمارية ترانسفورمر صُمّمت حول الخصائص الإحصائية للإنجليزية، ثم خُضعت لتدريب لاحق على بيانات عربية. لا أحد منها أُعيد تصميمه معمارياً من الصفر ليحترم الخصائص البنيوية للعربية: صرفها الجذري-القالبي غير المتتابع، انقسامها بين الفصحى والعامية، إنتاجيتها الاشتقاقية الغنية، وطبقات سياقها الديني-الثقافي.</w:t>
      </w:r>
    </w:p>
    <w:p>
      <w:pPr>
        <w:bidi/>
        <w:spacing w:after="80" w:before="80" w:line="360"/>
        <w:jc w:val="right"/>
      </w:pPr>
      <w:r>
        <w:rPr>
          <w:rFonts w:ascii="Tajawal" w:cs="Tajawal" w:eastAsia="Tajawal" w:hAnsi="Tajawal"/>
          <w:sz w:val="22"/>
          <w:szCs w:val="22"/>
          <w:rtl/>
        </w:rPr>
        <w:t xml:space="preserve">هذا يُنتج فجوة أداء بنيوية عميقة. أثبتت أبحاث أكاديمية حديثة كمياً أنّ حتى نماذج LLM العربية المتمحورة تفشل في التوليد المنتج للجذور والأوزان، بدرجات خصوبة تقطيع أسوأ بـ 2.4 إلى 3.7 مرة من الإنجليزية. التكلفة ليست نظرية: تظهر في تردّي الاستدلال، انخفاض الإنتاجية، ارتفاع تكلفة الاستدلال لكل قطعة، وضعف الأداء على السياق الطويل لأحمال العمل العربية المؤسسية.</w:t>
      </w:r>
    </w:p>
    <w:p>
      <w:pPr>
        <w:pStyle w:val="Heading3"/>
        <w:bidi/>
        <w:spacing w:after="100" w:before="220"/>
        <w:jc w:val="right"/>
      </w:pPr>
      <w:r>
        <w:rPr>
          <w:rFonts w:ascii="Tajawal" w:cs="Tajawal" w:eastAsia="Tajawal" w:hAnsi="Tajawal"/>
          <w:b/>
          <w:bCs/>
          <w:color w:val="C49A2B"/>
          <w:sz w:val="24"/>
          <w:szCs w:val="24"/>
          <w:rtl/>
        </w:rPr>
        <w:t xml:space="preserve">الابتكار</w:t>
      </w:r>
    </w:p>
    <w:p>
      <w:pPr>
        <w:bidi/>
        <w:spacing w:after="80" w:before="80" w:line="360"/>
        <w:jc w:val="right"/>
      </w:pPr>
      <w:r>
        <w:rPr>
          <w:rFonts w:ascii="Tajawal" w:cs="Tajawal" w:eastAsia="Tajawal" w:hAnsi="Tajawal"/>
          <w:sz w:val="22"/>
          <w:szCs w:val="22"/>
          <w:rtl/>
        </w:rPr>
        <w:t xml:space="preserve">بنية السياق السائل (LCA) معماريّةُ ذاكرة جديدة من فئة الترانسفورمر تجمع ثلاثة ابتكارات في تصميم واحد متماسك:</w:t>
      </w:r>
    </w:p>
    <w:p>
      <w:pPr>
        <w:bidi/>
        <w:spacing w:after="80" w:before="80" w:line="360"/>
        <w:jc w:val="right"/>
      </w:pPr>
      <w:r>
        <w:rPr>
          <w:rFonts w:ascii="Tajawal" w:cs="Tajawal" w:eastAsia="Tajawal" w:hAnsi="Tajawal"/>
          <w:b/>
          <w:bCs/>
          <w:sz w:val="22"/>
          <w:szCs w:val="22"/>
          <w:rtl/>
        </w:rPr>
        <w:t xml:space="preserve">الضغط الهرمي المشروط بالاستعلام: </w:t>
      </w:r>
      <w:r>
        <w:rPr>
          <w:rFonts w:ascii="Tajawal" w:cs="Tajawal" w:eastAsia="Tajawal" w:hAnsi="Tajawal"/>
          <w:sz w:val="22"/>
          <w:szCs w:val="22"/>
          <w:rtl/>
        </w:rPr>
        <w:t xml:space="preserve">السياق لا يُخزَّن كتسلسل قطع مسطّح بل كمنحنى دلالي متعدّد الدقّات. في وقت الاستدلال، يفكّ النموذج ضغط المناطق انتقائياً بناءً على الاستعلام النشط — كأنه يُكبّر خريطة حيث تحتاج التفصيل فقط.</w:t>
      </w:r>
    </w:p>
    <w:p>
      <w:pPr>
        <w:bidi/>
        <w:spacing w:after="80" w:before="80" w:line="360"/>
        <w:jc w:val="right"/>
      </w:pPr>
      <w:r>
        <w:rPr>
          <w:rFonts w:ascii="Tajawal" w:cs="Tajawal" w:eastAsia="Tajawal" w:hAnsi="Tajawal"/>
          <w:b/>
          <w:bCs/>
          <w:sz w:val="22"/>
          <w:szCs w:val="22"/>
          <w:rtl/>
        </w:rPr>
        <w:t xml:space="preserve">الضغط اللاتماثلي صرفياً: </w:t>
      </w:r>
      <w:r>
        <w:rPr>
          <w:rFonts w:ascii="Tajawal" w:cs="Tajawal" w:eastAsia="Tajawal" w:hAnsi="Tajawal"/>
          <w:sz w:val="22"/>
          <w:szCs w:val="22"/>
          <w:rtl/>
        </w:rPr>
        <w:t xml:space="preserve">الجذور الصامتية، الأوزان القالبية، والأدوات الوظيفية يتلقى كل منها استراتيجيات ضغط مختلفة وفق كثافتها المعلوماتية. هذا مستحيل في الترانسفورمر القياسي ويُمثّل قلب الابتكار المعماري للعربية.</w:t>
      </w:r>
    </w:p>
    <w:p>
      <w:pPr>
        <w:bidi/>
        <w:spacing w:after="80" w:before="80" w:line="360"/>
        <w:jc w:val="right"/>
      </w:pPr>
      <w:r>
        <w:rPr>
          <w:rFonts w:ascii="Tajawal" w:cs="Tajawal" w:eastAsia="Tajawal" w:hAnsi="Tajawal"/>
          <w:b/>
          <w:bCs/>
          <w:sz w:val="22"/>
          <w:szCs w:val="22"/>
          <w:rtl/>
        </w:rPr>
        <w:t xml:space="preserve">الاسترجاع الدلالي الجيوديزي: </w:t>
      </w:r>
      <w:r>
        <w:rPr>
          <w:rFonts w:ascii="Tajawal" w:cs="Tajawal" w:eastAsia="Tajawal" w:hAnsi="Tajawal"/>
          <w:sz w:val="22"/>
          <w:szCs w:val="22"/>
          <w:rtl/>
        </w:rPr>
        <w:t xml:space="preserve">فك الضغط يتبع أقصر مسار في الفضاء الدلالي بدلاً من المسح التسلسلي، مما يُمكّن سياقاً غير محدود فعلياً بحوسبة محدودة.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49A2B" w:sz="8"/>
              <w:left w:val="single" w:color="C49A2B" w:sz="8"/>
              <w:bottom w:val="single" w:color="C49A2B" w:sz="8"/>
              <w:right w:val="single" w:color="C49A2B" w:sz="8"/>
            </w:tcBorders>
            <w:shd w:fill="FFF7E0" w:val="clear"/>
            <w:tcMar>
              <w:top w:type="dxa" w:w="180"/>
              <w:left w:type="dxa" w:w="240"/>
              <w:bottom w:type="dxa" w:w="180"/>
              <w:right w:type="dxa" w:w="240"/>
            </w:tcMar>
          </w:tcPr>
          <w:p>
            <w:pPr>
              <w:bidi/>
              <w:spacing w:after="100"/>
              <w:jc w:val="right"/>
            </w:pPr>
            <w:r>
              <w:rPr>
                <w:rFonts w:ascii="Tajawal" w:cs="Tajawal" w:eastAsia="Tajawal" w:hAnsi="Tajawal"/>
                <w:b/>
                <w:bCs/>
                <w:color w:val="0F2745"/>
                <w:sz w:val="24"/>
                <w:szCs w:val="24"/>
                <w:rtl/>
              </w:rPr>
              <w:t xml:space="preserve">الادّعاء الجوهري</w:t>
            </w:r>
          </w:p>
          <w:p>
            <w:pPr>
              <w:bidi/>
              <w:spacing w:line="360"/>
              <w:jc w:val="right"/>
            </w:pPr>
            <w:r>
              <w:rPr>
                <w:rFonts w:ascii="Tajawal" w:cs="Tajawal" w:eastAsia="Tajawal" w:hAnsi="Tajawal"/>
                <w:sz w:val="22"/>
                <w:szCs w:val="22"/>
                <w:rtl/>
              </w:rPr>
              <w:t xml:space="preserve">تقدّم LCA توسعاً للسياق الفعلي بمقدار 4 إلى 12 ضعفاً بنفس كلفة الحوسبة مقارنةً بانتباه الترانسفورمر القياسي، مع مكاسب غير متناسبة على العربية واللغات الغنية صرفياً. لعمليات النشر العربية واسعة النطاق، يُترجم هذا إلى خفض 35–55٪ في كلفة الخدمة لكل مخرج مكافئ الجودة — ميزة اقتصادية ماديّة لا يستطيع أي نموذج أجنبي مضاهاتها دون إعادة تصميم معماري كاملة.</w:t>
            </w:r>
          </w:p>
        </w:tc>
      </w:tr>
    </w:tbl>
    <w:p>
      <w:pPr>
        <w:pStyle w:val="Heading3"/>
        <w:bidi/>
        <w:spacing w:after="100" w:before="220"/>
        <w:jc w:val="right"/>
      </w:pPr>
      <w:r>
        <w:rPr>
          <w:rFonts w:ascii="Tajawal" w:cs="Tajawal" w:eastAsia="Tajawal" w:hAnsi="Tajawal"/>
          <w:b/>
          <w:bCs/>
          <w:color w:val="C49A2B"/>
          <w:sz w:val="24"/>
          <w:szCs w:val="24"/>
          <w:rtl/>
        </w:rPr>
        <w:t xml:space="preserve">لماذا الآن</w:t>
      </w:r>
    </w:p>
    <w:p>
      <w:pPr>
        <w:bidi/>
        <w:spacing w:after="80" w:before="80" w:line="360"/>
        <w:jc w:val="right"/>
      </w:pPr>
      <w:r>
        <w:rPr>
          <w:rFonts w:ascii="Tajawal" w:cs="Tajawal" w:eastAsia="Tajawal" w:hAnsi="Tajawal"/>
          <w:sz w:val="22"/>
          <w:szCs w:val="22"/>
          <w:rtl/>
        </w:rPr>
        <w:t xml:space="preserve">ثلاث قوى تتلاقى في 2026 لتجعل هذه اللحظة هي اللحظة الصحيحة:</w:t>
      </w:r>
    </w:p>
    <w:p>
      <w:pPr>
        <w:pStyle w:val="ListParagraph"/>
        <w:numPr>
          <w:ilvl w:val="0"/>
          <w:numId w:val="2"/>
        </w:numPr>
        <w:bidi/>
        <w:spacing w:after="60" w:before="60" w:line="340"/>
        <w:jc w:val="right"/>
      </w:pPr>
      <w:r>
        <w:rPr>
          <w:rFonts w:ascii="Tajawal" w:cs="Tajawal" w:eastAsia="Tajawal" w:hAnsi="Tajawal"/>
          <w:sz w:val="22"/>
          <w:szCs w:val="22"/>
          <w:rtl/>
        </w:rPr>
        <w:t xml:space="preserve">المملكة العربية السعودية أعلنت 2026 رسمياً عاماً للذكاء الاصطناعي؛ مع مبادرات وطنية واسعة النطاق، مُرسملة بـ 90–300 مليار دولار عبر أفق البناء، ذات تفويض صريح لتطوير نماذج أساس عربية متعددة الوسائط.</w:t>
      </w:r>
    </w:p>
    <w:p>
      <w:pPr>
        <w:pStyle w:val="ListParagraph"/>
        <w:numPr>
          <w:ilvl w:val="0"/>
          <w:numId w:val="2"/>
        </w:numPr>
        <w:bidi/>
        <w:spacing w:after="60" w:before="60" w:line="340"/>
        <w:jc w:val="right"/>
      </w:pPr>
      <w:r>
        <w:rPr>
          <w:rFonts w:ascii="Tajawal" w:cs="Tajawal" w:eastAsia="Tajawal" w:hAnsi="Tajawal"/>
          <w:sz w:val="22"/>
          <w:szCs w:val="22"/>
          <w:rtl/>
        </w:rPr>
        <w:t xml:space="preserve">أبحاث ضغط السياق الطويل بلغت من النضج ما يكفي ليصبح البناء فوق أحدث الأساليب المنشورة (Infini-attention, DAST, ATACompressor, LCIRC, الانتباه المتفرّق الأصلي) ممكناً لفريق صغير مركّز خلال 9–14 شهراً.</w:t>
      </w:r>
    </w:p>
    <w:p>
      <w:pPr>
        <w:pStyle w:val="ListParagraph"/>
        <w:numPr>
          <w:ilvl w:val="0"/>
          <w:numId w:val="2"/>
        </w:numPr>
        <w:bidi/>
        <w:spacing w:after="60" w:before="60" w:line="340"/>
        <w:jc w:val="right"/>
      </w:pPr>
      <w:r>
        <w:rPr>
          <w:rFonts w:ascii="Tajawal" w:cs="Tajawal" w:eastAsia="Tajawal" w:hAnsi="Tajawal"/>
          <w:sz w:val="22"/>
          <w:szCs w:val="22"/>
          <w:rtl/>
        </w:rPr>
        <w:t xml:space="preserve">كل مختبر كبير يدفع غرامات كلفة حوسبة لعمليات النشر العربية اليوم؛ قيمة المعمارية العربية الأصلية تنمو خطياً مع التبني، والتبني يتسارع بشدة مع توسعات الذكاء الاصطناعي السيادي الإقليمية.</w:t>
      </w:r>
    </w:p>
    <w:p>
      <w:pPr>
        <w:pStyle w:val="Heading3"/>
        <w:bidi/>
        <w:spacing w:after="100" w:before="220"/>
        <w:jc w:val="right"/>
      </w:pPr>
      <w:r>
        <w:rPr>
          <w:rFonts w:ascii="Tajawal" w:cs="Tajawal" w:eastAsia="Tajawal" w:hAnsi="Tajawal"/>
          <w:b/>
          <w:bCs/>
          <w:color w:val="C49A2B"/>
          <w:sz w:val="24"/>
          <w:szCs w:val="24"/>
          <w:rtl/>
        </w:rPr>
        <w:t xml:space="preserve">طلب الاستثمار</w:t>
      </w:r>
    </w:p>
    <w:p>
      <w:pPr>
        <w:bidi/>
        <w:spacing w:after="80" w:before="80" w:line="360"/>
        <w:jc w:val="right"/>
      </w:pPr>
      <w:r>
        <w:rPr>
          <w:rFonts w:ascii="Tajawal" w:cs="Tajawal" w:eastAsia="Tajawal" w:hAnsi="Tajawal"/>
          <w:sz w:val="22"/>
          <w:szCs w:val="22"/>
          <w:rtl/>
        </w:rPr>
        <w:t xml:space="preserve">التقدير الأكاديمي لتكلفة برنامج بحثي على مدى 18 شهراً: 4.2 مليون دولار لتقديم: (أ) تنفيذ مرجعي بدرجة بحثية يُظهر LCA على مقاييس 1B–7B باراميتر؛ (ب) منشورين محكّمين يُرسّخان الأسبقية العلمية؛ (ج) ثلاث عائلات براءات PCT مودَعة تُغطّي الادّعاءات المعمارية الجوهرية؛ (د) محرك استدلال جاهز للنشر أحادي المستأجر للعملاء السياديين؛ (هـ) تجارب مبكّرة مع كيانَين على الأقل من محافظ الذكاء الاصطناعي السيادي الإقليمية.</w:t>
      </w:r>
    </w:p>
    <w:p>
      <w:pPr>
        <w:pStyle w:val="Heading3"/>
        <w:bidi/>
        <w:spacing w:after="100" w:before="220"/>
        <w:jc w:val="right"/>
      </w:pPr>
      <w:r>
        <w:rPr>
          <w:rFonts w:ascii="Tajawal" w:cs="Tajawal" w:eastAsia="Tajawal" w:hAnsi="Tajawal"/>
          <w:b/>
          <w:bCs/>
          <w:color w:val="C49A2B"/>
          <w:sz w:val="24"/>
          <w:szCs w:val="24"/>
          <w:rtl/>
        </w:rPr>
        <w:t xml:space="preserve">مسارات الخروج</w:t>
      </w:r>
    </w:p>
    <w:p>
      <w:pPr>
        <w:bidi/>
        <w:spacing w:after="80" w:before="80" w:line="360"/>
        <w:jc w:val="right"/>
      </w:pPr>
      <w:r>
        <w:rPr>
          <w:rFonts w:ascii="Tajawal" w:cs="Tajawal" w:eastAsia="Tajawal" w:hAnsi="Tajawal"/>
          <w:sz w:val="22"/>
          <w:szCs w:val="22"/>
          <w:rtl/>
        </w:rPr>
        <w:t xml:space="preserve">ثلاثة مسارات أكاديمية محتملة: (1) استحواذ من قبل أحد روّاد الذكاء الاصطناعي السيادي أو مشاريع مراكز بياناتها المشتركة (تقدير 150–400 مليون دولار، أفق 36 شهراً)، (2) ترخيص الملكية الفكرية لمختبرات نماذج الأساس العالمية التي تحتاج قدرة عربية (تقدير 20–60 مليون دولار سنوياً عند الانتشار)، (3) استمرار جولة Series A مع مستثمر مرسى استراتيجي نحو إدراج محتمل في سوق إقليمي.</w:t>
      </w:r>
    </w:p>
    <w:p>
      <w:pPr>
        <w:pStyle w:val="Heading1"/>
        <w:bidi/>
        <w:spacing w:after="160" w:before="360"/>
        <w:jc w:val="right"/>
      </w:pPr>
      <w:r>
        <w:rPr>
          <w:rFonts w:ascii="Tajawal" w:cs="Tajawal" w:eastAsia="Tajawal" w:hAnsi="Tajawal"/>
          <w:b/>
          <w:bCs/>
          <w:color w:val="0F2745"/>
          <w:sz w:val="36"/>
          <w:szCs w:val="36"/>
          <w:rtl/>
        </w:rPr>
        <w:t xml:space="preserve">2. المشكلة</w:t>
      </w:r>
    </w:p>
    <w:p>
      <w:pPr>
        <w:pStyle w:val="Heading2"/>
        <w:bidi/>
        <w:spacing w:after="120" w:before="280"/>
        <w:jc w:val="right"/>
      </w:pPr>
      <w:r>
        <w:rPr>
          <w:rFonts w:ascii="Tajawal" w:cs="Tajawal" w:eastAsia="Tajawal" w:hAnsi="Tajawal"/>
          <w:b/>
          <w:bCs/>
          <w:color w:val="1F8A98"/>
          <w:sz w:val="28"/>
          <w:szCs w:val="28"/>
          <w:rtl/>
        </w:rPr>
        <w:t xml:space="preserve">2.1  الضريبة الخفيّة على الذكاء الاصطناعي العربي</w:t>
      </w:r>
    </w:p>
    <w:p>
      <w:pPr>
        <w:bidi/>
        <w:spacing w:after="80" w:before="80" w:line="360"/>
        <w:jc w:val="right"/>
      </w:pPr>
      <w:r>
        <w:rPr>
          <w:rFonts w:ascii="Tajawal" w:cs="Tajawal" w:eastAsia="Tajawal" w:hAnsi="Tajawal"/>
          <w:sz w:val="22"/>
          <w:szCs w:val="22"/>
          <w:rtl/>
        </w:rPr>
        <w:t xml:space="preserve">حين يُرسل المستخدم طلباً بالعربية إلى GPT-4 أو Claude أو Gemini، يقوم المُقطِّع أولاً بتجزئة نصه. تعاني العربية مما يُسمّيه الباحثون خصوبة التقطيع العالية — عدد القطع اللازم لتمثيل كلمة واحدة. متوسط الإنجليزية حوالي 1.3 قطعة لكل كلمة؛ أما العربية، فبحسب النموذج، يتراوح بين 2.4 و5.1. هذه ليست مشكلة تجميلية. تعني:</w:t>
      </w:r>
    </w:p>
    <w:p>
      <w:pPr>
        <w:pStyle w:val="ListParagraph"/>
        <w:numPr>
          <w:ilvl w:val="0"/>
          <w:numId w:val="2"/>
        </w:numPr>
        <w:bidi/>
        <w:spacing w:after="60" w:before="60" w:line="340"/>
        <w:jc w:val="right"/>
      </w:pPr>
      <w:r>
        <w:rPr>
          <w:rFonts w:ascii="Tajawal" w:cs="Tajawal" w:eastAsia="Tajawal" w:hAnsi="Tajawal"/>
          <w:sz w:val="22"/>
          <w:szCs w:val="22"/>
          <w:rtl/>
        </w:rPr>
        <w:t xml:space="preserve">كل طلب عربي يُكلّف 2–4 أضعاف ما يُكلّفه نظيره الإنجليزي في رسوم API.</w:t>
      </w:r>
    </w:p>
    <w:p>
      <w:pPr>
        <w:pStyle w:val="ListParagraph"/>
        <w:numPr>
          <w:ilvl w:val="0"/>
          <w:numId w:val="2"/>
        </w:numPr>
        <w:bidi/>
        <w:spacing w:after="60" w:before="60" w:line="340"/>
        <w:jc w:val="right"/>
      </w:pPr>
      <w:r>
        <w:rPr>
          <w:rFonts w:ascii="Tajawal" w:cs="Tajawal" w:eastAsia="Tajawal" w:hAnsi="Tajawal"/>
          <w:sz w:val="22"/>
          <w:szCs w:val="22"/>
          <w:rtl/>
        </w:rPr>
        <w:t xml:space="preserve">نوافذ السياق الفعلية تنكمش بالتناسب — سياق 200 ألف قطعة من Claude يتصرّف أشبه بسياق 50–80 ألف للمحتوى العربي الكثيف.</w:t>
      </w:r>
    </w:p>
    <w:p>
      <w:pPr>
        <w:pStyle w:val="ListParagraph"/>
        <w:numPr>
          <w:ilvl w:val="0"/>
          <w:numId w:val="2"/>
        </w:numPr>
        <w:bidi/>
        <w:spacing w:after="60" w:before="60" w:line="340"/>
        <w:jc w:val="right"/>
      </w:pPr>
      <w:r>
        <w:rPr>
          <w:rFonts w:ascii="Tajawal" w:cs="Tajawal" w:eastAsia="Tajawal" w:hAnsi="Tajawal"/>
          <w:sz w:val="22"/>
          <w:szCs w:val="22"/>
          <w:rtl/>
        </w:rPr>
        <w:t xml:space="preserve">زمن الاستدلال يرتفع خطياً مع عدد القطع، فالاستجابات العربية أبطأ بانتظام.</w:t>
      </w:r>
    </w:p>
    <w:p>
      <w:pPr>
        <w:pStyle w:val="ListParagraph"/>
        <w:numPr>
          <w:ilvl w:val="0"/>
          <w:numId w:val="2"/>
        </w:numPr>
        <w:bidi/>
        <w:spacing w:after="60" w:before="60" w:line="340"/>
        <w:jc w:val="right"/>
      </w:pPr>
      <w:r>
        <w:rPr>
          <w:rFonts w:ascii="Tajawal" w:cs="Tajawal" w:eastAsia="Tajawal" w:hAnsi="Tajawal"/>
          <w:sz w:val="22"/>
          <w:szCs w:val="22"/>
          <w:rtl/>
        </w:rPr>
        <w:t xml:space="preserve">جودة التضمين تتدهور لأن الكلمات العربية المرتبطة دلالياً (المشتركة في جذر مثل ك-ت-ب للمفاهيم المتعلقة بالكتابة) تنتهي بتمثيلات قطع غير مرتبطة.</w:t>
      </w:r>
    </w:p>
    <w:p>
      <w:pPr>
        <w:bidi/>
        <w:spacing w:after="80" w:before="80" w:line="360"/>
        <w:jc w:val="right"/>
      </w:pPr>
      <w:r>
        <w:rPr>
          <w:rFonts w:ascii="Tajawal" w:cs="Tajawal" w:eastAsia="Tajawal" w:hAnsi="Tajawal"/>
          <w:sz w:val="22"/>
          <w:szCs w:val="22"/>
          <w:rtl/>
        </w:rPr>
        <w:t xml:space="preserve">هذه هي الضريبة الخفيّة. تُدفع كل يوم من كل مستخدم ناطق بالعربية لكل نموذج LLM كبير، وتُدفع من كل مؤسسة عربية تنشر هذه النماذج. عند طاقة البناء الإقليمية المتوقّعة بـ 3–6 GW من الحوسبة بحلول 2030، حتى خسارة كفاءة 30٪ على أحمال العمل العربية تُمثّل 25–90 مليار دولار من هدر الحوسبة التراكمي عبر فترة الاستراتيجية.</w:t>
      </w:r>
    </w:p>
    <w:p>
      <w:pPr>
        <w:pStyle w:val="Heading2"/>
        <w:bidi/>
        <w:spacing w:after="120" w:before="280"/>
        <w:jc w:val="right"/>
      </w:pPr>
      <w:r>
        <w:rPr>
          <w:rFonts w:ascii="Tajawal" w:cs="Tajawal" w:eastAsia="Tajawal" w:hAnsi="Tajawal"/>
          <w:b/>
          <w:bCs/>
          <w:color w:val="1F8A98"/>
          <w:sz w:val="28"/>
          <w:szCs w:val="28"/>
          <w:rtl/>
        </w:rPr>
        <w:t xml:space="preserve">2.2  لماذا أساليب السياق الطويل القياسية لا تحلّها</w:t>
      </w:r>
    </w:p>
    <w:p>
      <w:pPr>
        <w:bidi/>
        <w:spacing w:after="80" w:before="80" w:line="360"/>
        <w:jc w:val="right"/>
      </w:pPr>
      <w:r>
        <w:rPr>
          <w:rFonts w:ascii="Tajawal" w:cs="Tajawal" w:eastAsia="Tajawal" w:hAnsi="Tajawal"/>
          <w:sz w:val="22"/>
          <w:szCs w:val="22"/>
          <w:rtl/>
        </w:rPr>
        <w:t xml:space="preserve">اقترحت أوراق حديثة عدّة أساليب لتوسيع نوافذ سياق الترانسفورمر بكفاءة. لا أحد منها يُعالج المشكلة البنيوية الخاصة بالعربية لأن أيًا منها لم يُصمَّم مع اللغات الغنية صرفياً في الحسبان.</w:t>
      </w:r>
    </w:p>
    <w:p>
      <w:pPr>
        <w:bidi/>
        <w:spacing w:after="80" w:before="80" w:line="360"/>
        <w:jc w:val="right"/>
      </w:pPr>
      <w:r>
        <w:rPr>
          <w:rFonts w:ascii="Tajawal" w:cs="Tajawal" w:eastAsia="Tajawal" w:hAnsi="Tajawal"/>
          <w:sz w:val="22"/>
          <w:szCs w:val="22"/>
          <w:rt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300"/>
        <w:gridCol w:w="2200"/>
      </w:tblGrid>
      <w:tr>
        <w:tc>
          <w:tcPr>
            <w:tcW w:type="dxa" w:w="4500"/>
            <w:tcBorders>
              <w:top w:val="single" w:color="CCCCCC" w:sz="4"/>
              <w:left w:val="single" w:color="CCCCCC" w:sz="4"/>
              <w:bottom w:val="single" w:color="CCCCCC" w:sz="4"/>
              <w:right w:val="single" w:color="CCCCCC" w:sz="4"/>
            </w:tcBorders>
            <w:shd w:fill="0F2745" w:val="clear"/>
            <w:tcMar>
              <w:top w:type="dxa" w:w="100"/>
              <w:left w:type="dxa" w:w="120"/>
              <w:bottom w:type="dxa" w:w="100"/>
              <w:right w:type="dxa" w:w="120"/>
            </w:tcMar>
          </w:tcPr>
          <w:p>
            <w:pPr>
              <w:bidi/>
              <w:jc w:val="center"/>
            </w:pPr>
            <w:r>
              <w:rPr>
                <w:rFonts w:ascii="Tajawal" w:cs="Tajawal" w:eastAsia="Tajawal" w:hAnsi="Tajawal"/>
                <w:b/>
                <w:bCs/>
                <w:color w:val="FFFFFF"/>
                <w:sz w:val="20"/>
                <w:szCs w:val="20"/>
                <w:rtl/>
              </w:rPr>
              <w:t xml:space="preserve">الفجوة على العربية</w:t>
            </w:r>
          </w:p>
        </w:tc>
        <w:tc>
          <w:tcPr>
            <w:tcW w:type="dxa" w:w="2300"/>
            <w:tcBorders>
              <w:top w:val="single" w:color="CCCCCC" w:sz="4"/>
              <w:left w:val="single" w:color="CCCCCC" w:sz="4"/>
              <w:bottom w:val="single" w:color="CCCCCC" w:sz="4"/>
              <w:right w:val="single" w:color="CCCCCC" w:sz="4"/>
            </w:tcBorders>
            <w:shd w:fill="0F2745" w:val="clear"/>
            <w:tcMar>
              <w:top w:type="dxa" w:w="100"/>
              <w:left w:type="dxa" w:w="120"/>
              <w:bottom w:type="dxa" w:w="100"/>
              <w:right w:type="dxa" w:w="120"/>
            </w:tcMar>
          </w:tcPr>
          <w:p>
            <w:pPr>
              <w:bidi/>
              <w:jc w:val="center"/>
            </w:pPr>
            <w:r>
              <w:rPr>
                <w:rFonts w:ascii="Tajawal" w:cs="Tajawal" w:eastAsia="Tajawal" w:hAnsi="Tajawal"/>
                <w:b/>
                <w:bCs/>
                <w:color w:val="FFFFFF"/>
                <w:sz w:val="20"/>
                <w:szCs w:val="20"/>
                <w:rtl/>
              </w:rPr>
              <w:t xml:space="preserve">النهج</w:t>
            </w:r>
          </w:p>
        </w:tc>
        <w:tc>
          <w:tcPr>
            <w:tcW w:type="dxa" w:w="2200"/>
            <w:tcBorders>
              <w:top w:val="single" w:color="CCCCCC" w:sz="4"/>
              <w:left w:val="single" w:color="CCCCCC" w:sz="4"/>
              <w:bottom w:val="single" w:color="CCCCCC" w:sz="4"/>
              <w:right w:val="single" w:color="CCCCCC" w:sz="4"/>
            </w:tcBorders>
            <w:shd w:fill="0F2745" w:val="clear"/>
            <w:tcMar>
              <w:top w:type="dxa" w:w="100"/>
              <w:left w:type="dxa" w:w="120"/>
              <w:bottom w:type="dxa" w:w="100"/>
              <w:right w:type="dxa" w:w="120"/>
            </w:tcMar>
          </w:tcPr>
          <w:p>
            <w:pPr>
              <w:bidi/>
              <w:jc w:val="center"/>
            </w:pPr>
            <w:r>
              <w:rPr>
                <w:rFonts w:ascii="Tajawal" w:cs="Tajawal" w:eastAsia="Tajawal" w:hAnsi="Tajawal"/>
                <w:b/>
                <w:bCs/>
                <w:color w:val="FFFFFF"/>
                <w:sz w:val="20"/>
                <w:szCs w:val="20"/>
                <w:rtl/>
              </w:rPr>
              <w:t xml:space="preserve">الأسلوب</w:t>
            </w:r>
          </w:p>
        </w:tc>
      </w:tr>
      <w:tr>
        <w:tc>
          <w:tcPr>
            <w:tcW w:type="dxa" w:w="4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يعامل كل القطع بالتساوي؛ لا وعي بعدم تماثل الجذر/الوزن</w:t>
            </w:r>
          </w:p>
        </w:tc>
        <w:tc>
          <w:tcPr>
            <w:tcW w:type="dxa" w:w="23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ذاكرة ضغط + انتباه خطي</w:t>
            </w:r>
          </w:p>
        </w:tc>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Infini-attention (2024)</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تجزئة على مستوى القطعة تُحطّم بنية الكلمة الصرفية</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ضغط جزء قائم على Perceiver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LCIRC (2025)</w:t>
            </w:r>
          </w:p>
        </w:tc>
      </w:tr>
      <w:tr>
        <w:tc>
          <w:tcPr>
            <w:tcW w:type="dxa" w:w="4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حدود الأجزاء تقطع عبر الأوزان القالبية</w:t>
            </w:r>
          </w:p>
        </w:tc>
        <w:tc>
          <w:tcPr>
            <w:tcW w:type="dxa" w:w="23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تخصيص قطع رخوة ديناميكي</w:t>
            </w:r>
          </w:p>
        </w:tc>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DAST (ACL 2025)</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إشارة المهمة لاحقة للتقطيع؛ لا يمكن استعادة الجذر</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تعديل معدّل الضغط الواعي بالمهمة</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ATACompressor (2025)</w:t>
            </w:r>
          </w:p>
        </w:tc>
      </w:tr>
      <w:tr>
        <w:tc>
          <w:tcPr>
            <w:tcW w:type="dxa" w:w="4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أنماط التفرّق مُحسَّنة لتدفق نص إنجليزي يسار-يمين</w:t>
            </w:r>
          </w:p>
        </w:tc>
        <w:tc>
          <w:tcPr>
            <w:tcW w:type="dxa" w:w="23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أنماط تفرّق متوافقة مع الأجهزة</w:t>
            </w:r>
          </w:p>
        </w:tc>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Native Sparse Attention (2025)</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كلفة حوسبة وقت الاختبار تجعل النشر العربي أغلى لا أرخص</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نافذة منزلقة + وحدة ذاكرة TTT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AllMem (2026)</w:t>
            </w:r>
          </w:p>
        </w:tc>
      </w:tr>
    </w:tbl>
    <w:p>
      <w:pPr>
        <w:bidi/>
        <w:spacing w:after="80" w:before="80" w:line="360"/>
        <w:jc w:val="right"/>
      </w:pPr>
      <w:r>
        <w:rPr>
          <w:rFonts w:ascii="Tajawal" w:cs="Tajawal" w:eastAsia="Tajawal" w:hAnsi="Tajawal"/>
          <w:sz w:val="22"/>
          <w:szCs w:val="22"/>
          <w:rtl/>
        </w:rPr>
        <w:t xml:space="preserve"/>
      </w:r>
    </w:p>
    <w:p>
      <w:pPr>
        <w:bidi/>
        <w:spacing w:after="80" w:before="80" w:line="360"/>
        <w:jc w:val="right"/>
      </w:pPr>
      <w:r>
        <w:rPr>
          <w:rFonts w:ascii="Tajawal" w:cs="Tajawal" w:eastAsia="Tajawal" w:hAnsi="Tajawal"/>
          <w:sz w:val="22"/>
          <w:szCs w:val="22"/>
          <w:rtl/>
        </w:rPr>
        <w:t xml:space="preserve">النمط واضح: كل أسلوب سياق طويل قائم يُحسّن خاصية تأتي بعد التقطيع. لا أحد منها يُعيد فحص سؤال كيف ينبغي تمثيل اللغات الغنية صرفياً داخلياً. هذه هي الفجوة التي تُعالجها LCA.</w:t>
      </w:r>
    </w:p>
    <w:p>
      <w:pPr>
        <w:pStyle w:val="Heading2"/>
        <w:bidi/>
        <w:spacing w:after="120" w:before="280"/>
        <w:jc w:val="right"/>
      </w:pPr>
      <w:r>
        <w:rPr>
          <w:rFonts w:ascii="Tajawal" w:cs="Tajawal" w:eastAsia="Tajawal" w:hAnsi="Tajawal"/>
          <w:b/>
          <w:bCs/>
          <w:color w:val="1F8A98"/>
          <w:sz w:val="28"/>
          <w:szCs w:val="28"/>
          <w:rtl/>
        </w:rPr>
        <w:t xml:space="preserve">2.3  بُعد الذكاء الاصطناعي السيادي</w:t>
      </w:r>
    </w:p>
    <w:p>
      <w:pPr>
        <w:bidi/>
        <w:spacing w:after="80" w:before="80" w:line="360"/>
        <w:jc w:val="right"/>
      </w:pPr>
      <w:r>
        <w:rPr>
          <w:rFonts w:ascii="Tajawal" w:cs="Tajawal" w:eastAsia="Tajawal" w:hAnsi="Tajawal"/>
          <w:sz w:val="22"/>
          <w:szCs w:val="22"/>
          <w:rtl/>
        </w:rPr>
        <w:t xml:space="preserve">بعيداً عن المشكلة التقنية، هناك مشكلة استراتيجية. السعودية والإمارات ومصر والعالم العربي الأوسع لا يمكنهم الاعتماد بلا حدود على نماذج أساس مُدرَّبة على بنية تحتية غربية، تحكمها ضوابط تصدير غربية، ومُحسَّنة للغات غير لغاتهم. مبادرات الذكاء الاصطناعي السيادي الإقليمية تُعالج هذا صراحةً: التفويضات المُعلنة تمتدّ على "البنية التحتية، الخدمات السحابية، ونماذج اللغة الكبيرة" مع تركيز صريح على "النماذج العربية متعددة الوسائط". ومع ذلك، خارطات الطريق العامة تصف تكييف بنى قائمة بدلاً من بنى جديدة.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49A2B" w:sz="8"/>
              <w:left w:val="single" w:color="C49A2B" w:sz="8"/>
              <w:bottom w:val="single" w:color="C49A2B" w:sz="8"/>
              <w:right w:val="single" w:color="C49A2B" w:sz="8"/>
            </w:tcBorders>
            <w:shd w:fill="FFF7E0" w:val="clear"/>
            <w:tcMar>
              <w:top w:type="dxa" w:w="180"/>
              <w:left w:type="dxa" w:w="240"/>
              <w:bottom w:type="dxa" w:w="180"/>
              <w:right w:type="dxa" w:w="240"/>
            </w:tcMar>
          </w:tcPr>
          <w:p>
            <w:pPr>
              <w:bidi/>
              <w:spacing w:after="100"/>
              <w:jc w:val="right"/>
            </w:pPr>
            <w:r>
              <w:rPr>
                <w:rFonts w:ascii="Tajawal" w:cs="Tajawal" w:eastAsia="Tajawal" w:hAnsi="Tajawal"/>
                <w:b/>
                <w:bCs/>
                <w:color w:val="0F2745"/>
                <w:sz w:val="24"/>
                <w:szCs w:val="24"/>
                <w:rtl/>
              </w:rPr>
              <w:t xml:space="preserve">الرؤية الاستراتيجية</w:t>
            </w:r>
          </w:p>
          <w:p>
            <w:pPr>
              <w:bidi/>
              <w:spacing w:line="360"/>
              <w:jc w:val="right"/>
            </w:pPr>
            <w:r>
              <w:rPr>
                <w:rFonts w:ascii="Tajawal" w:cs="Tajawal" w:eastAsia="Tajawal" w:hAnsi="Tajawal"/>
                <w:sz w:val="22"/>
                <w:szCs w:val="22"/>
                <w:rtl/>
              </w:rPr>
              <w:t xml:space="preserve">إذا شُحن الجيل الجديد من نماذج LLM العربية السيادية مبنياً على معماريات ترانسفورمر مطابقة لتلك المستخدمة من المختبرات العالمية الرائدة، فسيرث كل عيوب كفاءتها على العربية — ولن يكون لديها أي دفاع معماري إذا قرّر مختبر أجنبي المنافسة على العربية بحوسبة متفوّقة. المعمارية العربية الأصلية هي الخندق الدفاعي الدائم الوحيد.</w:t>
            </w:r>
          </w:p>
        </w:tc>
      </w:tr>
    </w:tbl>
    <w:p>
      <w:pPr>
        <w:pStyle w:val="Heading1"/>
        <w:bidi/>
        <w:spacing w:after="160" w:before="360"/>
        <w:jc w:val="right"/>
      </w:pPr>
      <w:r>
        <w:rPr>
          <w:rFonts w:ascii="Tajawal" w:cs="Tajawal" w:eastAsia="Tajawal" w:hAnsi="Tajawal"/>
          <w:b/>
          <w:bCs/>
          <w:color w:val="0F2745"/>
          <w:sz w:val="36"/>
          <w:szCs w:val="36"/>
          <w:rtl/>
        </w:rPr>
        <w:t xml:space="preserve">3. بنية السياق السائل</w:t>
      </w:r>
    </w:p>
    <w:p>
      <w:pPr>
        <w:pStyle w:val="Heading2"/>
        <w:bidi/>
        <w:spacing w:after="120" w:before="280"/>
        <w:jc w:val="right"/>
      </w:pPr>
      <w:r>
        <w:rPr>
          <w:rFonts w:ascii="Tajawal" w:cs="Tajawal" w:eastAsia="Tajawal" w:hAnsi="Tajawal"/>
          <w:b/>
          <w:bCs/>
          <w:color w:val="1F8A98"/>
          <w:sz w:val="28"/>
          <w:szCs w:val="28"/>
          <w:rtl/>
        </w:rPr>
        <w:t xml:space="preserve">3.1  مبادئ التصميم</w:t>
      </w:r>
    </w:p>
    <w:p>
      <w:pPr>
        <w:bidi/>
        <w:spacing w:after="80" w:before="80" w:line="360"/>
        <w:jc w:val="right"/>
      </w:pPr>
      <w:r>
        <w:rPr>
          <w:rFonts w:ascii="Tajawal" w:cs="Tajawal" w:eastAsia="Tajawal" w:hAnsi="Tajawal"/>
          <w:sz w:val="22"/>
          <w:szCs w:val="22"/>
          <w:rtl/>
        </w:rPr>
        <w:t xml:space="preserve">LCA مُصمَّمة حول أربعة مبادئ، لكل منها مبرّر تقني واقتصادي واضح:</w:t>
      </w:r>
    </w:p>
    <w:p>
      <w:pPr>
        <w:pStyle w:val="ListParagraph"/>
        <w:numPr>
          <w:ilvl w:val="0"/>
          <w:numId w:val="2"/>
        </w:numPr>
        <w:bidi/>
        <w:spacing w:after="60" w:before="60" w:line="340"/>
        <w:jc w:val="right"/>
      </w:pPr>
      <w:r>
        <w:rPr>
          <w:rFonts w:ascii="Tajawal" w:cs="Tajawal" w:eastAsia="Tajawal" w:hAnsi="Tajawal"/>
          <w:sz w:val="22"/>
          <w:szCs w:val="22"/>
          <w:rtl/>
        </w:rPr>
        <w:t xml:space="preserve">كثافة المعلومات غير المتماثلة. فئات القطع المختلفة تحمل كميات معلومات مختلفة. الجذور الصامتية بالعربية تحمل النواة الدلالية؛ الأوزان القالبية تحمل المعنى الاشتقاقي؛ الأدوات الوظيفية تحمل البنية النحوية. ينبغي ضغطها واسترجاعها بشكل مختلف.</w:t>
      </w:r>
    </w:p>
    <w:p>
      <w:pPr>
        <w:pStyle w:val="ListParagraph"/>
        <w:numPr>
          <w:ilvl w:val="0"/>
          <w:numId w:val="2"/>
        </w:numPr>
        <w:bidi/>
        <w:spacing w:after="60" w:before="60" w:line="340"/>
        <w:jc w:val="right"/>
      </w:pPr>
      <w:r>
        <w:rPr>
          <w:rFonts w:ascii="Tajawal" w:cs="Tajawal" w:eastAsia="Tajawal" w:hAnsi="Tajawal"/>
          <w:sz w:val="22"/>
          <w:szCs w:val="22"/>
          <w:rtl/>
        </w:rPr>
        <w:t xml:space="preserve">الدقّة المعتمدة على الاستعلام. مستوى التفصيل المطلوب من أي منطقة من السياق يعتمد على الاستعلام النشط. تخزين كل السياق بأقصى دقّة هدر؛ ينبغي تخصيص الدقّة ديناميكياً.</w:t>
      </w:r>
    </w:p>
    <w:p>
      <w:pPr>
        <w:pStyle w:val="ListParagraph"/>
        <w:numPr>
          <w:ilvl w:val="0"/>
          <w:numId w:val="2"/>
        </w:numPr>
        <w:bidi/>
        <w:spacing w:after="60" w:before="60" w:line="340"/>
        <w:jc w:val="right"/>
      </w:pPr>
      <w:r>
        <w:rPr>
          <w:rFonts w:ascii="Tajawal" w:cs="Tajawal" w:eastAsia="Tajawal" w:hAnsi="Tajawal"/>
          <w:sz w:val="22"/>
          <w:szCs w:val="22"/>
          <w:rtl/>
        </w:rPr>
        <w:t xml:space="preserve">الاسترجاع الجيوديزي الدلالي. استرداد المعلومات من الذاكرة المضغوطة ينبغي أن يتبع أقصر مسار دلالي، لا الترتيب الزمني للكتابة. هذا أكفأ وأكثر اتساقاً مع الذاكرة الترابطية البشرية.</w:t>
      </w:r>
    </w:p>
    <w:p>
      <w:pPr>
        <w:pStyle w:val="ListParagraph"/>
        <w:numPr>
          <w:ilvl w:val="0"/>
          <w:numId w:val="2"/>
        </w:numPr>
        <w:bidi/>
        <w:spacing w:after="60" w:before="60" w:line="340"/>
        <w:jc w:val="right"/>
      </w:pPr>
      <w:r>
        <w:rPr>
          <w:rFonts w:ascii="Tajawal" w:cs="Tajawal" w:eastAsia="Tajawal" w:hAnsi="Tajawal"/>
          <w:sz w:val="22"/>
          <w:szCs w:val="22"/>
          <w:rtl/>
        </w:rPr>
        <w:t xml:space="preserve">حوسبة محدودة لكل استعلام. بغض النظر عن طول السياق الفعلي، حوسبة الاستعلام ينبغي أن تظلّ محدودة. السياق الفعلي ينمو؛ الكلفة لا.</w:t>
      </w:r>
    </w:p>
    <w:p>
      <w:pPr>
        <w:pStyle w:val="Heading2"/>
        <w:bidi/>
        <w:spacing w:after="120" w:before="280"/>
        <w:jc w:val="right"/>
      </w:pPr>
      <w:r>
        <w:rPr>
          <w:rFonts w:ascii="Tajawal" w:cs="Tajawal" w:eastAsia="Tajawal" w:hAnsi="Tajawal"/>
          <w:b/>
          <w:bCs/>
          <w:color w:val="1F8A98"/>
          <w:sz w:val="28"/>
          <w:szCs w:val="28"/>
          <w:rtl/>
        </w:rPr>
        <w:t xml:space="preserve">3.2  مكوّنات النظام</w:t>
      </w:r>
    </w:p>
    <w:p>
      <w:pPr>
        <w:pStyle w:val="Heading3"/>
        <w:bidi/>
        <w:spacing w:after="100" w:before="220"/>
        <w:jc w:val="right"/>
      </w:pPr>
      <w:r>
        <w:rPr>
          <w:rFonts w:ascii="Tajawal" w:cs="Tajawal" w:eastAsia="Tajawal" w:hAnsi="Tajawal"/>
          <w:b/>
          <w:bCs/>
          <w:color w:val="C49A2B"/>
          <w:sz w:val="24"/>
          <w:szCs w:val="24"/>
          <w:rtl/>
        </w:rPr>
        <w:t xml:space="preserve">3.2.1  المُرمِّز الصرفي القبلي (MPE)</w:t>
      </w:r>
    </w:p>
    <w:p>
      <w:pPr>
        <w:bidi/>
        <w:spacing w:after="80" w:before="80" w:line="360"/>
        <w:jc w:val="right"/>
      </w:pPr>
      <w:r>
        <w:rPr>
          <w:rFonts w:ascii="Tajawal" w:cs="Tajawal" w:eastAsia="Tajawal" w:hAnsi="Tajawal"/>
          <w:sz w:val="22"/>
          <w:szCs w:val="22"/>
          <w:rtl/>
        </w:rPr>
        <w:t xml:space="preserve">قبل دخول القطع إلى مكدّس الترانسفورمر، يُنتج المُرمِّز الصرفي القبلي ثلاثة تدفّقات تضمين متوازية لكل قطعة مُدخَلة: تضمين الجذر (يلتقط الجذر الصامتي للعربية؛ اللِمّة للغات غير القالبية)، تضمين الوزن (يلتقط الصرف القالبي حيث يوجد؛ أنماط الإلصاق عداه)، وتضمين السطح (يلتقط الشكل السطحي الفعلي بما في ذلك التشكيل حيث يُقدَّم).</w:t>
      </w:r>
    </w:p>
    <w:p>
      <w:pPr>
        <w:pStyle w:val="Heading3"/>
        <w:bidi/>
        <w:spacing w:after="100" w:before="220"/>
        <w:jc w:val="right"/>
      </w:pPr>
      <w:r>
        <w:rPr>
          <w:rFonts w:ascii="Tajawal" w:cs="Tajawal" w:eastAsia="Tajawal" w:hAnsi="Tajawal"/>
          <w:b/>
          <w:bCs/>
          <w:color w:val="C49A2B"/>
          <w:sz w:val="24"/>
          <w:szCs w:val="24"/>
          <w:rtl/>
        </w:rPr>
        <w:t xml:space="preserve">3.2.2  منحنى السياق متعدّد الدقّات (MRCM)</w:t>
      </w:r>
    </w:p>
    <w:p>
      <w:pPr>
        <w:bidi/>
        <w:spacing w:after="80" w:before="80" w:line="360"/>
        <w:jc w:val="right"/>
      </w:pPr>
      <w:r>
        <w:rPr>
          <w:rFonts w:ascii="Tajawal" w:cs="Tajawal" w:eastAsia="Tajawal" w:hAnsi="Tajawal"/>
          <w:sz w:val="22"/>
          <w:szCs w:val="22"/>
          <w:rtl/>
        </w:rPr>
        <w:t xml:space="preserve">يُخزَّن السياق ليس كتسلسل قطع مسطّح بل كمنحنى هرمي ثلاثي الطبقات:</w:t>
      </w:r>
    </w:p>
    <w:p>
      <w:pPr>
        <w:pStyle w:val="ListParagraph"/>
        <w:numPr>
          <w:ilvl w:val="0"/>
          <w:numId w:val="2"/>
        </w:numPr>
        <w:bidi/>
        <w:spacing w:after="60" w:before="60" w:line="340"/>
        <w:jc w:val="right"/>
      </w:pPr>
      <w:r>
        <w:rPr>
          <w:rFonts w:ascii="Tajawal" w:cs="Tajawal" w:eastAsia="Tajawal" w:hAnsi="Tajawal"/>
          <w:sz w:val="22"/>
          <w:szCs w:val="22"/>
          <w:rtl/>
        </w:rPr>
        <w:t xml:space="preserve">الطبقة 0 — السطح: حالات KV كاملة على مستوى القطعة لآخر N قطعة (قابل للضبط، الافتراضي 8K). سياق محلي بلا فقد.</w:t>
      </w:r>
    </w:p>
    <w:p>
      <w:pPr>
        <w:pStyle w:val="ListParagraph"/>
        <w:numPr>
          <w:ilvl w:val="0"/>
          <w:numId w:val="2"/>
        </w:numPr>
        <w:bidi/>
        <w:spacing w:after="60" w:before="60" w:line="340"/>
        <w:jc w:val="right"/>
      </w:pPr>
      <w:r>
        <w:rPr>
          <w:rFonts w:ascii="Tajawal" w:cs="Tajawal" w:eastAsia="Tajawal" w:hAnsi="Tajawal"/>
          <w:sz w:val="22"/>
          <w:szCs w:val="22"/>
          <w:rtl/>
        </w:rPr>
        <w:t xml:space="preserve">الطبقة 1 — الدلالة: تمثيلات مضغوطة للسياق الأقدم، منظَّمة بعناقيد دلالية بدلاً من الترتيب الزمني. نسبة ضغط حوالي 16:1.</w:t>
      </w:r>
    </w:p>
    <w:p>
      <w:pPr>
        <w:pStyle w:val="ListParagraph"/>
        <w:numPr>
          <w:ilvl w:val="0"/>
          <w:numId w:val="2"/>
        </w:numPr>
        <w:bidi/>
        <w:spacing w:after="60" w:before="60" w:line="340"/>
        <w:jc w:val="right"/>
      </w:pPr>
      <w:r>
        <w:rPr>
          <w:rFonts w:ascii="Tajawal" w:cs="Tajawal" w:eastAsia="Tajawal" w:hAnsi="Tajawal"/>
          <w:sz w:val="22"/>
          <w:szCs w:val="22"/>
          <w:rtl/>
        </w:rPr>
        <w:t xml:space="preserve">الطبقة 2 — الطوبولوجيا: بنية رسم بياني مُتعلَّمة تربط عناقيد الطبقة 1 بالقرب الدلالي والعلاقة الاشتقاقية (الجذر المشترك) والدور الخطابي.</w:t>
      </w:r>
    </w:p>
    <w:p>
      <w:pPr>
        <w:pStyle w:val="Heading3"/>
        <w:bidi/>
        <w:spacing w:after="100" w:before="220"/>
        <w:jc w:val="right"/>
      </w:pPr>
      <w:r>
        <w:rPr>
          <w:rFonts w:ascii="Tajawal" w:cs="Tajawal" w:eastAsia="Tajawal" w:hAnsi="Tajawal"/>
          <w:b/>
          <w:bCs/>
          <w:color w:val="C49A2B"/>
          <w:sz w:val="24"/>
          <w:szCs w:val="24"/>
          <w:rtl/>
        </w:rPr>
        <w:t xml:space="preserve">3.2.3  مُشغِّل الاسترجاع الجيوديزي (GRO)</w:t>
      </w:r>
    </w:p>
    <w:p>
      <w:pPr>
        <w:bidi/>
        <w:spacing w:after="80" w:before="80" w:line="360"/>
        <w:jc w:val="right"/>
      </w:pPr>
      <w:r>
        <w:rPr>
          <w:rFonts w:ascii="Tajawal" w:cs="Tajawal" w:eastAsia="Tajawal" w:hAnsi="Tajawal"/>
          <w:sz w:val="22"/>
          <w:szCs w:val="22"/>
          <w:rtl/>
        </w:rPr>
        <w:t xml:space="preserve">عند معالجة استعلام، يحسب GRO مسار استرجاع مشروط بالاستعلام عبر الطبقة الطوبولوجية. بدءاً من موقع الاستعلام المسقَط في المنحنى الدلالي، يتتبّع المُشغِّل المسار الجيوديزي الذي يزور عناقيد الطبقة 1 الأكثر صلة بالإجابة، موسّعاً العناقيد المختارة إلى دقّة الطبقة 0 فقط عند الحاجة.</w:t>
      </w:r>
    </w:p>
    <w:p>
      <w:pPr>
        <w:pStyle w:val="Heading3"/>
        <w:bidi/>
        <w:spacing w:after="100" w:before="220"/>
        <w:jc w:val="right"/>
      </w:pPr>
      <w:r>
        <w:rPr>
          <w:rFonts w:ascii="Tajawal" w:cs="Tajawal" w:eastAsia="Tajawal" w:hAnsi="Tajawal"/>
          <w:b/>
          <w:bCs/>
          <w:color w:val="C49A2B"/>
          <w:sz w:val="24"/>
          <w:szCs w:val="24"/>
          <w:rtl/>
        </w:rPr>
        <w:t xml:space="preserve">3.2.4  متحكّم الضغط التكيّفي (ACC)</w:t>
      </w:r>
    </w:p>
    <w:p>
      <w:pPr>
        <w:bidi/>
        <w:spacing w:after="80" w:before="80" w:line="360"/>
        <w:jc w:val="right"/>
      </w:pPr>
      <w:r>
        <w:rPr>
          <w:rFonts w:ascii="Tajawal" w:cs="Tajawal" w:eastAsia="Tajawal" w:hAnsi="Tajawal"/>
          <w:sz w:val="22"/>
          <w:szCs w:val="22"/>
          <w:rtl/>
        </w:rPr>
        <w:t xml:space="preserve">متحكّم الضغط التكيّفي شبكة مساعدة صغيرة (عادةً أقل من 50 مليون باراميتر) تُقرّر، وقت الكتابة، كيفية ضغط القطع الواردة إلى تمثيلات الطبقة 1. تُنتج معاملات ضغط لكل قطعة تكون أعلى للقطع عالية المعلومات (الجذور في كلمات المحتوى العربي، الكيانات المُسمّاة، الأرقام، معرّفات الكود) وأقل للقطع الوظيفية القابلة للتنبؤ.</w:t>
      </w:r>
    </w:p>
    <w:p>
      <w:pPr>
        <w:pStyle w:val="Heading1"/>
        <w:bidi/>
        <w:spacing w:after="160" w:before="360"/>
        <w:jc w:val="right"/>
      </w:pPr>
      <w:r>
        <w:rPr>
          <w:rFonts w:ascii="Tajawal" w:cs="Tajawal" w:eastAsia="Tajawal" w:hAnsi="Tajawal"/>
          <w:b/>
          <w:bCs/>
          <w:color w:val="0F2745"/>
          <w:sz w:val="36"/>
          <w:szCs w:val="36"/>
          <w:rtl/>
        </w:rPr>
        <w:t xml:space="preserve">4. مطالبات البراءة وحدود الابتكار</w:t>
      </w:r>
    </w:p>
    <w:p>
      <w:pPr>
        <w:pStyle w:val="Heading2"/>
        <w:bidi/>
        <w:spacing w:after="120" w:before="280"/>
        <w:jc w:val="right"/>
      </w:pPr>
      <w:r>
        <w:rPr>
          <w:rFonts w:ascii="Tajawal" w:cs="Tajawal" w:eastAsia="Tajawal" w:hAnsi="Tajawal"/>
          <w:b/>
          <w:bCs/>
          <w:color w:val="1F8A98"/>
          <w:sz w:val="28"/>
          <w:szCs w:val="28"/>
          <w:rtl/>
        </w:rPr>
        <w:t xml:space="preserve">4.1  المطالبة الأساسية المستقلة — ذاكرة صرفية ثلاثية التدفّقات</w:t>
      </w:r>
    </w:p>
    <w:p>
      <w:pPr>
        <w:bidi/>
        <w:spacing w:after="80" w:before="80" w:line="360"/>
        <w:jc w:val="right"/>
      </w:pPr>
      <w:r>
        <w:rPr>
          <w:rFonts w:ascii="Tajawal" w:cs="Tajawal" w:eastAsia="Tajawal" w:hAnsi="Tajawal"/>
          <w:sz w:val="22"/>
          <w:szCs w:val="22"/>
          <w:rtl/>
        </w:rPr>
        <w:t xml:space="preserve">نظام نمذجة لغة عصبي يتميّز بالحفاظ، عبر مكدّس ترانسفورمر قائم على الانتباه، على ثلاثة تدفّقات تضمين قابلة للعنونة باستقلال لكل قطعة تتوافق مع (1) جذر صرفي أو لِمّة، (2) نمط قالبي أو إلصاقي، (3) شكل سطحي يتضمّن معلومات التشكيل، حيث تُحسَب عمليات الانتباه وضغط الذاكرة منفصلةً على كل تدفّق وتُدمَج التدفّقات فقط عند الإسقاط الناتج، بحيث يمكن تخصيص نسب الضغط وسياسات الاسترجاع لكل تدفّق.</w:t>
      </w:r>
    </w:p>
    <w:p>
      <w:pPr>
        <w:pStyle w:val="Heading2"/>
        <w:bidi/>
        <w:spacing w:after="120" w:before="280"/>
        <w:jc w:val="right"/>
      </w:pPr>
      <w:r>
        <w:rPr>
          <w:rFonts w:ascii="Tajawal" w:cs="Tajawal" w:eastAsia="Tajawal" w:hAnsi="Tajawal"/>
          <w:b/>
          <w:bCs/>
          <w:color w:val="1F8A98"/>
          <w:sz w:val="28"/>
          <w:szCs w:val="28"/>
          <w:rtl/>
        </w:rPr>
        <w:t xml:space="preserve">4.2  المطالبة الثانوية — الاسترجاع الدلالي الجيوديزي</w:t>
      </w:r>
    </w:p>
    <w:p>
      <w:pPr>
        <w:bidi/>
        <w:spacing w:after="80" w:before="80" w:line="360"/>
        <w:jc w:val="right"/>
      </w:pPr>
      <w:r>
        <w:rPr>
          <w:rFonts w:ascii="Tajawal" w:cs="Tajawal" w:eastAsia="Tajawal" w:hAnsi="Tajawal"/>
          <w:sz w:val="22"/>
          <w:szCs w:val="22"/>
          <w:rtl/>
        </w:rPr>
        <w:t xml:space="preserve">طريقة لاسترجاع سياق مضغوط من ذاكرة منظَّمة هرمياً، حيث يُؤدّى الاسترجاع بحساب أقصر مسار مقيّد عبر رسم بياني طوبولوجي لعناقيد دلالية، القيد كونه ميزانية حوسبة لكل استعلام، بحيث يمكن توسيع المعلومات من سياق طويل لا محدود انتقائياً بحوسبة محدودة.</w:t>
      </w:r>
    </w:p>
    <w:p>
      <w:pPr>
        <w:pStyle w:val="Heading2"/>
        <w:bidi/>
        <w:spacing w:after="120" w:before="280"/>
        <w:jc w:val="right"/>
      </w:pPr>
      <w:r>
        <w:rPr>
          <w:rFonts w:ascii="Tajawal" w:cs="Tajawal" w:eastAsia="Tajawal" w:hAnsi="Tajawal"/>
          <w:b/>
          <w:bCs/>
          <w:color w:val="1F8A98"/>
          <w:sz w:val="28"/>
          <w:szCs w:val="28"/>
          <w:rtl/>
        </w:rPr>
        <w:t xml:space="preserve">4.3  المطالبة الثالثة — تعلّم سياسة ضغط لا متماثلة</w:t>
      </w:r>
    </w:p>
    <w:p>
      <w:pPr>
        <w:bidi/>
        <w:spacing w:after="80" w:before="80" w:line="360"/>
        <w:jc w:val="right"/>
      </w:pPr>
      <w:r>
        <w:rPr>
          <w:rFonts w:ascii="Tajawal" w:cs="Tajawal" w:eastAsia="Tajawal" w:hAnsi="Tajawal"/>
          <w:sz w:val="22"/>
          <w:szCs w:val="22"/>
          <w:rtl/>
        </w:rPr>
        <w:t xml:space="preserve">طريقة لتدريب متحكّم ضغط مساعد ضد هدف إعادة بناء عدائي، حيث يتعلّم المتحكّم معاملات ضغط لكل قطعة تُقلّل خسارة إعادة البناء خاضعةً لميزانية ضغط عالمية، وحيث تكون السياسة الناتجة مُطبَّقة طبقياً صرفياً للغات المُدخَلة التي تُظهر صرفاً غير متتابع.</w:t>
      </w:r>
    </w:p>
    <w:p>
      <w:pPr>
        <w:pStyle w:val="Heading2"/>
        <w:bidi/>
        <w:spacing w:after="120" w:before="280"/>
        <w:jc w:val="right"/>
      </w:pPr>
      <w:r>
        <w:rPr>
          <w:rFonts w:ascii="Tajawal" w:cs="Tajawal" w:eastAsia="Tajawal" w:hAnsi="Tajawal"/>
          <w:b/>
          <w:bCs/>
          <w:color w:val="1F8A98"/>
          <w:sz w:val="28"/>
          <w:szCs w:val="28"/>
          <w:rtl/>
        </w:rPr>
        <w:t xml:space="preserve">4.4  المطالبة الرابعة — طوبولوجيا النشر السيادي</w:t>
      </w:r>
    </w:p>
    <w:p>
      <w:pPr>
        <w:bidi/>
        <w:spacing w:after="80" w:before="80" w:line="360"/>
        <w:jc w:val="right"/>
      </w:pPr>
      <w:r>
        <w:rPr>
          <w:rFonts w:ascii="Tajawal" w:cs="Tajawal" w:eastAsia="Tajawal" w:hAnsi="Tajawal"/>
          <w:sz w:val="22"/>
          <w:szCs w:val="22"/>
          <w:rtl/>
        </w:rPr>
        <w:t xml:space="preserve">إعداد نشر لنظام نمذجة اللغة السابق حيث يُقسَّم منحنى السياق متعدّد الدقّات عبر مجموعة حوسبة أحادية المستأجر مع عزل تشفيري بين التدفّقات الصرفية، مما يُمكّن تحكّماً بالوصول لكل تدفّق ملائماً لمعالجة المحتوى المُصنَّف أو الخاضع للتنظيم تحت اختصاص سيادي.</w:t>
      </w:r>
    </w:p>
    <w:p>
      <w:pPr>
        <w:pStyle w:val="Heading1"/>
        <w:bidi/>
        <w:spacing w:after="160" w:before="360"/>
        <w:jc w:val="right"/>
      </w:pPr>
      <w:r>
        <w:rPr>
          <w:rFonts w:ascii="Tajawal" w:cs="Tajawal" w:eastAsia="Tajawal" w:hAnsi="Tajawal"/>
          <w:b/>
          <w:bCs/>
          <w:color w:val="0F2745"/>
          <w:sz w:val="36"/>
          <w:szCs w:val="36"/>
          <w:rtl/>
        </w:rPr>
        <w:t xml:space="preserve">5. تحليل السوق</w:t>
      </w:r>
    </w:p>
    <w:p>
      <w:pPr>
        <w:pStyle w:val="Heading2"/>
        <w:bidi/>
        <w:spacing w:after="120" w:before="280"/>
        <w:jc w:val="right"/>
      </w:pPr>
      <w:r>
        <w:rPr>
          <w:rFonts w:ascii="Tajawal" w:cs="Tajawal" w:eastAsia="Tajawal" w:hAnsi="Tajawal"/>
          <w:b/>
          <w:bCs/>
          <w:color w:val="1F8A98"/>
          <w:sz w:val="28"/>
          <w:szCs w:val="28"/>
          <w:rtl/>
        </w:rPr>
        <w:t xml:space="preserve">5.1  حجم السوق الكلي</w:t>
      </w:r>
    </w:p>
    <w:p>
      <w:pPr>
        <w:bidi/>
        <w:spacing w:after="80" w:before="80" w:line="360"/>
        <w:jc w:val="right"/>
      </w:pPr>
      <w:r>
        <w:rPr>
          <w:rFonts w:ascii="Tajawal" w:cs="Tajawal" w:eastAsia="Tajawal" w:hAnsi="Tajawal"/>
          <w:sz w:val="22"/>
          <w:szCs w:val="22"/>
          <w:rtl/>
        </w:rPr>
        <w:t xml:space="preserve">بلغ سوق نماذج الأساس وخدمات الاستدلال عالمياً حوالي 192 مليار دولار في 2025 وفق تقديرات IDC وGartner وMcKinsey المُوحَّدة، مع توقّع نمو 38٪ سنوياً مركّباً حتى 2030. ضمن ذلك، قطاع السياق الطويل وتحسين الكفاءة الفرعي — حيث تتنافس LCA مباشرةً — كان حوالي 14 مليار دولار في 2025 وينمو بمعدل 52٪ مع دفع عمليات النشر المؤسسية متطلبات السياق نحو الأعلى.</w:t>
      </w:r>
    </w:p>
    <w:p>
      <w:pPr>
        <w:bidi/>
        <w:spacing w:after="80" w:before="80" w:line="360"/>
        <w:jc w:val="right"/>
      </w:pPr>
      <w:r>
        <w:rPr>
          <w:rFonts w:ascii="Tajawal" w:cs="Tajawal" w:eastAsia="Tajawal" w:hAnsi="Tajawal"/>
          <w:sz w:val="22"/>
          <w:szCs w:val="22"/>
          <w:rt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1800"/>
        <w:gridCol w:w="3100"/>
      </w:tblGrid>
      <w:tr>
        <w:tc>
          <w:tcPr>
            <w:tcW w:type="dxa" w:w="2300"/>
            <w:tcBorders>
              <w:top w:val="single" w:color="CCCCCC" w:sz="4"/>
              <w:left w:val="single" w:color="CCCCCC" w:sz="4"/>
              <w:bottom w:val="single" w:color="CCCCCC" w:sz="4"/>
              <w:right w:val="single" w:color="CCCCCC" w:sz="4"/>
            </w:tcBorders>
            <w:shd w:fill="0F2745" w:val="clear"/>
            <w:tcMar>
              <w:top w:type="dxa" w:w="100"/>
              <w:left w:type="dxa" w:w="120"/>
              <w:bottom w:type="dxa" w:w="100"/>
              <w:right w:type="dxa" w:w="120"/>
            </w:tcMar>
          </w:tcPr>
          <w:p>
            <w:pPr>
              <w:bidi/>
              <w:jc w:val="center"/>
            </w:pPr>
            <w:r>
              <w:rPr>
                <w:rFonts w:ascii="Tajawal" w:cs="Tajawal" w:eastAsia="Tajawal" w:hAnsi="Tajawal"/>
                <w:b/>
                <w:bCs/>
                <w:color w:val="FFFFFF"/>
                <w:sz w:val="20"/>
                <w:szCs w:val="20"/>
                <w:rtl/>
              </w:rPr>
              <w:t xml:space="preserve">صلة LCA</w:t>
            </w:r>
          </w:p>
        </w:tc>
        <w:tc>
          <w:tcPr>
            <w:tcW w:type="dxa" w:w="1800"/>
            <w:tcBorders>
              <w:top w:val="single" w:color="CCCCCC" w:sz="4"/>
              <w:left w:val="single" w:color="CCCCCC" w:sz="4"/>
              <w:bottom w:val="single" w:color="CCCCCC" w:sz="4"/>
              <w:right w:val="single" w:color="CCCCCC" w:sz="4"/>
            </w:tcBorders>
            <w:shd w:fill="0F2745" w:val="clear"/>
            <w:tcMar>
              <w:top w:type="dxa" w:w="100"/>
              <w:left w:type="dxa" w:w="120"/>
              <w:bottom w:type="dxa" w:w="100"/>
              <w:right w:type="dxa" w:w="120"/>
            </w:tcMar>
          </w:tcPr>
          <w:p>
            <w:pPr>
              <w:bidi/>
              <w:jc w:val="center"/>
            </w:pPr>
            <w:r>
              <w:rPr>
                <w:rFonts w:ascii="Tajawal" w:cs="Tajawal" w:eastAsia="Tajawal" w:hAnsi="Tajawal"/>
                <w:b/>
                <w:bCs/>
                <w:color w:val="FFFFFF"/>
                <w:sz w:val="20"/>
                <w:szCs w:val="20"/>
                <w:rtl/>
              </w:rPr>
              <w:t xml:space="preserve">توقّع 2030</w:t>
            </w:r>
          </w:p>
        </w:tc>
        <w:tc>
          <w:tcPr>
            <w:tcW w:type="dxa" w:w="1800"/>
            <w:tcBorders>
              <w:top w:val="single" w:color="CCCCCC" w:sz="4"/>
              <w:left w:val="single" w:color="CCCCCC" w:sz="4"/>
              <w:bottom w:val="single" w:color="CCCCCC" w:sz="4"/>
              <w:right w:val="single" w:color="CCCCCC" w:sz="4"/>
            </w:tcBorders>
            <w:shd w:fill="0F2745" w:val="clear"/>
            <w:tcMar>
              <w:top w:type="dxa" w:w="100"/>
              <w:left w:type="dxa" w:w="120"/>
              <w:bottom w:type="dxa" w:w="100"/>
              <w:right w:type="dxa" w:w="120"/>
            </w:tcMar>
          </w:tcPr>
          <w:p>
            <w:pPr>
              <w:bidi/>
              <w:jc w:val="center"/>
            </w:pPr>
            <w:r>
              <w:rPr>
                <w:rFonts w:ascii="Tajawal" w:cs="Tajawal" w:eastAsia="Tajawal" w:hAnsi="Tajawal"/>
                <w:b/>
                <w:bCs/>
                <w:color w:val="FFFFFF"/>
                <w:sz w:val="20"/>
                <w:szCs w:val="20"/>
                <w:rtl/>
              </w:rPr>
              <w:t xml:space="preserve">حجم 2025</w:t>
            </w:r>
          </w:p>
        </w:tc>
        <w:tc>
          <w:tcPr>
            <w:tcW w:type="dxa" w:w="3100"/>
            <w:tcBorders>
              <w:top w:val="single" w:color="CCCCCC" w:sz="4"/>
              <w:left w:val="single" w:color="CCCCCC" w:sz="4"/>
              <w:bottom w:val="single" w:color="CCCCCC" w:sz="4"/>
              <w:right w:val="single" w:color="CCCCCC" w:sz="4"/>
            </w:tcBorders>
            <w:shd w:fill="0F2745" w:val="clear"/>
            <w:tcMar>
              <w:top w:type="dxa" w:w="100"/>
              <w:left w:type="dxa" w:w="120"/>
              <w:bottom w:type="dxa" w:w="100"/>
              <w:right w:type="dxa" w:w="120"/>
            </w:tcMar>
          </w:tcPr>
          <w:p>
            <w:pPr>
              <w:bidi/>
              <w:jc w:val="center"/>
            </w:pPr>
            <w:r>
              <w:rPr>
                <w:rFonts w:ascii="Tajawal" w:cs="Tajawal" w:eastAsia="Tajawal" w:hAnsi="Tajawal"/>
                <w:b/>
                <w:bCs/>
                <w:color w:val="FFFFFF"/>
                <w:sz w:val="20"/>
                <w:szCs w:val="20"/>
                <w:rtl/>
              </w:rPr>
              <w:t xml:space="preserve">قطاع السوق</w:t>
            </w:r>
          </w:p>
        </w:tc>
      </w:tr>
      <w:tr>
        <w:tc>
          <w:tcPr>
            <w:tcW w:type="dxa" w:w="23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مورّد ابتكار معماري</w:t>
            </w:r>
          </w:p>
        </w:tc>
        <w:tc>
          <w:tcPr>
            <w:tcW w:type="dxa" w:w="1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960 مليار $</w:t>
            </w:r>
          </w:p>
        </w:tc>
        <w:tc>
          <w:tcPr>
            <w:tcW w:type="dxa" w:w="1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192 مليار $</w:t>
            </w:r>
          </w:p>
        </w:tc>
        <w:tc>
          <w:tcPr>
            <w:tcW w:type="dxa" w:w="31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نماذج الأساس عالمياً</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طبقة كفاءة قابلة للإضافة</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215 مليار $</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48 مليار $</w:t>
            </w:r>
          </w:p>
        </w:tc>
        <w:tc>
          <w:tcPr>
            <w:tcW w:type="dxa" w:w="3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خدمات استدلال LLM</w:t>
            </w:r>
          </w:p>
        </w:tc>
      </w:tr>
      <w:tr>
        <w:tc>
          <w:tcPr>
            <w:tcW w:type="dxa" w:w="23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السوق المستهدف الأساسي</w:t>
            </w:r>
          </w:p>
        </w:tc>
        <w:tc>
          <w:tcPr>
            <w:tcW w:type="dxa" w:w="1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58 مليار $</w:t>
            </w:r>
          </w:p>
        </w:tc>
        <w:tc>
          <w:tcPr>
            <w:tcW w:type="dxa" w:w="1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11.5 مليار $</w:t>
            </w:r>
          </w:p>
        </w:tc>
        <w:tc>
          <w:tcPr>
            <w:tcW w:type="dxa" w:w="31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الشرق الأوسط / العربية</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خندق دفاعي استراتيجي</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135 مليار $</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22 مليار $</w:t>
            </w:r>
          </w:p>
        </w:tc>
        <w:tc>
          <w:tcPr>
            <w:tcW w:type="dxa" w:w="3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البنية التحتية للذكاء السيادي</w:t>
            </w:r>
          </w:p>
        </w:tc>
      </w:tr>
      <w:tr>
        <w:tc>
          <w:tcPr>
            <w:tcW w:type="dxa" w:w="23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موطئ قدم مباشر</w:t>
            </w:r>
          </w:p>
        </w:tc>
        <w:tc>
          <w:tcPr>
            <w:tcW w:type="dxa" w:w="1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19 مليار $</w:t>
            </w:r>
          </w:p>
        </w:tc>
        <w:tc>
          <w:tcPr>
            <w:tcW w:type="dxa" w:w="1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2.4 مليار $</w:t>
            </w:r>
          </w:p>
        </w:tc>
        <w:tc>
          <w:tcPr>
            <w:tcW w:type="dxa" w:w="31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عمليات النشر العربية المؤسسية</w:t>
            </w:r>
          </w:p>
        </w:tc>
      </w:tr>
    </w:tbl>
    <w:p>
      <w:pPr>
        <w:pStyle w:val="Heading2"/>
        <w:bidi/>
        <w:spacing w:after="120" w:before="280"/>
        <w:jc w:val="right"/>
      </w:pPr>
      <w:r>
        <w:rPr>
          <w:rFonts w:ascii="Tajawal" w:cs="Tajawal" w:eastAsia="Tajawal" w:hAnsi="Tajawal"/>
          <w:b/>
          <w:bCs/>
          <w:color w:val="1F8A98"/>
          <w:sz w:val="28"/>
          <w:szCs w:val="28"/>
          <w:rtl/>
        </w:rPr>
        <w:t xml:space="preserve">5.2  السوق السعودي تحديداً</w:t>
      </w:r>
    </w:p>
    <w:p>
      <w:pPr>
        <w:bidi/>
        <w:spacing w:after="80" w:before="80" w:line="360"/>
        <w:jc w:val="right"/>
      </w:pPr>
      <w:r>
        <w:rPr>
          <w:rFonts w:ascii="Tajawal" w:cs="Tajawal" w:eastAsia="Tajawal" w:hAnsi="Tajawal"/>
          <w:sz w:val="22"/>
          <w:szCs w:val="22"/>
          <w:rtl/>
        </w:rPr>
        <w:t xml:space="preserve">طاقة البناء الإقليمية المستهدفة بـ 3–6 GW من حوسبة الذكاء الاصطناعي تُترجم إلى إجمالي استثمار بنية تحتية 90–300 مليار دولار عبر أفق 2026–2030. بنسب الصناعة القياسية بين البنية التحتية وإنفاق خدمات الذكاء المتكرّرة، يعني هذا استهلاكاً سنوياً قابلاً للوصول من خدمات الذكاء الاصطناعي بـ 18–60 مليار دولار بحلول 2030 داخل السعودية وحدها، مع تشغيل حوالي 60–70٪ من ذلك الحجم في أحمال عمل عربية.</w:t>
      </w:r>
    </w:p>
    <w:p>
      <w:pPr>
        <w:pStyle w:val="Heading2"/>
        <w:bidi/>
        <w:spacing w:after="120" w:before="280"/>
        <w:jc w:val="right"/>
      </w:pPr>
      <w:r>
        <w:rPr>
          <w:rFonts w:ascii="Tajawal" w:cs="Tajawal" w:eastAsia="Tajawal" w:hAnsi="Tajawal"/>
          <w:b/>
          <w:bCs/>
          <w:color w:val="1F8A98"/>
          <w:sz w:val="28"/>
          <w:szCs w:val="28"/>
          <w:rtl/>
        </w:rPr>
        <w:t xml:space="preserve">5.3  تقسيم العملاء</w:t>
      </w:r>
    </w:p>
    <w:p>
      <w:pPr>
        <w:pStyle w:val="Heading3"/>
        <w:bidi/>
        <w:spacing w:after="100" w:before="220"/>
        <w:jc w:val="right"/>
      </w:pPr>
      <w:r>
        <w:rPr>
          <w:rFonts w:ascii="Tajawal" w:cs="Tajawal" w:eastAsia="Tajawal" w:hAnsi="Tajawal"/>
          <w:b/>
          <w:bCs/>
          <w:color w:val="C49A2B"/>
          <w:sz w:val="24"/>
          <w:szCs w:val="24"/>
          <w:rtl/>
        </w:rPr>
        <w:t xml:space="preserve">القطاع الأساسي: روّاد الذكاء الاصطناعي السيادي وكيانات محافظهم</w:t>
      </w:r>
    </w:p>
    <w:p>
      <w:pPr>
        <w:bidi/>
        <w:spacing w:after="80" w:before="80" w:line="360"/>
        <w:jc w:val="right"/>
      </w:pPr>
      <w:r>
        <w:rPr>
          <w:rFonts w:ascii="Tajawal" w:cs="Tajawal" w:eastAsia="Tajawal" w:hAnsi="Tajawal"/>
          <w:sz w:val="22"/>
          <w:szCs w:val="22"/>
          <w:rtl/>
        </w:rPr>
        <w:t xml:space="preserve">تفويض روّاد الذكاء الاصطناعي السيادي الإقليميين يتضمّن صراحةً تطوير LLM متعدد الوسائط بالعربية. تتموضع LCA إما (أ) كأساس معماري تتبنّاه هذه الجهات لنماذجها الرائدة، أو (ب) كطبقة كفاءة تنشرها لخفض كلفة خدمة النماذج القائمة. أيٌّ من المسارَين يُنتج 80–250 مليون دولار من إيرادات خمس سنوات بالحجم الإقليمي المتوقّع.</w:t>
      </w:r>
    </w:p>
    <w:p>
      <w:pPr>
        <w:pStyle w:val="Heading3"/>
        <w:bidi/>
        <w:spacing w:after="100" w:before="220"/>
        <w:jc w:val="right"/>
      </w:pPr>
      <w:r>
        <w:rPr>
          <w:rFonts w:ascii="Tajawal" w:cs="Tajawal" w:eastAsia="Tajawal" w:hAnsi="Tajawal"/>
          <w:b/>
          <w:bCs/>
          <w:color w:val="C49A2B"/>
          <w:sz w:val="24"/>
          <w:szCs w:val="24"/>
          <w:rtl/>
        </w:rPr>
        <w:t xml:space="preserve">القطاع الثانوي: عمليات الذكاء الاصطناعي الحكومية وشبه الحكومية السعودية</w:t>
      </w:r>
    </w:p>
    <w:p>
      <w:pPr>
        <w:bidi/>
        <w:spacing w:after="80" w:before="80" w:line="360"/>
        <w:jc w:val="right"/>
      </w:pPr>
      <w:r>
        <w:rPr>
          <w:rFonts w:ascii="Tajawal" w:cs="Tajawal" w:eastAsia="Tajawal" w:hAnsi="Tajawal"/>
          <w:sz w:val="22"/>
          <w:szCs w:val="22"/>
          <w:rtl/>
        </w:rPr>
        <w:t xml:space="preserve">يشمل كبار مشغّلي قطاع الطاقة والتعدين السعوديين (الذكاء التشغيلي، التحليلات التنبؤية)، مزوّد الكهرباء الوطني (تحسين الشبكة)، عمليات البحث والتطوير الكيميائي واسعة النطاق، الجهات الحكومية الصحية (دعم القرار السريري)، برامج المراقبة وتحليلات الأمن، برامج تحقيق رؤية السعودية. إجمالي الإيرادات القابلة للوصول 40–120 مليون دولار سنوياً عند الإشباع.</w:t>
      </w:r>
    </w:p>
    <w:p>
      <w:pPr>
        <w:pStyle w:val="Heading1"/>
        <w:bidi/>
        <w:spacing w:after="160" w:before="360"/>
        <w:jc w:val="right"/>
      </w:pPr>
      <w:r>
        <w:rPr>
          <w:rFonts w:ascii="Tajawal" w:cs="Tajawal" w:eastAsia="Tajawal" w:hAnsi="Tajawal"/>
          <w:b/>
          <w:bCs/>
          <w:color w:val="0F2745"/>
          <w:sz w:val="36"/>
          <w:szCs w:val="36"/>
          <w:rtl/>
        </w:rPr>
        <w:t xml:space="preserve">6. استراتيجية الانتشار</w:t>
      </w:r>
    </w:p>
    <w:p>
      <w:pPr>
        <w:pStyle w:val="Heading2"/>
        <w:bidi/>
        <w:spacing w:after="120" w:before="280"/>
        <w:jc w:val="right"/>
      </w:pPr>
      <w:r>
        <w:rPr>
          <w:rFonts w:ascii="Tajawal" w:cs="Tajawal" w:eastAsia="Tajawal" w:hAnsi="Tajawal"/>
          <w:b/>
          <w:bCs/>
          <w:color w:val="1F8A98"/>
          <w:sz w:val="28"/>
          <w:szCs w:val="28"/>
          <w:rtl/>
        </w:rPr>
        <w:t xml:space="preserve">6.1  انتشار تجاري على ثلاث مراحل</w:t>
      </w:r>
    </w:p>
    <w:p>
      <w:pPr>
        <w:pStyle w:val="Heading3"/>
        <w:bidi/>
        <w:spacing w:after="100" w:before="220"/>
        <w:jc w:val="right"/>
      </w:pPr>
      <w:r>
        <w:rPr>
          <w:rFonts w:ascii="Tajawal" w:cs="Tajawal" w:eastAsia="Tajawal" w:hAnsi="Tajawal"/>
          <w:b/>
          <w:bCs/>
          <w:color w:val="C49A2B"/>
          <w:sz w:val="24"/>
          <w:szCs w:val="24"/>
          <w:rtl/>
        </w:rPr>
        <w:t xml:space="preserve">المرحلة 1 (الأشهر 0–9): المصداقية العلمية</w:t>
      </w:r>
    </w:p>
    <w:p>
      <w:pPr>
        <w:bidi/>
        <w:spacing w:after="80" w:before="80" w:line="360"/>
        <w:jc w:val="right"/>
      </w:pPr>
      <w:r>
        <w:rPr>
          <w:rFonts w:ascii="Tajawal" w:cs="Tajawal" w:eastAsia="Tajawal" w:hAnsi="Tajawal"/>
          <w:sz w:val="22"/>
          <w:szCs w:val="22"/>
          <w:rtl/>
        </w:rPr>
        <w:t xml:space="preserve">ترسيخ المصداقية التقنية قبل أي حركة مبيعات. المخرجات:</w:t>
      </w:r>
    </w:p>
    <w:p>
      <w:pPr>
        <w:pStyle w:val="ListParagraph"/>
        <w:numPr>
          <w:ilvl w:val="0"/>
          <w:numId w:val="2"/>
        </w:numPr>
        <w:bidi/>
        <w:spacing w:after="60" w:before="60" w:line="340"/>
        <w:jc w:val="right"/>
      </w:pPr>
      <w:r>
        <w:rPr>
          <w:rFonts w:ascii="Tajawal" w:cs="Tajawal" w:eastAsia="Tajawal" w:hAnsi="Tajawal"/>
          <w:sz w:val="22"/>
          <w:szCs w:val="22"/>
          <w:rtl/>
        </w:rPr>
        <w:t xml:space="preserve">تنفيذ LCA يعمل على مقياس 1B باراميتر يُظهر مكاسب قابلة للقياس على معايير العربية (OALL, AraBench, Arabic-MMLU).</w:t>
      </w:r>
    </w:p>
    <w:p>
      <w:pPr>
        <w:pStyle w:val="ListParagraph"/>
        <w:numPr>
          <w:ilvl w:val="0"/>
          <w:numId w:val="2"/>
        </w:numPr>
        <w:bidi/>
        <w:spacing w:after="60" w:before="60" w:line="340"/>
        <w:jc w:val="right"/>
      </w:pPr>
      <w:r>
        <w:rPr>
          <w:rFonts w:ascii="Tajawal" w:cs="Tajawal" w:eastAsia="Tajawal" w:hAnsi="Tajawal"/>
          <w:sz w:val="22"/>
          <w:szCs w:val="22"/>
          <w:rtl/>
        </w:rPr>
        <w:t xml:space="preserve">منشوران محكّمان يستهدفان NeurIPS 2026، ACL 2027، أو EMNLP 2026.</w:t>
      </w:r>
    </w:p>
    <w:p>
      <w:pPr>
        <w:pStyle w:val="ListParagraph"/>
        <w:numPr>
          <w:ilvl w:val="0"/>
          <w:numId w:val="2"/>
        </w:numPr>
        <w:bidi/>
        <w:spacing w:after="60" w:before="60" w:line="340"/>
        <w:jc w:val="right"/>
      </w:pPr>
      <w:r>
        <w:rPr>
          <w:rFonts w:ascii="Tajawal" w:cs="Tajawal" w:eastAsia="Tajawal" w:hAnsi="Tajawal"/>
          <w:sz w:val="22"/>
          <w:szCs w:val="22"/>
          <w:rtl/>
        </w:rPr>
        <w:t xml:space="preserve">إصدار مفتوح المصدر لمعاينة بحثية (مقياس أصغر) لبناء جذب مجتمعي وتوظيف المواهب.</w:t>
      </w:r>
    </w:p>
    <w:p>
      <w:pPr>
        <w:pStyle w:val="ListParagraph"/>
        <w:numPr>
          <w:ilvl w:val="0"/>
          <w:numId w:val="2"/>
        </w:numPr>
        <w:bidi/>
        <w:spacing w:after="60" w:before="60" w:line="340"/>
        <w:jc w:val="right"/>
      </w:pPr>
      <w:r>
        <w:rPr>
          <w:rFonts w:ascii="Tajawal" w:cs="Tajawal" w:eastAsia="Tajawal" w:hAnsi="Tajawal"/>
          <w:sz w:val="22"/>
          <w:szCs w:val="22"/>
          <w:rtl/>
        </w:rPr>
        <w:t xml:space="preserve">أول إيداع براءة مبدئية (الشهر 4)؛ تحضير مواد إيداع PCT.</w:t>
      </w:r>
    </w:p>
    <w:p>
      <w:pPr>
        <w:pStyle w:val="Heading3"/>
        <w:bidi/>
        <w:spacing w:after="100" w:before="220"/>
        <w:jc w:val="right"/>
      </w:pPr>
      <w:r>
        <w:rPr>
          <w:rFonts w:ascii="Tajawal" w:cs="Tajawal" w:eastAsia="Tajawal" w:hAnsi="Tajawal"/>
          <w:b/>
          <w:bCs/>
          <w:color w:val="C49A2B"/>
          <w:sz w:val="24"/>
          <w:szCs w:val="24"/>
          <w:rtl/>
        </w:rPr>
        <w:t xml:space="preserve">المرحلة 2 (الأشهر 9–18): عمليات النشر التجريبية</w:t>
      </w:r>
    </w:p>
    <w:p>
      <w:pPr>
        <w:bidi/>
        <w:spacing w:after="80" w:before="80" w:line="360"/>
        <w:jc w:val="right"/>
      </w:pPr>
      <w:r>
        <w:rPr>
          <w:rFonts w:ascii="Tajawal" w:cs="Tajawal" w:eastAsia="Tajawal" w:hAnsi="Tajawal"/>
          <w:sz w:val="22"/>
          <w:szCs w:val="22"/>
          <w:rtl/>
        </w:rPr>
        <w:t xml:space="preserve">تحويل المصداقية إلى تجارب تجارية:</w:t>
      </w:r>
    </w:p>
    <w:p>
      <w:pPr>
        <w:pStyle w:val="ListParagraph"/>
        <w:numPr>
          <w:ilvl w:val="0"/>
          <w:numId w:val="2"/>
        </w:numPr>
        <w:bidi/>
        <w:spacing w:after="60" w:before="60" w:line="340"/>
        <w:jc w:val="right"/>
      </w:pPr>
      <w:r>
        <w:rPr>
          <w:rFonts w:ascii="Tajawal" w:cs="Tajawal" w:eastAsia="Tajawal" w:hAnsi="Tajawal"/>
          <w:sz w:val="22"/>
          <w:szCs w:val="22"/>
          <w:rtl/>
        </w:rPr>
        <w:t xml:space="preserve">التفاوض على أول تجربة مدفوعة مع كيان من محفظة أحد روّاد الذكاء الاصطناعي السيادي الإقليميين. حجم الصفقة المستهدف: 400–800 ألف $ لارتباط 6 أشهر مع مُصاعد رسوم نجاح.</w:t>
      </w:r>
    </w:p>
    <w:p>
      <w:pPr>
        <w:pStyle w:val="ListParagraph"/>
        <w:numPr>
          <w:ilvl w:val="0"/>
          <w:numId w:val="2"/>
        </w:numPr>
        <w:bidi/>
        <w:spacing w:after="60" w:before="60" w:line="340"/>
        <w:jc w:val="right"/>
      </w:pPr>
      <w:r>
        <w:rPr>
          <w:rFonts w:ascii="Tajawal" w:cs="Tajawal" w:eastAsia="Tajawal" w:hAnsi="Tajawal"/>
          <w:sz w:val="22"/>
          <w:szCs w:val="22"/>
          <w:rtl/>
        </w:rPr>
        <w:t xml:space="preserve">تجربة ثانية مع كيان حكومي سعودي كبير. حجم الصفقة المستهدف: 600 ألف–1.2 مليون $ لارتباط 9 أشهر.</w:t>
      </w:r>
    </w:p>
    <w:p>
      <w:pPr>
        <w:pStyle w:val="ListParagraph"/>
        <w:numPr>
          <w:ilvl w:val="0"/>
          <w:numId w:val="2"/>
        </w:numPr>
        <w:bidi/>
        <w:spacing w:after="60" w:before="60" w:line="340"/>
        <w:jc w:val="right"/>
      </w:pPr>
      <w:r>
        <w:rPr>
          <w:rFonts w:ascii="Tajawal" w:cs="Tajawal" w:eastAsia="Tajawal" w:hAnsi="Tajawal"/>
          <w:sz w:val="22"/>
          <w:szCs w:val="22"/>
          <w:rtl/>
        </w:rPr>
        <w:t xml:space="preserve">توطيد شراكة أجهزة مع أحد مزوّدي شرائح الذكاء الاصطناعي الكبار أو حلول الاستدلال متخصّصة-الكفاءة (أو كليهما) للنشر المُحسَّن للاستدلال.</w:t>
      </w:r>
    </w:p>
    <w:p>
      <w:pPr>
        <w:pStyle w:val="Heading3"/>
        <w:bidi/>
        <w:spacing w:after="100" w:before="220"/>
        <w:jc w:val="right"/>
      </w:pPr>
      <w:r>
        <w:rPr>
          <w:rFonts w:ascii="Tajawal" w:cs="Tajawal" w:eastAsia="Tajawal" w:hAnsi="Tajawal"/>
          <w:b/>
          <w:bCs/>
          <w:color w:val="C49A2B"/>
          <w:sz w:val="24"/>
          <w:szCs w:val="24"/>
          <w:rtl/>
        </w:rPr>
        <w:t xml:space="preserve">المرحلة 3 (الأشهر 18–36): الموقع الاستراتيجي</w:t>
      </w:r>
    </w:p>
    <w:p>
      <w:pPr>
        <w:bidi/>
        <w:spacing w:after="80" w:before="80" w:line="360"/>
        <w:jc w:val="right"/>
      </w:pPr>
      <w:r>
        <w:rPr>
          <w:rFonts w:ascii="Tajawal" w:cs="Tajawal" w:eastAsia="Tajawal" w:hAnsi="Tajawal"/>
          <w:sz w:val="22"/>
          <w:szCs w:val="22"/>
          <w:rtl/>
        </w:rPr>
        <w:t xml:space="preserve">التموضع للخروج أو حدث رأس مال استراتيجي:</w:t>
      </w:r>
    </w:p>
    <w:p>
      <w:pPr>
        <w:pStyle w:val="ListParagraph"/>
        <w:numPr>
          <w:ilvl w:val="0"/>
          <w:numId w:val="2"/>
        </w:numPr>
        <w:bidi/>
        <w:spacing w:after="60" w:before="60" w:line="340"/>
        <w:jc w:val="right"/>
      </w:pPr>
      <w:r>
        <w:rPr>
          <w:rFonts w:ascii="Tajawal" w:cs="Tajawal" w:eastAsia="Tajawal" w:hAnsi="Tajawal"/>
          <w:sz w:val="22"/>
          <w:szCs w:val="22"/>
          <w:rtl/>
        </w:rPr>
        <w:t xml:space="preserve">تحويل التجارب إلى اتفاقيات ترخيص متعددة السنوات. ARR المستهدف: 8 مليون دولار بحلول الشهر 30.</w:t>
      </w:r>
    </w:p>
    <w:p>
      <w:pPr>
        <w:pStyle w:val="ListParagraph"/>
        <w:numPr>
          <w:ilvl w:val="0"/>
          <w:numId w:val="2"/>
        </w:numPr>
        <w:bidi/>
        <w:spacing w:after="60" w:before="60" w:line="340"/>
        <w:jc w:val="right"/>
      </w:pPr>
      <w:r>
        <w:rPr>
          <w:rFonts w:ascii="Tajawal" w:cs="Tajawal" w:eastAsia="Tajawal" w:hAnsi="Tajawal"/>
          <w:sz w:val="22"/>
          <w:szCs w:val="22"/>
          <w:rtl/>
        </w:rPr>
        <w:t xml:space="preserve">بدء محادثات استراتيجية مع تطوير الشركات في الجهات السيادية الإقليمية حول إما الاستحواذ أو شراكة حقوق الملكية الاستراتيجية.</w:t>
      </w:r>
    </w:p>
    <w:p>
      <w:pPr>
        <w:pStyle w:val="ListParagraph"/>
        <w:numPr>
          <w:ilvl w:val="0"/>
          <w:numId w:val="2"/>
        </w:numPr>
        <w:bidi/>
        <w:spacing w:after="60" w:before="60" w:line="340"/>
        <w:jc w:val="right"/>
      </w:pPr>
      <w:r>
        <w:rPr>
          <w:rFonts w:ascii="Tajawal" w:cs="Tajawal" w:eastAsia="Tajawal" w:hAnsi="Tajawal"/>
          <w:sz w:val="22"/>
          <w:szCs w:val="22"/>
          <w:rtl/>
        </w:rPr>
        <w:t xml:space="preserve">محادثات ترخيص موازية مع مختبر نماذج أساس عالمي واحد على الأقل.</w:t>
      </w:r>
    </w:p>
    <w:p>
      <w:pPr>
        <w:pStyle w:val="ListParagraph"/>
        <w:numPr>
          <w:ilvl w:val="0"/>
          <w:numId w:val="2"/>
        </w:numPr>
        <w:bidi/>
        <w:spacing w:after="60" w:before="60" w:line="340"/>
        <w:jc w:val="right"/>
      </w:pPr>
      <w:r>
        <w:rPr>
          <w:rFonts w:ascii="Tajawal" w:cs="Tajawal" w:eastAsia="Tajawal" w:hAnsi="Tajawal"/>
          <w:sz w:val="22"/>
          <w:szCs w:val="22"/>
          <w:rtl/>
        </w:rPr>
        <w:t xml:space="preserve">جولة Series A (إذا كان السعي مساراً مستقلاً): 25–40 مليون دولار بقيمة 200–400 مليون دولار بعد الجولة.</w:t>
      </w:r>
    </w:p>
    <w:p>
      <w:pPr>
        <w:pStyle w:val="Heading1"/>
        <w:bidi/>
        <w:spacing w:after="160" w:before="360"/>
        <w:jc w:val="right"/>
      </w:pPr>
      <w:r>
        <w:rPr>
          <w:rFonts w:ascii="Tajawal" w:cs="Tajawal" w:eastAsia="Tajawal" w:hAnsi="Tajawal"/>
          <w:b/>
          <w:bCs/>
          <w:color w:val="0F2745"/>
          <w:sz w:val="36"/>
          <w:szCs w:val="36"/>
          <w:rtl/>
        </w:rPr>
        <w:t xml:space="preserve">7. النموذج المالي</w:t>
      </w:r>
    </w:p>
    <w:p>
      <w:pPr>
        <w:pStyle w:val="Heading2"/>
        <w:bidi/>
        <w:spacing w:after="120" w:before="280"/>
        <w:jc w:val="right"/>
      </w:pPr>
      <w:r>
        <w:rPr>
          <w:rFonts w:ascii="Tajawal" w:cs="Tajawal" w:eastAsia="Tajawal" w:hAnsi="Tajawal"/>
          <w:b/>
          <w:bCs/>
          <w:color w:val="1F8A98"/>
          <w:sz w:val="28"/>
          <w:szCs w:val="28"/>
          <w:rtl/>
        </w:rPr>
        <w:t xml:space="preserve">7.1  هيكل التكلفة على 18 شهراً (ما قبل الإيرادات)</w:t>
      </w:r>
    </w:p>
    <w:p>
      <w:pPr>
        <w:bidi/>
        <w:spacing w:after="80" w:before="80" w:line="360"/>
        <w:jc w:val="right"/>
      </w:pPr>
      <w:r>
        <w:rPr>
          <w:rFonts w:ascii="Tajawal" w:cs="Tajawal" w:eastAsia="Tajawal" w:hAnsi="Tajawal"/>
          <w:sz w:val="22"/>
          <w:szCs w:val="22"/>
          <w:rt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2700"/>
      </w:tblGrid>
      <w:tr>
        <w:tc>
          <w:tcPr>
            <w:tcW w:type="dxa" w:w="1800"/>
            <w:tcBorders>
              <w:top w:val="single" w:color="CCCCCC" w:sz="4"/>
              <w:left w:val="single" w:color="CCCCCC" w:sz="4"/>
              <w:bottom w:val="single" w:color="CCCCCC" w:sz="4"/>
              <w:right w:val="single" w:color="CCCCCC" w:sz="4"/>
            </w:tcBorders>
            <w:shd w:fill="0F2745" w:val="clear"/>
            <w:tcMar>
              <w:top w:type="dxa" w:w="100"/>
              <w:left w:type="dxa" w:w="120"/>
              <w:bottom w:type="dxa" w:w="100"/>
              <w:right w:type="dxa" w:w="120"/>
            </w:tcMar>
          </w:tcPr>
          <w:p>
            <w:pPr>
              <w:bidi/>
              <w:jc w:val="center"/>
            </w:pPr>
            <w:r>
              <w:rPr>
                <w:rFonts w:ascii="Tajawal" w:cs="Tajawal" w:eastAsia="Tajawal" w:hAnsi="Tajawal"/>
                <w:b/>
                <w:bCs/>
                <w:color w:val="FFFFFF"/>
                <w:sz w:val="20"/>
                <w:szCs w:val="20"/>
                <w:rtl/>
              </w:rPr>
              <w:t xml:space="preserve">الإجمالي ($K)</w:t>
            </w:r>
          </w:p>
        </w:tc>
        <w:tc>
          <w:tcPr>
            <w:tcW w:type="dxa" w:w="1500"/>
            <w:tcBorders>
              <w:top w:val="single" w:color="CCCCCC" w:sz="4"/>
              <w:left w:val="single" w:color="CCCCCC" w:sz="4"/>
              <w:bottom w:val="single" w:color="CCCCCC" w:sz="4"/>
              <w:right w:val="single" w:color="CCCCCC" w:sz="4"/>
            </w:tcBorders>
            <w:shd w:fill="0F2745" w:val="clear"/>
            <w:tcMar>
              <w:top w:type="dxa" w:w="100"/>
              <w:left w:type="dxa" w:w="120"/>
              <w:bottom w:type="dxa" w:w="100"/>
              <w:right w:type="dxa" w:w="120"/>
            </w:tcMar>
          </w:tcPr>
          <w:p>
            <w:pPr>
              <w:bidi/>
              <w:jc w:val="center"/>
            </w:pPr>
            <w:r>
              <w:rPr>
                <w:rFonts w:ascii="Tajawal" w:cs="Tajawal" w:eastAsia="Tajawal" w:hAnsi="Tajawal"/>
                <w:b/>
                <w:bCs/>
                <w:color w:val="FFFFFF"/>
                <w:sz w:val="20"/>
                <w:szCs w:val="20"/>
                <w:rtl/>
              </w:rPr>
              <w:t xml:space="preserve">13–18</w:t>
            </w:r>
          </w:p>
        </w:tc>
        <w:tc>
          <w:tcPr>
            <w:tcW w:type="dxa" w:w="1500"/>
            <w:tcBorders>
              <w:top w:val="single" w:color="CCCCCC" w:sz="4"/>
              <w:left w:val="single" w:color="CCCCCC" w:sz="4"/>
              <w:bottom w:val="single" w:color="CCCCCC" w:sz="4"/>
              <w:right w:val="single" w:color="CCCCCC" w:sz="4"/>
            </w:tcBorders>
            <w:shd w:fill="0F2745" w:val="clear"/>
            <w:tcMar>
              <w:top w:type="dxa" w:w="100"/>
              <w:left w:type="dxa" w:w="120"/>
              <w:bottom w:type="dxa" w:w="100"/>
              <w:right w:type="dxa" w:w="120"/>
            </w:tcMar>
          </w:tcPr>
          <w:p>
            <w:pPr>
              <w:bidi/>
              <w:jc w:val="center"/>
            </w:pPr>
            <w:r>
              <w:rPr>
                <w:rFonts w:ascii="Tajawal" w:cs="Tajawal" w:eastAsia="Tajawal" w:hAnsi="Tajawal"/>
                <w:b/>
                <w:bCs/>
                <w:color w:val="FFFFFF"/>
                <w:sz w:val="20"/>
                <w:szCs w:val="20"/>
                <w:rtl/>
              </w:rPr>
              <w:t xml:space="preserve">7–12</w:t>
            </w:r>
          </w:p>
        </w:tc>
        <w:tc>
          <w:tcPr>
            <w:tcW w:type="dxa" w:w="1500"/>
            <w:tcBorders>
              <w:top w:val="single" w:color="CCCCCC" w:sz="4"/>
              <w:left w:val="single" w:color="CCCCCC" w:sz="4"/>
              <w:bottom w:val="single" w:color="CCCCCC" w:sz="4"/>
              <w:right w:val="single" w:color="CCCCCC" w:sz="4"/>
            </w:tcBorders>
            <w:shd w:fill="0F2745" w:val="clear"/>
            <w:tcMar>
              <w:top w:type="dxa" w:w="100"/>
              <w:left w:type="dxa" w:w="120"/>
              <w:bottom w:type="dxa" w:w="100"/>
              <w:right w:type="dxa" w:w="120"/>
            </w:tcMar>
          </w:tcPr>
          <w:p>
            <w:pPr>
              <w:bidi/>
              <w:jc w:val="center"/>
            </w:pPr>
            <w:r>
              <w:rPr>
                <w:rFonts w:ascii="Tajawal" w:cs="Tajawal" w:eastAsia="Tajawal" w:hAnsi="Tajawal"/>
                <w:b/>
                <w:bCs/>
                <w:color w:val="FFFFFF"/>
                <w:sz w:val="20"/>
                <w:szCs w:val="20"/>
                <w:rtl/>
              </w:rPr>
              <w:t xml:space="preserve">0–6</w:t>
            </w:r>
          </w:p>
        </w:tc>
        <w:tc>
          <w:tcPr>
            <w:tcW w:type="dxa" w:w="2700"/>
            <w:tcBorders>
              <w:top w:val="single" w:color="CCCCCC" w:sz="4"/>
              <w:left w:val="single" w:color="CCCCCC" w:sz="4"/>
              <w:bottom w:val="single" w:color="CCCCCC" w:sz="4"/>
              <w:right w:val="single" w:color="CCCCCC" w:sz="4"/>
            </w:tcBorders>
            <w:shd w:fill="0F2745" w:val="clear"/>
            <w:tcMar>
              <w:top w:type="dxa" w:w="100"/>
              <w:left w:type="dxa" w:w="120"/>
              <w:bottom w:type="dxa" w:w="100"/>
              <w:right w:type="dxa" w:w="120"/>
            </w:tcMar>
          </w:tcPr>
          <w:p>
            <w:pPr>
              <w:bidi/>
              <w:jc w:val="center"/>
            </w:pPr>
            <w:r>
              <w:rPr>
                <w:rFonts w:ascii="Tajawal" w:cs="Tajawal" w:eastAsia="Tajawal" w:hAnsi="Tajawal"/>
                <w:b/>
                <w:bCs/>
                <w:color w:val="FFFFFF"/>
                <w:sz w:val="20"/>
                <w:szCs w:val="20"/>
                <w:rtl/>
              </w:rPr>
              <w:t xml:space="preserve">الفئة</w:t>
            </w:r>
          </w:p>
        </w:tc>
      </w:tr>
      <w:tr>
        <w:tc>
          <w:tcPr>
            <w:tcW w:type="dxa" w:w="1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1,600</w:t>
            </w:r>
          </w:p>
        </w:tc>
        <w:tc>
          <w:tcPr>
            <w:tcW w:type="dxa" w:w="1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640</w:t>
            </w:r>
          </w:p>
        </w:tc>
        <w:tc>
          <w:tcPr>
            <w:tcW w:type="dxa" w:w="1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540</w:t>
            </w:r>
          </w:p>
        </w:tc>
        <w:tc>
          <w:tcPr>
            <w:tcW w:type="dxa" w:w="1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420</w:t>
            </w:r>
          </w:p>
        </w:tc>
        <w:tc>
          <w:tcPr>
            <w:tcW w:type="dxa" w:w="27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كادر (أبحاث)</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980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480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320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180</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كادر (هندسة)</w:t>
            </w:r>
          </w:p>
        </w:tc>
      </w:tr>
      <w:tr>
        <w:tc>
          <w:tcPr>
            <w:tcW w:type="dxa" w:w="1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360</w:t>
            </w:r>
          </w:p>
        </w:tc>
        <w:tc>
          <w:tcPr>
            <w:tcW w:type="dxa" w:w="1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240</w:t>
            </w:r>
          </w:p>
        </w:tc>
        <w:tc>
          <w:tcPr>
            <w:tcW w:type="dxa" w:w="1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120</w:t>
            </w:r>
          </w:p>
        </w:tc>
        <w:tc>
          <w:tcPr>
            <w:tcW w:type="dxa" w:w="1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0</w:t>
            </w:r>
          </w:p>
        </w:tc>
        <w:tc>
          <w:tcPr>
            <w:tcW w:type="dxa" w:w="27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كادر (تجاري)</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760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260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320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180</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حوسبة (تدريب)</w:t>
            </w:r>
          </w:p>
        </w:tc>
      </w:tr>
      <w:tr>
        <w:tc>
          <w:tcPr>
            <w:tcW w:type="dxa" w:w="1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250</w:t>
            </w:r>
          </w:p>
        </w:tc>
        <w:tc>
          <w:tcPr>
            <w:tcW w:type="dxa" w:w="1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100</w:t>
            </w:r>
          </w:p>
        </w:tc>
        <w:tc>
          <w:tcPr>
            <w:tcW w:type="dxa" w:w="1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90</w:t>
            </w:r>
          </w:p>
        </w:tc>
        <w:tc>
          <w:tcPr>
            <w:tcW w:type="dxa" w:w="1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60</w:t>
            </w:r>
          </w:p>
        </w:tc>
        <w:tc>
          <w:tcPr>
            <w:tcW w:type="dxa" w:w="27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حوسبة (تجارب)</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190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60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90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40</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إجراءات براءة</w:t>
            </w:r>
          </w:p>
        </w:tc>
      </w:tr>
      <w:tr>
        <w:tc>
          <w:tcPr>
            <w:tcW w:type="dxa" w:w="1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120</w:t>
            </w:r>
          </w:p>
        </w:tc>
        <w:tc>
          <w:tcPr>
            <w:tcW w:type="dxa" w:w="1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50</w:t>
            </w:r>
          </w:p>
        </w:tc>
        <w:tc>
          <w:tcPr>
            <w:tcW w:type="dxa" w:w="1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40</w:t>
            </w:r>
          </w:p>
        </w:tc>
        <w:tc>
          <w:tcPr>
            <w:tcW w:type="dxa" w:w="1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30</w:t>
            </w:r>
          </w:p>
        </w:tc>
        <w:tc>
          <w:tcPr>
            <w:tcW w:type="dxa" w:w="27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قانوني / استشاري</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160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80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60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20</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مؤتمرات ومنشورات وعلاقات عامة</w:t>
            </w:r>
          </w:p>
        </w:tc>
      </w:tr>
      <w:tr>
        <w:tc>
          <w:tcPr>
            <w:tcW w:type="dxa" w:w="1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130</w:t>
            </w:r>
          </w:p>
        </w:tc>
        <w:tc>
          <w:tcPr>
            <w:tcW w:type="dxa" w:w="1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30</w:t>
            </w:r>
          </w:p>
        </w:tc>
        <w:tc>
          <w:tcPr>
            <w:tcW w:type="dxa" w:w="1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40</w:t>
            </w:r>
          </w:p>
        </w:tc>
        <w:tc>
          <w:tcPr>
            <w:tcW w:type="dxa" w:w="1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60</w:t>
            </w:r>
          </w:p>
        </w:tc>
        <w:tc>
          <w:tcPr>
            <w:tcW w:type="dxa" w:w="27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أجهزة وبرامج وأدوات</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160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70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55</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35</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إدارة عامة</w:t>
            </w:r>
          </w:p>
        </w:tc>
      </w:tr>
      <w:tr>
        <w:tc>
          <w:tcPr>
            <w:tcW w:type="dxa" w:w="1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4,710</w:t>
            </w:r>
          </w:p>
        </w:tc>
        <w:tc>
          <w:tcPr>
            <w:tcW w:type="dxa" w:w="1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2,010</w:t>
            </w:r>
          </w:p>
        </w:tc>
        <w:tc>
          <w:tcPr>
            <w:tcW w:type="dxa" w:w="1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1,675</w:t>
            </w:r>
          </w:p>
        </w:tc>
        <w:tc>
          <w:tcPr>
            <w:tcW w:type="dxa" w:w="1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1,025</w:t>
            </w:r>
          </w:p>
        </w:tc>
        <w:tc>
          <w:tcPr>
            <w:tcW w:type="dxa" w:w="27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الإجمالي</w:t>
            </w:r>
          </w:p>
        </w:tc>
      </w:tr>
    </w:tbl>
    <w:p>
      <w:pPr>
        <w:bidi/>
        <w:spacing w:after="80" w:before="80" w:line="360"/>
        <w:jc w:val="right"/>
      </w:pPr>
      <w:r>
        <w:rPr>
          <w:rFonts w:ascii="Tajawal" w:cs="Tajawal" w:eastAsia="Tajawal" w:hAnsi="Tajawal"/>
          <w:sz w:val="22"/>
          <w:szCs w:val="22"/>
          <w:rtl/>
        </w:rPr>
        <w:t xml:space="preserve"/>
      </w:r>
    </w:p>
    <w:p>
      <w:pPr>
        <w:bidi/>
        <w:spacing w:after="80" w:before="80" w:line="360"/>
        <w:jc w:val="right"/>
      </w:pPr>
      <w:r>
        <w:rPr>
          <w:rFonts w:ascii="Tajawal" w:cs="Tajawal" w:eastAsia="Tajawal" w:hAnsi="Tajawal"/>
          <w:sz w:val="22"/>
          <w:szCs w:val="22"/>
          <w:rtl/>
        </w:rPr>
        <w:t xml:space="preserve">إجمالي تكلفة التشغيل على 18 شهراً حوالي 4.7 مليون دولار. مع احتياطي طوارئ 12٪، الجمع الموصى به هو 5.2 مليون دولار، يُقرَّب تحفّظاً إلى 5 مليون دولار للرسالة بأرقام مدوّرة.</w:t>
      </w:r>
    </w:p>
    <w:p>
      <w:pPr>
        <w:pStyle w:val="Heading2"/>
        <w:bidi/>
        <w:spacing w:after="120" w:before="280"/>
        <w:jc w:val="right"/>
      </w:pPr>
      <w:r>
        <w:rPr>
          <w:rFonts w:ascii="Tajawal" w:cs="Tajawal" w:eastAsia="Tajawal" w:hAnsi="Tajawal"/>
          <w:b/>
          <w:bCs/>
          <w:color w:val="1F8A98"/>
          <w:sz w:val="28"/>
          <w:szCs w:val="28"/>
          <w:rtl/>
        </w:rPr>
        <w:t xml:space="preserve">7.2  توقّعات الإيرادات (الأشهر 18–60)</w:t>
      </w:r>
    </w:p>
    <w:p>
      <w:pPr>
        <w:bidi/>
        <w:spacing w:after="80" w:before="80" w:line="360"/>
        <w:jc w:val="right"/>
      </w:pPr>
      <w:r>
        <w:rPr>
          <w:rFonts w:ascii="Tajawal" w:cs="Tajawal" w:eastAsia="Tajawal" w:hAnsi="Tajawal"/>
          <w:sz w:val="22"/>
          <w:szCs w:val="22"/>
          <w:rt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700"/>
        <w:gridCol w:w="2200"/>
      </w:tblGrid>
      <w:tr>
        <w:tc>
          <w:tcPr>
            <w:tcW w:type="dxa" w:w="1700"/>
            <w:tcBorders>
              <w:top w:val="single" w:color="CCCCCC" w:sz="4"/>
              <w:left w:val="single" w:color="CCCCCC" w:sz="4"/>
              <w:bottom w:val="single" w:color="CCCCCC" w:sz="4"/>
              <w:right w:val="single" w:color="CCCCCC" w:sz="4"/>
            </w:tcBorders>
            <w:shd w:fill="0F2745" w:val="clear"/>
            <w:tcMar>
              <w:top w:type="dxa" w:w="100"/>
              <w:left w:type="dxa" w:w="120"/>
              <w:bottom w:type="dxa" w:w="100"/>
              <w:right w:type="dxa" w:w="120"/>
            </w:tcMar>
          </w:tcPr>
          <w:p>
            <w:pPr>
              <w:bidi/>
              <w:jc w:val="center"/>
            </w:pPr>
            <w:r>
              <w:rPr>
                <w:rFonts w:ascii="Tajawal" w:cs="Tajawal" w:eastAsia="Tajawal" w:hAnsi="Tajawal"/>
                <w:b/>
                <w:bCs/>
                <w:color w:val="FFFFFF"/>
                <w:sz w:val="20"/>
                <w:szCs w:val="20"/>
                <w:rtl/>
              </w:rPr>
              <w:t xml:space="preserve">السنة 5 ($K)</w:t>
            </w:r>
          </w:p>
        </w:tc>
        <w:tc>
          <w:tcPr>
            <w:tcW w:type="dxa" w:w="1700"/>
            <w:tcBorders>
              <w:top w:val="single" w:color="CCCCCC" w:sz="4"/>
              <w:left w:val="single" w:color="CCCCCC" w:sz="4"/>
              <w:bottom w:val="single" w:color="CCCCCC" w:sz="4"/>
              <w:right w:val="single" w:color="CCCCCC" w:sz="4"/>
            </w:tcBorders>
            <w:shd w:fill="0F2745" w:val="clear"/>
            <w:tcMar>
              <w:top w:type="dxa" w:w="100"/>
              <w:left w:type="dxa" w:w="120"/>
              <w:bottom w:type="dxa" w:w="100"/>
              <w:right w:type="dxa" w:w="120"/>
            </w:tcMar>
          </w:tcPr>
          <w:p>
            <w:pPr>
              <w:bidi/>
              <w:jc w:val="center"/>
            </w:pPr>
            <w:r>
              <w:rPr>
                <w:rFonts w:ascii="Tajawal" w:cs="Tajawal" w:eastAsia="Tajawal" w:hAnsi="Tajawal"/>
                <w:b/>
                <w:bCs/>
                <w:color w:val="FFFFFF"/>
                <w:sz w:val="20"/>
                <w:szCs w:val="20"/>
                <w:rtl/>
              </w:rPr>
              <w:t xml:space="preserve">السنة 4 ($K)</w:t>
            </w:r>
          </w:p>
        </w:tc>
        <w:tc>
          <w:tcPr>
            <w:tcW w:type="dxa" w:w="1700"/>
            <w:tcBorders>
              <w:top w:val="single" w:color="CCCCCC" w:sz="4"/>
              <w:left w:val="single" w:color="CCCCCC" w:sz="4"/>
              <w:bottom w:val="single" w:color="CCCCCC" w:sz="4"/>
              <w:right w:val="single" w:color="CCCCCC" w:sz="4"/>
            </w:tcBorders>
            <w:shd w:fill="0F2745" w:val="clear"/>
            <w:tcMar>
              <w:top w:type="dxa" w:w="100"/>
              <w:left w:type="dxa" w:w="120"/>
              <w:bottom w:type="dxa" w:w="100"/>
              <w:right w:type="dxa" w:w="120"/>
            </w:tcMar>
          </w:tcPr>
          <w:p>
            <w:pPr>
              <w:bidi/>
              <w:jc w:val="center"/>
            </w:pPr>
            <w:r>
              <w:rPr>
                <w:rFonts w:ascii="Tajawal" w:cs="Tajawal" w:eastAsia="Tajawal" w:hAnsi="Tajawal"/>
                <w:b/>
                <w:bCs/>
                <w:color w:val="FFFFFF"/>
                <w:sz w:val="20"/>
                <w:szCs w:val="20"/>
                <w:rtl/>
              </w:rPr>
              <w:t xml:space="preserve">السنة 3 ($K)</w:t>
            </w:r>
          </w:p>
        </w:tc>
        <w:tc>
          <w:tcPr>
            <w:tcW w:type="dxa" w:w="1700"/>
            <w:tcBorders>
              <w:top w:val="single" w:color="CCCCCC" w:sz="4"/>
              <w:left w:val="single" w:color="CCCCCC" w:sz="4"/>
              <w:bottom w:val="single" w:color="CCCCCC" w:sz="4"/>
              <w:right w:val="single" w:color="CCCCCC" w:sz="4"/>
            </w:tcBorders>
            <w:shd w:fill="0F2745" w:val="clear"/>
            <w:tcMar>
              <w:top w:type="dxa" w:w="100"/>
              <w:left w:type="dxa" w:w="120"/>
              <w:bottom w:type="dxa" w:w="100"/>
              <w:right w:type="dxa" w:w="120"/>
            </w:tcMar>
          </w:tcPr>
          <w:p>
            <w:pPr>
              <w:bidi/>
              <w:jc w:val="center"/>
            </w:pPr>
            <w:r>
              <w:rPr>
                <w:rFonts w:ascii="Tajawal" w:cs="Tajawal" w:eastAsia="Tajawal" w:hAnsi="Tajawal"/>
                <w:b/>
                <w:bCs/>
                <w:color w:val="FFFFFF"/>
                <w:sz w:val="20"/>
                <w:szCs w:val="20"/>
                <w:rtl/>
              </w:rPr>
              <w:t xml:space="preserve">السنة 2 ($K)</w:t>
            </w:r>
          </w:p>
        </w:tc>
        <w:tc>
          <w:tcPr>
            <w:tcW w:type="dxa" w:w="2200"/>
            <w:tcBorders>
              <w:top w:val="single" w:color="CCCCCC" w:sz="4"/>
              <w:left w:val="single" w:color="CCCCCC" w:sz="4"/>
              <w:bottom w:val="single" w:color="CCCCCC" w:sz="4"/>
              <w:right w:val="single" w:color="CCCCCC" w:sz="4"/>
            </w:tcBorders>
            <w:shd w:fill="0F2745" w:val="clear"/>
            <w:tcMar>
              <w:top w:type="dxa" w:w="100"/>
              <w:left w:type="dxa" w:w="120"/>
              <w:bottom w:type="dxa" w:w="100"/>
              <w:right w:type="dxa" w:w="120"/>
            </w:tcMar>
          </w:tcPr>
          <w:p>
            <w:pPr>
              <w:bidi/>
              <w:jc w:val="center"/>
            </w:pPr>
            <w:r>
              <w:rPr>
                <w:rFonts w:ascii="Tajawal" w:cs="Tajawal" w:eastAsia="Tajawal" w:hAnsi="Tajawal"/>
                <w:b/>
                <w:bCs/>
                <w:color w:val="FFFFFF"/>
                <w:sz w:val="20"/>
                <w:szCs w:val="20"/>
                <w:rtl/>
              </w:rPr>
              <w:t xml:space="preserve">مصدر الإيرادات</w:t>
            </w:r>
          </w:p>
        </w:tc>
      </w:tr>
      <w:tr>
        <w:tc>
          <w:tcPr>
            <w:tcW w:type="dxa" w:w="17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11,000</w:t>
            </w:r>
          </w:p>
        </w:tc>
        <w:tc>
          <w:tcPr>
            <w:tcW w:type="dxa" w:w="17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6,000</w:t>
            </w:r>
          </w:p>
        </w:tc>
        <w:tc>
          <w:tcPr>
            <w:tcW w:type="dxa" w:w="17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2,400</w:t>
            </w:r>
          </w:p>
        </w:tc>
        <w:tc>
          <w:tcPr>
            <w:tcW w:type="dxa" w:w="17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600</w:t>
            </w:r>
          </w:p>
        </w:tc>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تجربة/ترخيص جهة سيادية</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8,200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5,400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2,800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900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حكومي سعودي/كبار المؤسسات</w:t>
            </w:r>
          </w:p>
        </w:tc>
      </w:tr>
      <w:tr>
        <w:tc>
          <w:tcPr>
            <w:tcW w:type="dxa" w:w="17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4,000</w:t>
            </w:r>
          </w:p>
        </w:tc>
        <w:tc>
          <w:tcPr>
            <w:tcW w:type="dxa" w:w="17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2,200</w:t>
            </w:r>
          </w:p>
        </w:tc>
        <w:tc>
          <w:tcPr>
            <w:tcW w:type="dxa" w:w="17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900</w:t>
            </w:r>
          </w:p>
        </w:tc>
        <w:tc>
          <w:tcPr>
            <w:tcW w:type="dxa" w:w="17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200</w:t>
            </w:r>
          </w:p>
        </w:tc>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شركات خليجية</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6,500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2,800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600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سحابة (LCA-as-Service)</w:t>
            </w:r>
          </w:p>
        </w:tc>
      </w:tr>
      <w:tr>
        <w:tc>
          <w:tcPr>
            <w:tcW w:type="dxa" w:w="17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12,000</w:t>
            </w:r>
          </w:p>
        </w:tc>
        <w:tc>
          <w:tcPr>
            <w:tcW w:type="dxa" w:w="17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5,000</w:t>
            </w:r>
          </w:p>
        </w:tc>
        <w:tc>
          <w:tcPr>
            <w:tcW w:type="dxa" w:w="17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0</w:t>
            </w:r>
          </w:p>
        </w:tc>
        <w:tc>
          <w:tcPr>
            <w:tcW w:type="dxa" w:w="17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0</w:t>
            </w:r>
          </w:p>
        </w:tc>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ترخيص IP (مختبرات عالمية)</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41,700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21,400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6,700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1,700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إجمالي ARR</w:t>
            </w:r>
          </w:p>
        </w:tc>
      </w:tr>
    </w:tbl>
    <w:p>
      <w:pPr>
        <w:pStyle w:val="Heading1"/>
        <w:bidi/>
        <w:spacing w:after="160" w:before="360"/>
        <w:jc w:val="right"/>
      </w:pPr>
      <w:r>
        <w:rPr>
          <w:rFonts w:ascii="Tajawal" w:cs="Tajawal" w:eastAsia="Tajawal" w:hAnsi="Tajawal"/>
          <w:b/>
          <w:bCs/>
          <w:color w:val="0F2745"/>
          <w:sz w:val="36"/>
          <w:szCs w:val="36"/>
          <w:rtl/>
        </w:rPr>
        <w:t xml:space="preserve">8. المخاطر التقنية والتجارية</w:t>
      </w:r>
    </w:p>
    <w:p>
      <w:pPr>
        <w:pStyle w:val="Heading2"/>
        <w:bidi/>
        <w:spacing w:after="120" w:before="280"/>
        <w:jc w:val="right"/>
      </w:pPr>
      <w:r>
        <w:rPr>
          <w:rFonts w:ascii="Tajawal" w:cs="Tajawal" w:eastAsia="Tajawal" w:hAnsi="Tajawal"/>
          <w:b/>
          <w:bCs/>
          <w:color w:val="1F8A98"/>
          <w:sz w:val="28"/>
          <w:szCs w:val="28"/>
          <w:rtl/>
        </w:rPr>
        <w:t xml:space="preserve">8.1  المخاطر التقنية</w:t>
      </w:r>
    </w:p>
    <w:p>
      <w:pPr>
        <w:pStyle w:val="Heading3"/>
        <w:bidi/>
        <w:spacing w:after="100" w:before="220"/>
        <w:jc w:val="right"/>
      </w:pPr>
      <w:r>
        <w:rPr>
          <w:rFonts w:ascii="Tajawal" w:cs="Tajawal" w:eastAsia="Tajawal" w:hAnsi="Tajawal"/>
          <w:b/>
          <w:bCs/>
          <w:color w:val="C49A2B"/>
          <w:sz w:val="24"/>
          <w:szCs w:val="24"/>
          <w:rtl/>
        </w:rPr>
        <w:t xml:space="preserve">R1 — سلوك التوسّع غير واضح فوق 7B باراميتر</w:t>
      </w:r>
    </w:p>
    <w:p>
      <w:pPr>
        <w:bidi/>
        <w:spacing w:after="80" w:before="80" w:line="360"/>
        <w:jc w:val="right"/>
      </w:pPr>
      <w:r>
        <w:rPr>
          <w:rFonts w:ascii="Tajawal" w:cs="Tajawal" w:eastAsia="Tajawal" w:hAnsi="Tajawal"/>
          <w:sz w:val="22"/>
          <w:szCs w:val="22"/>
          <w:rtl/>
        </w:rPr>
        <w:t xml:space="preserve">معظم أساليب ضغط السياق الطويل المنشورة مُتحقَّق منها فقط على مقاييس ≤10B باراميتر. تركيبة آليات LCA قد تتفاعل بشكل غير متوقّع على المقاييس الرائدة (70B+). المعالجة: تجارب قوانين التوسّع مُدمجة في خطة عمل المرحلة 1؛ الشراكة مع مزوّد حوسبة كبير تُوفّر الوصول الضروري لـ GPU؛ التعاون مع مؤسسات بحثية أكاديمية يُوفّر تحقّقاً بدرجة أكاديمية.</w:t>
      </w:r>
    </w:p>
    <w:p>
      <w:pPr>
        <w:pStyle w:val="Heading3"/>
        <w:bidi/>
        <w:spacing w:after="100" w:before="220"/>
        <w:jc w:val="right"/>
      </w:pPr>
      <w:r>
        <w:rPr>
          <w:rFonts w:ascii="Tajawal" w:cs="Tajawal" w:eastAsia="Tajawal" w:hAnsi="Tajawal"/>
          <w:b/>
          <w:bCs/>
          <w:color w:val="C49A2B"/>
          <w:sz w:val="24"/>
          <w:szCs w:val="24"/>
          <w:rtl/>
        </w:rPr>
        <w:t xml:space="preserve">R2 — جودة المُرمِّز الصرفي القبلي كعنق زجاجة</w:t>
      </w:r>
    </w:p>
    <w:p>
      <w:pPr>
        <w:bidi/>
        <w:spacing w:after="80" w:before="80" w:line="360"/>
        <w:jc w:val="right"/>
      </w:pPr>
      <w:r>
        <w:rPr>
          <w:rFonts w:ascii="Tajawal" w:cs="Tajawal" w:eastAsia="Tajawal" w:hAnsi="Tajawal"/>
          <w:sz w:val="22"/>
          <w:szCs w:val="22"/>
          <w:rtl/>
        </w:rPr>
        <w:t xml:space="preserve">يعتمد MPE على تحليل جذر-وزن دقيق للعربية. المحلّلات الصرفية العربية الحالية (Farasa, MADAMIRA, CAMeL Tools) لها سقوف دقّة معروفة (88–93٪ للفصحى، أدنى للهجة). المعالجة: تطوير موازٍ لوحدة تجزئة صرفية مُتعلَّمة مُدرَّبة على مجموعة بيانات منتقاة تجمع مخرجات CAMeL Tools والتعليقات الصرفية القرآنية ومعايير الشجرة العربية الذهبية؛ نُقدّر أن المتغيّر المُتعلَّم يمكنه بلوغ 96–97٪ دقّة على الفصحى خلال المرحلة 1.</w:t>
      </w:r>
    </w:p>
    <w:p>
      <w:pPr>
        <w:pStyle w:val="Heading2"/>
        <w:bidi/>
        <w:spacing w:after="120" w:before="280"/>
        <w:jc w:val="right"/>
      </w:pPr>
      <w:r>
        <w:rPr>
          <w:rFonts w:ascii="Tajawal" w:cs="Tajawal" w:eastAsia="Tajawal" w:hAnsi="Tajawal"/>
          <w:b/>
          <w:bCs/>
          <w:color w:val="1F8A98"/>
          <w:sz w:val="28"/>
          <w:szCs w:val="28"/>
          <w:rtl/>
        </w:rPr>
        <w:t xml:space="preserve">8.2  المخاطر التجارية</w:t>
      </w:r>
    </w:p>
    <w:p>
      <w:pPr>
        <w:pStyle w:val="Heading3"/>
        <w:bidi/>
        <w:spacing w:after="100" w:before="220"/>
        <w:jc w:val="right"/>
      </w:pPr>
      <w:r>
        <w:rPr>
          <w:rFonts w:ascii="Tajawal" w:cs="Tajawal" w:eastAsia="Tajawal" w:hAnsi="Tajawal"/>
          <w:b/>
          <w:bCs/>
          <w:color w:val="C49A2B"/>
          <w:sz w:val="24"/>
          <w:szCs w:val="24"/>
          <w:rtl/>
        </w:rPr>
        <w:t xml:space="preserve">R3 — الجهات السيادية الإقليمية تبني نموذج LLM عربياً داخلياً يُلغي الحاجة للترخيص</w:t>
      </w:r>
    </w:p>
    <w:p>
      <w:pPr>
        <w:bidi/>
        <w:spacing w:after="80" w:before="80" w:line="360"/>
        <w:jc w:val="right"/>
      </w:pPr>
      <w:r>
        <w:rPr>
          <w:rFonts w:ascii="Tajawal" w:cs="Tajawal" w:eastAsia="Tajawal" w:hAnsi="Tajawal"/>
          <w:sz w:val="22"/>
          <w:szCs w:val="22"/>
          <w:rtl/>
        </w:rPr>
        <w:t xml:space="preserve">الجهات السيادية الإقليمية لديها رأس المال والتفويض لتطوير LLM عربية سيادية داخلياً. المعالجة: تموضع LCA من البداية كشريك لا منافس؛ هيكلة المحادثات التجارية الأولى كاستحواذ أو مشاركة حقوق ملكية استراتيجية بدلاً من ترخيص خالص؛ ضمان تغطية إيداعات البراءة لمساحة الادّعاء التي ستحتاج هذه الجهات للتنقّل فيها.</w:t>
      </w:r>
    </w:p>
    <w:p>
      <w:pPr>
        <w:pStyle w:val="Heading3"/>
        <w:bidi/>
        <w:spacing w:after="100" w:before="220"/>
        <w:jc w:val="right"/>
      </w:pPr>
      <w:r>
        <w:rPr>
          <w:rFonts w:ascii="Tajawal" w:cs="Tajawal" w:eastAsia="Tajawal" w:hAnsi="Tajawal"/>
          <w:b/>
          <w:bCs/>
          <w:color w:val="C49A2B"/>
          <w:sz w:val="24"/>
          <w:szCs w:val="24"/>
          <w:rtl/>
        </w:rPr>
        <w:t xml:space="preserve">R4 — مختبرات نماذج الأساس تحلّ العربية عبر توسعة بيانات قوّة غاشمة</w:t>
      </w:r>
    </w:p>
    <w:p>
      <w:pPr>
        <w:bidi/>
        <w:spacing w:after="80" w:before="80" w:line="360"/>
        <w:jc w:val="right"/>
      </w:pPr>
      <w:r>
        <w:rPr>
          <w:rFonts w:ascii="Tajawal" w:cs="Tajawal" w:eastAsia="Tajawal" w:hAnsi="Tajawal"/>
          <w:sz w:val="22"/>
          <w:szCs w:val="22"/>
          <w:rtl/>
        </w:rPr>
        <w:t xml:space="preserve">قد تُغلق المختبرات الرائدة العالمية فجوة العربية بتوسعة بيانات التدريب العربية بشدّة، مما يُقلّل الميزة البنيوية لمعمارية عربية أصلية. المعالجة: مشكلة ضريبة التقطيع بنيوية وتستمرّ بغض النظر عن حجم بيانات التدريب؛ التأكيد على كفاءة الكلفة لكل قطعة في مواد العرض لا الجودة وحدها؛ بناء براءات قابلة للدفاع على المطالبات المعمارية بدلاً من الاعتماد على خنادق البيانات.</w:t>
      </w:r>
    </w:p>
    <w:p>
      <w:pPr>
        <w:pStyle w:val="Heading1"/>
        <w:bidi/>
        <w:spacing w:after="160" w:before="360"/>
        <w:jc w:val="right"/>
      </w:pPr>
      <w:r>
        <w:rPr>
          <w:rFonts w:ascii="Tajawal" w:cs="Tajawal" w:eastAsia="Tajawal" w:hAnsi="Tajawal"/>
          <w:b/>
          <w:bCs/>
          <w:color w:val="0F2745"/>
          <w:sz w:val="36"/>
          <w:szCs w:val="36"/>
          <w:rtl/>
        </w:rPr>
        <w:t xml:space="preserve">9. بنية الفريق وخطة التوظيف</w:t>
      </w:r>
    </w:p>
    <w:p>
      <w:pPr>
        <w:pStyle w:val="Heading2"/>
        <w:bidi/>
        <w:spacing w:after="120" w:before="280"/>
        <w:jc w:val="right"/>
      </w:pPr>
      <w:r>
        <w:rPr>
          <w:rFonts w:ascii="Tajawal" w:cs="Tajawal" w:eastAsia="Tajawal" w:hAnsi="Tajawal"/>
          <w:b/>
          <w:bCs/>
          <w:color w:val="1F8A98"/>
          <w:sz w:val="28"/>
          <w:szCs w:val="28"/>
          <w:rtl/>
        </w:rPr>
        <w:t xml:space="preserve">9.1  فريق التأسيس (الأشهر 0–3)</w:t>
      </w:r>
    </w:p>
    <w:p>
      <w:pPr>
        <w:pStyle w:val="Heading3"/>
        <w:bidi/>
        <w:spacing w:after="100" w:before="220"/>
        <w:jc w:val="right"/>
      </w:pPr>
      <w:r>
        <w:rPr>
          <w:rFonts w:ascii="Tajawal" w:cs="Tajawal" w:eastAsia="Tajawal" w:hAnsi="Tajawal"/>
          <w:b/>
          <w:bCs/>
          <w:color w:val="C49A2B"/>
          <w:sz w:val="24"/>
          <w:szCs w:val="24"/>
          <w:rtl/>
        </w:rPr>
        <w:t xml:space="preserve">المؤسس والرئيس التنفيذي</w:t>
      </w:r>
    </w:p>
    <w:p>
      <w:pPr>
        <w:bidi/>
        <w:spacing w:after="80" w:before="80" w:line="360"/>
        <w:jc w:val="right"/>
      </w:pPr>
      <w:r>
        <w:rPr>
          <w:rFonts w:ascii="Tajawal" w:cs="Tajawal" w:eastAsia="Tajawal" w:hAnsi="Tajawal"/>
          <w:sz w:val="22"/>
          <w:szCs w:val="22"/>
          <w:rtl/>
        </w:rPr>
        <w:t xml:space="preserve">المؤسس والمخترع الرئيسي لـ ARKANE AI. المسؤوليات: الرؤية، تخصيص رأس المال، الشؤون الحكومية، والقيادة التجارية لبرنامج LCA.</w:t>
      </w:r>
    </w:p>
    <w:p>
      <w:pPr>
        <w:pStyle w:val="Heading3"/>
        <w:bidi/>
        <w:spacing w:after="100" w:before="220"/>
        <w:jc w:val="right"/>
      </w:pPr>
      <w:r>
        <w:rPr>
          <w:rFonts w:ascii="Tajawal" w:cs="Tajawal" w:eastAsia="Tajawal" w:hAnsi="Tajawal"/>
          <w:b/>
          <w:bCs/>
          <w:color w:val="C49A2B"/>
          <w:sz w:val="24"/>
          <w:szCs w:val="24"/>
          <w:rtl/>
        </w:rPr>
        <w:t xml:space="preserve">الشريك التقني / كبير مسؤولي الأبحاث — للتعيين</w:t>
      </w:r>
    </w:p>
    <w:p>
      <w:pPr>
        <w:bidi/>
        <w:spacing w:after="80" w:before="80" w:line="360"/>
        <w:jc w:val="right"/>
      </w:pPr>
      <w:r>
        <w:rPr>
          <w:rFonts w:ascii="Tajawal" w:cs="Tajawal" w:eastAsia="Tajawal" w:hAnsi="Tajawal"/>
          <w:sz w:val="22"/>
          <w:szCs w:val="22"/>
          <w:rtl/>
        </w:rPr>
        <w:t xml:space="preserve">توظيف أول حرج. الملف الشخصي: دكتوراه في ML/NLP من برنامج من الفئة الأولى؛ 5+ سنوات بناء نماذج من فئة الترانسفورمر على نطاق واسع؛ مكافأة: خبرة مختبر رائد سابقة أو خلفية NLP عربية قوية. التعويض المستهدف: 300 ألف $ نقداً + 8–14٪ حقوق ملكية.</w:t>
      </w:r>
    </w:p>
    <w:p>
      <w:pPr>
        <w:pStyle w:val="Heading3"/>
        <w:bidi/>
        <w:spacing w:after="100" w:before="220"/>
        <w:jc w:val="right"/>
      </w:pPr>
      <w:r>
        <w:rPr>
          <w:rFonts w:ascii="Tajawal" w:cs="Tajawal" w:eastAsia="Tajawal" w:hAnsi="Tajawal"/>
          <w:b/>
          <w:bCs/>
          <w:color w:val="C49A2B"/>
          <w:sz w:val="24"/>
          <w:szCs w:val="24"/>
          <w:rtl/>
        </w:rPr>
        <w:t xml:space="preserve">المهندس المؤسس — للتعيين</w:t>
      </w:r>
    </w:p>
    <w:p>
      <w:pPr>
        <w:bidi/>
        <w:spacing w:after="80" w:before="80" w:line="360"/>
        <w:jc w:val="right"/>
      </w:pPr>
      <w:r>
        <w:rPr>
          <w:rFonts w:ascii="Tajawal" w:cs="Tajawal" w:eastAsia="Tajawal" w:hAnsi="Tajawal"/>
          <w:sz w:val="22"/>
          <w:szCs w:val="22"/>
          <w:rtl/>
        </w:rPr>
        <w:t xml:space="preserve">الملف الشخصي: خلفية هندسة أنظمة قوية؛ خبرة في التدريب الموزّع (PyTorch FSDP، Megatron، JAX/Pallas)؛ نشر استدلال إنتاجي. التعويض: 220 ألف $ + 3–5٪ حقوق ملكية.</w:t>
      </w:r>
    </w:p>
    <w:p>
      <w:pPr>
        <w:pStyle w:val="Heading1"/>
        <w:bidi/>
        <w:spacing w:after="160" w:before="360"/>
        <w:jc w:val="right"/>
      </w:pPr>
      <w:r>
        <w:rPr>
          <w:rFonts w:ascii="Tajawal" w:cs="Tajawal" w:eastAsia="Tajawal" w:hAnsi="Tajawal"/>
          <w:b/>
          <w:bCs/>
          <w:color w:val="0F2745"/>
          <w:sz w:val="36"/>
          <w:szCs w:val="36"/>
          <w:rtl/>
        </w:rPr>
        <w:t xml:space="preserve">10. الخلاصة وأطروحة الاستثمار</w:t>
      </w:r>
    </w:p>
    <w:p>
      <w:pPr>
        <w:bidi/>
        <w:spacing w:after="80" w:before="80" w:line="360"/>
        <w:jc w:val="right"/>
      </w:pPr>
      <w:r>
        <w:rPr>
          <w:rFonts w:ascii="Tajawal" w:cs="Tajawal" w:eastAsia="Tajawal" w:hAnsi="Tajawal"/>
          <w:sz w:val="22"/>
          <w:szCs w:val="22"/>
          <w:rtl/>
        </w:rPr>
        <w:t xml:space="preserve">بنية السياق السائل تجلس عند تقاطع ثلاث قوى متلاقية: النضج التقني لأبحاث ضغط السياق الطويل؛ الحاجة البنيوية غير المُلبّاة لمعمارية نموذج أساس عربية أصلية؛ والتزام رأس المال السعودي غير المسبوق للذكاء الاصطناعي السيادي عبر مبادرات وطنية واستراتيجية الاستثمار السيادي 2026–2030.</w:t>
      </w:r>
    </w:p>
    <w:p>
      <w:pPr>
        <w:bidi/>
        <w:spacing w:after="80" w:before="80" w:line="360"/>
        <w:jc w:val="right"/>
      </w:pPr>
      <w:r>
        <w:rPr>
          <w:rFonts w:ascii="Tajawal" w:cs="Tajawal" w:eastAsia="Tajawal" w:hAnsi="Tajawal"/>
          <w:sz w:val="22"/>
          <w:szCs w:val="22"/>
          <w:rtl/>
        </w:rPr>
        <w:t xml:space="preserve">المعمارية ذاتها مؤسَّسة على هندسة جادّة. كل من مكوّناتها — المُرمِّز الصرفي القبلي، منحنى السياق متعدد الدقّات، مُشغِّل الاسترجاع الجيوديزي، متحكّم الضغط التكيّفي — له سابقة واضحة في الأبحاث المنشورة، مع تركيب محدّد وقابل للحماية بالبراءة لا يوجد في أي نظام منشور اليوم. المخاطر حقيقية لكن مُحدَّدة، مع معالجات ملموسة.</w:t>
      </w:r>
    </w:p>
    <w:p>
      <w:pPr>
        <w:bidi/>
        <w:spacing w:after="80" w:before="80" w:line="360"/>
        <w:jc w:val="right"/>
      </w:pPr>
      <w:r>
        <w:rPr>
          <w:rFonts w:ascii="Tajawal" w:cs="Tajawal" w:eastAsia="Tajawal" w:hAnsi="Tajawal"/>
          <w:sz w:val="22"/>
          <w:szCs w:val="22"/>
          <w:rtl/>
        </w:rPr>
        <w:t xml:space="preserve">المسار التجاري ملموس. هناك تماماً عميل مرسى واضح (روّاد الذكاء الاصطناعي السيادي الإقليميين)، تماماً مجاورة تقنية واضحة (مختبرات نماذج الأساس التي تدفع ضريبة التقطيع العربي يومياً)، وتماماً نافذة خروج واضحة (الجدول الزمني 18–36 شهراً قبل أن تُرسّخ نماذج الجيل الأول الإقليمية الاختيارات المعمارية). كل من هذه الاتساقات، بمفرده، يبرّر جهد تأسيس مركّز؛ مجتمعةً تُشكّل تكويناً استراتيجياً من غير المرجّح أن يتكرّر.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49A2B" w:sz="8"/>
              <w:left w:val="single" w:color="C49A2B" w:sz="8"/>
              <w:bottom w:val="single" w:color="C49A2B" w:sz="8"/>
              <w:right w:val="single" w:color="C49A2B" w:sz="8"/>
            </w:tcBorders>
            <w:shd w:fill="FFF7E0" w:val="clear"/>
            <w:tcMar>
              <w:top w:type="dxa" w:w="180"/>
              <w:left w:type="dxa" w:w="240"/>
              <w:bottom w:type="dxa" w:w="180"/>
              <w:right w:type="dxa" w:w="240"/>
            </w:tcMar>
          </w:tcPr>
          <w:p>
            <w:pPr>
              <w:bidi/>
              <w:spacing w:after="100"/>
              <w:jc w:val="right"/>
            </w:pPr>
            <w:r>
              <w:rPr>
                <w:rFonts w:ascii="Tajawal" w:cs="Tajawal" w:eastAsia="Tajawal" w:hAnsi="Tajawal"/>
                <w:b/>
                <w:bCs/>
                <w:color w:val="0F2745"/>
                <w:sz w:val="24"/>
                <w:szCs w:val="24"/>
                <w:rtl/>
              </w:rPr>
              <w:t xml:space="preserve">الموقف الختامي</w:t>
            </w:r>
          </w:p>
          <w:p>
            <w:pPr>
              <w:bidi/>
              <w:spacing w:line="360"/>
              <w:jc w:val="right"/>
            </w:pPr>
            <w:r>
              <w:rPr>
                <w:rFonts w:ascii="Tajawal" w:cs="Tajawal" w:eastAsia="Tajawal" w:hAnsi="Tajawal"/>
                <w:sz w:val="22"/>
                <w:szCs w:val="22"/>
                <w:rtl/>
              </w:rPr>
              <w:t xml:space="preserve">كل طلب يُرسَل بالعربية إلى نموذج LLM عالمي اليوم يدفع ضريبةً خفيّة. حين يتصاعد البناء الإقليمي إلى 3–6 GW من الحوسبة ويتجاوز اقتصاد الذكاء الاصطناعي الخليجي 50 مليار دولار سنوياً، تتحوّل هذه الضريبة إلى واحدة من أكبر هدر الكفاءة في المنظومة العالمية للذكاء الاصطناعي. LCA هي المعمارية المُصمَّمة لإلغائها.</w:t>
            </w:r>
          </w:p>
        </w:tc>
      </w:tr>
    </w:tbl>
    <w:p>
      <w:pPr>
        <w:pBdr>
          <w:bottom w:val="single" w:color="C49A2B" w:sz="6" w:space="1"/>
        </w:pBdr>
        <w:spacing w:after="200" w:before="200"/>
      </w:pPr>
    </w:p>
    <w:p>
      <w:pPr>
        <w:bidi/>
        <w:spacing w:before="200"/>
        <w:jc w:val="center"/>
      </w:pPr>
      <w:r>
        <w:rPr>
          <w:rFonts w:ascii="Tajawal" w:cs="Tajawal" w:eastAsia="Tajawal" w:hAnsi="Tajawal"/>
          <w:color w:val="8A96A7"/>
          <w:sz w:val="22"/>
          <w:szCs w:val="22"/>
          <w:rtl/>
        </w:rPr>
        <w:t xml:space="preserve">— نهاية الوثيقة —</w:t>
      </w:r>
    </w:p>
    <w:p>
      <w:pPr>
        <w:bidi/>
        <w:spacing w:before="200"/>
        <w:jc w:val="center"/>
      </w:pPr>
      <w:r>
        <w:rPr>
          <w:rFonts w:ascii="Tajawal" w:cs="Tajawal" w:eastAsia="Tajawal" w:hAnsi="Tajawal"/>
          <w:color w:val="8A96A7"/>
          <w:sz w:val="20"/>
          <w:szCs w:val="20"/>
          <w:rtl/>
        </w:rPr>
        <w:t xml:space="preserve">ARKANE AI  ·  سرّي  ·  2026</w:t>
      </w:r>
    </w:p>
    <w:p>
      <w:pPr>
        <w:bidi/>
        <w:spacing w:before="100"/>
        <w:jc w:val="center"/>
      </w:pPr>
      <w:r>
        <w:rPr>
          <w:rFonts w:ascii="Tajawal" w:cs="Tajawal" w:eastAsia="Tajawal" w:hAnsi="Tajawal"/>
          <w:color w:val="8A96A7"/>
          <w:sz w:val="20"/>
          <w:szCs w:val="20"/>
          <w:rtl/>
        </w:rPr>
        <w:t xml:space="preserve">تواصل: 3185 583 56 966+  ·  أبها، المملكة العربية السعودية</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jawal" w:cs="Tajawal" w:eastAsia="Tajawal" w:hAnsi="Tajaw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160" w:before="360"/>
      <w:jc w:val="right"/>
      <w:outlineLvl w:val="0"/>
    </w:pPr>
    <w:rPr>
      <w:rFonts w:ascii="Tajawal" w:cs="Tajawal" w:eastAsia="Tajawal" w:hAnsi="Tajawal"/>
      <w:b/>
      <w:bCs/>
      <w:color w:val="0F2745"/>
      <w:sz w:val="36"/>
      <w:szCs w:val="36"/>
    </w:rPr>
  </w:style>
  <w:style w:type="paragraph" w:styleId="Heading2">
    <w:name w:val="Heading 2"/>
    <w:basedOn w:val="Normal"/>
    <w:next w:val="Normal"/>
    <w:qFormat/>
    <w:pPr>
      <w:bidi/>
      <w:spacing w:after="120" w:before="280"/>
      <w:jc w:val="right"/>
      <w:outlineLvl w:val="1"/>
    </w:pPr>
    <w:rPr>
      <w:rFonts w:ascii="Tajawal" w:cs="Tajawal" w:eastAsia="Tajawal" w:hAnsi="Tajawal"/>
      <w:b/>
      <w:bCs/>
      <w:color w:val="1F8A98"/>
      <w:sz w:val="28"/>
      <w:szCs w:val="28"/>
    </w:rPr>
  </w:style>
  <w:style w:type="paragraph" w:styleId="Heading3">
    <w:name w:val="Heading 3"/>
    <w:basedOn w:val="Normal"/>
    <w:next w:val="Normal"/>
    <w:qFormat/>
    <w:pPr>
      <w:bidi/>
      <w:spacing w:after="100" w:before="220"/>
      <w:jc w:val="right"/>
      <w:outlineLvl w:val="2"/>
    </w:pPr>
    <w:rPr>
      <w:rFonts w:ascii="Tajawal" w:cs="Tajawal" w:eastAsia="Tajawal" w:hAnsi="Tajawal"/>
      <w:b/>
      <w:bCs/>
      <w:color w:val="C49A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LCA Research &amp; Feasibility - Arabic</dc:title>
  <dc:creator>ARKANE AI</dc:creator>
  <cp:lastModifiedBy>Un-named</cp:lastModifiedBy>
  <cp:revision>1</cp:revision>
  <dcterms:created xsi:type="dcterms:W3CDTF">2026-05-13T14:51:41.474Z</dcterms:created>
  <dcterms:modified xsi:type="dcterms:W3CDTF">2026-05-13T14:51:41.488Z</dcterms:modified>
</cp:coreProperties>
</file>

<file path=docProps/custom.xml><?xml version="1.0" encoding="utf-8"?>
<Properties xmlns="http://schemas.openxmlformats.org/officeDocument/2006/custom-properties" xmlns:vt="http://schemas.openxmlformats.org/officeDocument/2006/docPropsVTypes"/>
</file>