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Tajawal" w:cs="Tajawal" w:eastAsia="Tajawal" w:hAnsi="Tajawal"/>
          <w:color w:val="C49A2B"/>
          <w:sz w:val="22"/>
          <w:szCs w:val="22"/>
          <w:rtl/>
        </w:rPr>
        <w:t xml:space="preserve">ARKANE AI · قسم الأبحاث</w:t>
      </w:r>
    </w:p>
    <w:p>
      <w:pPr>
        <w:bidi/>
        <w:spacing w:after="100"/>
        <w:jc w:val="center"/>
      </w:pPr>
      <w:r>
        <w:rPr>
          <w:rFonts w:ascii="Tajawal" w:cs="Tajawal" w:eastAsia="Tajawal" w:hAnsi="Tajawal"/>
          <w:b/>
          <w:bCs/>
          <w:color w:val="0F2745"/>
          <w:sz w:val="56"/>
          <w:szCs w:val="56"/>
          <w:rtl/>
        </w:rPr>
        <w:t xml:space="preserve">LCA · النموذج الأوّلي القابل للتطبيق</w:t>
      </w:r>
    </w:p>
    <w:p>
      <w:pPr>
        <w:bidi/>
        <w:spacing w:after="200"/>
        <w:jc w:val="center"/>
      </w:pPr>
      <w:r>
        <w:rPr>
          <w:rFonts w:ascii="Calibri" w:cs="Calibri" w:eastAsia="Calibri" w:hAnsi="Calibri"/>
          <w:b/>
          <w:bCs/>
          <w:color w:val="C49A2B"/>
          <w:sz w:val="28"/>
          <w:szCs w:val="28"/>
        </w:rPr>
        <w:t xml:space="preserve">LCA · MVP</w:t>
      </w:r>
    </w:p>
    <w:p>
      <w:pPr>
        <w:bidi/>
        <w:spacing w:after="600"/>
        <w:jc w:val="center"/>
      </w:pPr>
      <w:r>
        <w:rPr>
          <w:rFonts w:ascii="Tajawal" w:cs="Tajawal" w:eastAsia="Tajawal" w:hAnsi="Tajawal"/>
          <w:color w:val="1F8A98"/>
          <w:sz w:val="28"/>
          <w:szCs w:val="28"/>
          <w:rtl/>
        </w:rPr>
        <w:t xml:space="preserve">المواصفات التقنية وخطة التنفيذ</w:t>
      </w:r>
    </w:p>
    <w:p>
      <w:pPr>
        <w:bidi/>
        <w:spacing w:after="200"/>
        <w:jc w:val="center"/>
      </w:pPr>
      <w:r>
        <w:rPr>
          <w:rFonts w:ascii="Tajawal" w:cs="Tajawal" w:eastAsia="Tajawal" w:hAnsi="Tajawal"/>
          <w:sz w:val="22"/>
          <w:szCs w:val="22"/>
          <w:rtl/>
        </w:rPr>
        <w:t xml:space="preserve">بنية السياق السائل — إصدار عربي أصلي</w:t>
      </w:r>
    </w:p>
    <w:p>
      <w:pPr>
        <w:bidi/>
        <w:spacing w:after="400"/>
        <w:jc w:val="center"/>
      </w:pPr>
      <w:r>
        <w:rPr>
          <w:rFonts w:ascii="Tajawal" w:cs="Tajawal" w:eastAsia="Tajawal" w:hAnsi="Tajawal"/>
          <w:sz w:val="22"/>
          <w:szCs w:val="22"/>
          <w:rtl/>
        </w:rPr>
        <w:t xml:space="preserve">خطة تنفيذ مرجعية على مقياس 350M ← 7B باراميتر</w:t>
      </w:r>
    </w:p>
    <w:p>
      <w:pPr>
        <w:bidi/>
        <w:spacing w:after="80" w:before="800"/>
        <w:jc w:val="center"/>
      </w:pPr>
      <w:r>
        <w:rPr>
          <w:rFonts w:ascii="Tajawal" w:cs="Tajawal" w:eastAsia="Tajawal" w:hAnsi="Tajawal"/>
          <w:b/>
          <w:bCs/>
          <w:sz w:val="24"/>
          <w:szCs w:val="24"/>
          <w:rtl/>
        </w:rPr>
        <w:t xml:space="preserve">قسم أبحاث ARKANE AI</w:t>
      </w:r>
    </w:p>
    <w:p>
      <w:pPr>
        <w:bidi/>
        <w:spacing w:after="80"/>
        <w:jc w:val="center"/>
      </w:pPr>
      <w:r>
        <w:rPr>
          <w:rFonts w:ascii="Tajawal" w:cs="Tajawal" w:eastAsia="Tajawal" w:hAnsi="Tajawal"/>
          <w:sz w:val="22"/>
          <w:szCs w:val="22"/>
          <w:rtl/>
        </w:rPr>
        <w:t xml:space="preserve">قسم الأبحاث في ARKANE AI  ·  2026</w:t>
      </w:r>
    </w:p>
    <w:p>
      <w:pPr>
        <w:pageBreakBefore/>
      </w:pPr>
    </w:p>
    <w:p>
      <w:pPr>
        <w:pStyle w:val="Heading1"/>
        <w:bidi/>
        <w:spacing w:after="160" w:before="360"/>
        <w:jc w:val="right"/>
      </w:pPr>
      <w:r>
        <w:rPr>
          <w:rFonts w:ascii="Tajawal" w:cs="Tajawal" w:eastAsia="Tajawal" w:hAnsi="Tajawal"/>
          <w:b/>
          <w:bCs/>
          <w:color w:val="0F2745"/>
          <w:sz w:val="36"/>
          <w:szCs w:val="36"/>
          <w:rtl/>
        </w:rPr>
        <w:t xml:space="preserve">1. نطاق النموذج الأوّلي ومعايير النجاح</w:t>
      </w:r>
    </w:p>
    <w:p>
      <w:pPr>
        <w:pStyle w:val="Heading2"/>
        <w:bidi/>
        <w:spacing w:after="120" w:before="280"/>
        <w:jc w:val="right"/>
      </w:pPr>
      <w:r>
        <w:rPr>
          <w:rFonts w:ascii="Tajawal" w:cs="Tajawal" w:eastAsia="Tajawal" w:hAnsi="Tajawal"/>
          <w:b/>
          <w:bCs/>
          <w:color w:val="1F8A98"/>
          <w:sz w:val="28"/>
          <w:szCs w:val="28"/>
          <w:rtl/>
        </w:rPr>
        <w:t xml:space="preserve">1.1  ما هو هذا النموذج الأوّلي</w:t>
      </w:r>
    </w:p>
    <w:p>
      <w:pPr>
        <w:bidi/>
        <w:spacing w:after="80" w:before="80" w:line="360"/>
        <w:jc w:val="right"/>
      </w:pPr>
      <w:r>
        <w:rPr>
          <w:rFonts w:ascii="Tajawal" w:cs="Tajawal" w:eastAsia="Tajawal" w:hAnsi="Tajawal"/>
          <w:sz w:val="22"/>
          <w:szCs w:val="22"/>
          <w:rtl/>
        </w:rPr>
        <w:t xml:space="preserve">نموذج LCA الأوّلي هو تنفيذ مرجعي يعمل لبنية السياق السائل على مقياس 350M باراميتر، يكفي لـ (أ) إظهار الابتكارات المعمارية الجوهرية من البداية للنهاية، (ب) إنتاج نتائج تجريبية بدرجة منشورة، (ج) دعم فحص الفحص النافي للجهالة التقني من مختبرات ذكاء اصطناعي متطوّرة، (د) تثبيت أول وثائق إفصاح البراءة.</w:t>
      </w:r>
    </w:p>
    <w:p>
      <w:pPr>
        <w:bidi/>
        <w:spacing w:after="80" w:before="80" w:line="360"/>
        <w:jc w:val="right"/>
      </w:pPr>
      <w:r>
        <w:rPr>
          <w:rFonts w:ascii="Tajawal" w:cs="Tajawal" w:eastAsia="Tajawal" w:hAnsi="Tajawal"/>
          <w:sz w:val="22"/>
          <w:szCs w:val="22"/>
          <w:rtl/>
        </w:rPr>
        <w:t xml:space="preserve">هو ليس عمداً نظاماً إنتاجياً. البنية التحتية للنشر بدرجة الإنتاج مخرج للمرحلة 2 مشروط بتجارب العملاء الأولية.</w:t>
      </w:r>
    </w:p>
    <w:p>
      <w:pPr>
        <w:pStyle w:val="Heading2"/>
        <w:bidi/>
        <w:spacing w:after="120" w:before="280"/>
        <w:jc w:val="right"/>
      </w:pPr>
      <w:r>
        <w:rPr>
          <w:rFonts w:ascii="Tajawal" w:cs="Tajawal" w:eastAsia="Tajawal" w:hAnsi="Tajawal"/>
          <w:b/>
          <w:bCs/>
          <w:color w:val="1F8A98"/>
          <w:sz w:val="28"/>
          <w:szCs w:val="28"/>
          <w:rtl/>
        </w:rPr>
        <w:t xml:space="preserve">1.2  ما ليس هذا النموذج الأوّلي</w:t>
      </w:r>
    </w:p>
    <w:p>
      <w:pPr>
        <w:pStyle w:val="ListParagraph"/>
        <w:numPr>
          <w:ilvl w:val="0"/>
          <w:numId w:val="2"/>
        </w:numPr>
        <w:bidi/>
        <w:spacing w:after="60" w:before="60" w:line="340"/>
        <w:jc w:val="right"/>
      </w:pPr>
      <w:r>
        <w:rPr>
          <w:rFonts w:ascii="Tajawal" w:cs="Tajawal" w:eastAsia="Tajawal" w:hAnsi="Tajawal"/>
          <w:sz w:val="22"/>
          <w:szCs w:val="22"/>
          <w:rtl/>
        </w:rPr>
        <w:t xml:space="preserve">ليس نموذج أساس بحجم رائد. مقياس 350M مُختار للتكرار السريع، لا سقف القدرة.</w:t>
      </w:r>
    </w:p>
    <w:p>
      <w:pPr>
        <w:pStyle w:val="ListParagraph"/>
        <w:numPr>
          <w:ilvl w:val="0"/>
          <w:numId w:val="2"/>
        </w:numPr>
        <w:bidi/>
        <w:spacing w:after="60" w:before="60" w:line="340"/>
        <w:jc w:val="right"/>
      </w:pPr>
      <w:r>
        <w:rPr>
          <w:rFonts w:ascii="Tajawal" w:cs="Tajawal" w:eastAsia="Tajawal" w:hAnsi="Tajawal"/>
          <w:sz w:val="22"/>
          <w:szCs w:val="22"/>
          <w:rtl/>
        </w:rPr>
        <w:t xml:space="preserve">ليس منتجاً مصقولاً. أهداف جودة الهندسة هي قابلية إعادة الإنتاج بدرجة بحثية، لا موثوقية الإنتاج.</w:t>
      </w:r>
    </w:p>
    <w:p>
      <w:pPr>
        <w:pStyle w:val="ListParagraph"/>
        <w:numPr>
          <w:ilvl w:val="0"/>
          <w:numId w:val="2"/>
        </w:numPr>
        <w:bidi/>
        <w:spacing w:after="60" w:before="60" w:line="340"/>
        <w:jc w:val="right"/>
      </w:pPr>
      <w:r>
        <w:rPr>
          <w:rFonts w:ascii="Tajawal" w:cs="Tajawal" w:eastAsia="Tajawal" w:hAnsi="Tajawal"/>
          <w:sz w:val="22"/>
          <w:szCs w:val="22"/>
          <w:rtl/>
        </w:rPr>
        <w:t xml:space="preserve">ليس نموذجاً عربياً شاملاً. النموذج الأوّلي يُركّز على التحقّق المعماري؛ ضبط القدرة الأوسع للمرحلة 2.</w:t>
      </w:r>
    </w:p>
    <w:p>
      <w:pPr>
        <w:pStyle w:val="ListParagraph"/>
        <w:numPr>
          <w:ilvl w:val="0"/>
          <w:numId w:val="2"/>
        </w:numPr>
        <w:bidi/>
        <w:spacing w:after="60" w:before="60" w:line="340"/>
        <w:jc w:val="right"/>
      </w:pPr>
      <w:r>
        <w:rPr>
          <w:rFonts w:ascii="Tajawal" w:cs="Tajawal" w:eastAsia="Tajawal" w:hAnsi="Tajawal"/>
          <w:sz w:val="22"/>
          <w:szCs w:val="22"/>
          <w:rtl/>
        </w:rPr>
        <w:t xml:space="preserve">ليس نظاماً مُغلقاً. النموذج الأوّلي مُصمَّم ليكون شفّافاً تقنياً للفحص الخارجي.</w:t>
      </w:r>
    </w:p>
    <w:p>
      <w:pPr>
        <w:pStyle w:val="Heading2"/>
        <w:bidi/>
        <w:spacing w:after="120" w:before="280"/>
        <w:jc w:val="right"/>
      </w:pPr>
      <w:r>
        <w:rPr>
          <w:rFonts w:ascii="Tajawal" w:cs="Tajawal" w:eastAsia="Tajawal" w:hAnsi="Tajawal"/>
          <w:b/>
          <w:bCs/>
          <w:color w:val="1F8A98"/>
          <w:sz w:val="28"/>
          <w:szCs w:val="28"/>
          <w:rtl/>
        </w:rPr>
        <w:t xml:space="preserve">1.3  معايير النجاح</w:t>
      </w:r>
    </w:p>
    <w:p>
      <w:pPr>
        <w:bidi/>
        <w:spacing w:after="80" w:before="80" w:line="360"/>
        <w:jc w:val="right"/>
      </w:pPr>
      <w:r>
        <w:rPr>
          <w:rFonts w:ascii="Tajawal" w:cs="Tajawal" w:eastAsia="Tajawal" w:hAnsi="Tajawal"/>
          <w:sz w:val="22"/>
          <w:szCs w:val="22"/>
          <w:rtl/>
        </w:rPr>
        <w:t xml:space="preserve">النموذج الأوّلي ناجح إذا وفقط إذا تحقّقت كل المعايير التالية خلال 9 أشهر:</w:t>
      </w:r>
    </w:p>
    <w:p>
      <w:pPr>
        <w:bidi/>
        <w:spacing w:after="80" w:before="80" w:line="360"/>
        <w:jc w:val="right"/>
      </w:pPr>
      <w:r>
        <w:rPr>
          <w:rFonts w:ascii="Tajawal" w:cs="Tajawal" w:eastAsia="Tajawal" w:hAnsi="Tajawal"/>
          <w:sz w:val="22"/>
          <w:szCs w:val="22"/>
          <w:rt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200"/>
        <w:gridCol w:w="600"/>
      </w:tblGrid>
      <w:tr>
        <w:tc>
          <w:tcPr>
            <w:tcW w:type="dxa" w:w="3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العتبة</w:t>
            </w:r>
          </w:p>
        </w:tc>
        <w:tc>
          <w:tcPr>
            <w:tcW w:type="dxa" w:w="3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القياس</w:t>
            </w:r>
          </w:p>
        </w:tc>
        <w:tc>
          <w:tcPr>
            <w:tcW w:type="dxa" w:w="2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المعيار</w:t>
            </w:r>
          </w:p>
        </w:tc>
        <w:tc>
          <w:tcPr>
            <w:tcW w:type="dxa" w:w="6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 0.08 إنتروبيا متبادلة</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خسارة إعادة البناء على التجزئة الذهبية للعربية</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MPE ثلاثي التدفّقات يعمل</w:t>
            </w:r>
          </w:p>
        </w:tc>
        <w:tc>
          <w:tcPr>
            <w:tcW w:type="dxa" w:w="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 12× عند تدهور مقبول</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نسبة الضغط عند &lt; 2٪ فقد جودة لاحقة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ضغط الطبقة 1 يعمل</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 95٪ من F1 الأساس</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F1 الاسترجاع مقابل الانتباه المسطّح على سياق 64K</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الاسترجاع الجيوديزي قابل للقياس</w:t>
            </w:r>
          </w:p>
        </w:tc>
        <w:tc>
          <w:tcPr>
            <w:tcW w:type="dxa" w:w="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+ 4 إلى + 8 نقاط فوق الأساس</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درجة OALL المركّبة مقابل أساس بنفس الباراميتر</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أداء معيار العربية</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4</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خفض 30٪+ مقابل الأساس</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كلفة الخدمة لكل قطعة على مُدخَل عربي عند 64K</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خفض كلفة الاستدلال</w:t>
            </w:r>
          </w:p>
        </w:tc>
        <w:tc>
          <w:tcPr>
            <w:tcW w:type="dxa" w:w="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اجتياز إعادة تشغيل مستقلة</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إعادة إنتاج التدريب من مستودع نظيف</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قابلية إعادة الإنتاج</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6</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موافقة المراجعة الداخلية</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وثيقة معمارية، وصفة تدريب، مجموعة تقييم منشورة</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التوثيق</w:t>
            </w:r>
          </w:p>
        </w:tc>
        <w:tc>
          <w:tcPr>
            <w:tcW w:type="dxa" w:w="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7</w:t>
            </w:r>
          </w:p>
        </w:tc>
      </w:tr>
    </w:tbl>
    <w:p>
      <w:pPr>
        <w:pStyle w:val="Heading1"/>
        <w:bidi/>
        <w:spacing w:after="160" w:before="360"/>
        <w:jc w:val="right"/>
      </w:pPr>
      <w:r>
        <w:rPr>
          <w:rFonts w:ascii="Tajawal" w:cs="Tajawal" w:eastAsia="Tajawal" w:hAnsi="Tajawal"/>
          <w:b/>
          <w:bCs/>
          <w:color w:val="0F2745"/>
          <w:sz w:val="36"/>
          <w:szCs w:val="36"/>
          <w:rtl/>
        </w:rPr>
        <w:t xml:space="preserve">2. بنية التنفيذ</w:t>
      </w:r>
    </w:p>
    <w:p>
      <w:pPr>
        <w:pStyle w:val="Heading2"/>
        <w:bidi/>
        <w:spacing w:after="120" w:before="280"/>
        <w:jc w:val="right"/>
      </w:pPr>
      <w:r>
        <w:rPr>
          <w:rFonts w:ascii="Tajawal" w:cs="Tajawal" w:eastAsia="Tajawal" w:hAnsi="Tajawal"/>
          <w:b/>
          <w:bCs/>
          <w:color w:val="1F8A98"/>
          <w:sz w:val="28"/>
          <w:szCs w:val="28"/>
          <w:rtl/>
        </w:rPr>
        <w:t xml:space="preserve">2.1  مكدّس الطبقات</w:t>
      </w:r>
    </w:p>
    <w:p>
      <w:pPr>
        <w:bidi/>
        <w:spacing w:after="80" w:before="80" w:line="360"/>
        <w:jc w:val="right"/>
      </w:pPr>
      <w:r>
        <w:rPr>
          <w:rFonts w:ascii="Tajawal" w:cs="Tajawal" w:eastAsia="Tajawal" w:hAnsi="Tajawal"/>
          <w:sz w:val="22"/>
          <w:szCs w:val="22"/>
          <w:rtl/>
        </w:rPr>
        <w:t xml:space="preserve">مكدّس LCA الكامل مُهيكَل في ثمانية وحدات. كل واحدة قابلة للاختبار باستقلالية ولها واجهات مُعرَّفة بوضوح.</w:t>
      </w:r>
    </w:p>
    <w:p>
      <w:pPr>
        <w:bidi/>
        <w:spacing w:after="80" w:before="80" w:line="360"/>
        <w:jc w:val="right"/>
      </w:pPr>
      <w:r>
        <w:rPr>
          <w:rFonts w:ascii="Tajawal" w:cs="Tajawal" w:eastAsia="Tajawal" w:hAnsi="Tajawal"/>
          <w:sz w:val="22"/>
          <w:szCs w:val="22"/>
          <w:rtl/>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tblGrid>
      <w:tr>
        <w:tc>
          <w:tcPr>
            <w:tcW w:type="dxa" w:w="2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الحالة عند نهاية النموذج الأوّلي</w:t>
            </w:r>
          </w:p>
        </w:tc>
        <w:tc>
          <w:tcPr>
            <w:tcW w:type="dxa" w:w="20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تبعيات خارجية</w:t>
            </w:r>
          </w:p>
        </w:tc>
        <w:tc>
          <w:tcPr>
            <w:tcW w:type="dxa" w:w="20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الغرض</w:t>
            </w:r>
          </w:p>
        </w:tc>
        <w:tc>
          <w:tcPr>
            <w:tcW w:type="dxa" w:w="18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الوحدة</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تعمل بدقّة 96٪+</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Farasa, CAMeL Tools</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تحليل جذر/وزن</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arabic_morph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مُدرَّبة ومُتحقَّق منها</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PyTorch 2.4+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تضمينات ثلاثية التدفّقات</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mpe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مُعدَّلة بوعي التدفّق</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Flash Attention 3</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كتل انتباه مُعدَّلة</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transformer_core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تعمل على سياق 64K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FAISS, مفهرس مخصّص</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تخزين منحنى ثلاثي الطبقات</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mrcm</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تعمل، توسّع دون خطي</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NetworkX, CUDA مخصّص</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مُشغّل الاسترجاع الجيوديزي</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gro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مُدرَّبة عدائياً</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PyTorch RL utilities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متحكّم ضغط تكيّفي</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acc</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جاهزة للنشر أحادي العقدة</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TRT-LLM, نوى مخصّصة</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وقت تشغيل الاستدلال</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lca_serve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كل المعايير الـ 7 مُقاسة</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LM-Eval-Harness, مخصّص</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حِزَام معايير</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eval</w:t>
            </w:r>
          </w:p>
        </w:tc>
      </w:tr>
    </w:tbl>
    <w:p>
      <w:pPr>
        <w:pStyle w:val="Heading1"/>
        <w:bidi/>
        <w:spacing w:after="160" w:before="360"/>
        <w:jc w:val="right"/>
      </w:pPr>
      <w:r>
        <w:rPr>
          <w:rFonts w:ascii="Tajawal" w:cs="Tajawal" w:eastAsia="Tajawal" w:hAnsi="Tajawal"/>
          <w:b/>
          <w:bCs/>
          <w:color w:val="0F2745"/>
          <w:sz w:val="36"/>
          <w:szCs w:val="36"/>
          <w:rtl/>
        </w:rPr>
        <w:t xml:space="preserve">3. مواصفات الخوارزميات الجوهرية</w:t>
      </w:r>
    </w:p>
    <w:p>
      <w:pPr>
        <w:bidi/>
        <w:spacing w:after="80" w:before="80" w:line="360"/>
        <w:jc w:val="right"/>
      </w:pPr>
      <w:r>
        <w:rPr>
          <w:rFonts w:ascii="Tajawal" w:cs="Tajawal" w:eastAsia="Tajawal" w:hAnsi="Tajawal"/>
          <w:sz w:val="22"/>
          <w:szCs w:val="22"/>
          <w:rtl/>
        </w:rPr>
        <w:t xml:space="preserve">يُقدّم هذا القسم مواصفات خوارزمية ملموسة للمكوّنات المبتكرة الأربعة. هذه المواصفات كافية لفريق هندسة مستقل لتنفيذها؛ هي أيضاً كافية للفحص النافي للجهالة التقني للتحقّق من المطالبات المعمارية.</w:t>
      </w:r>
    </w:p>
    <w:p>
      <w:pPr>
        <w:pStyle w:val="Heading2"/>
        <w:bidi/>
        <w:spacing w:after="120" w:before="280"/>
        <w:jc w:val="right"/>
      </w:pPr>
      <w:r>
        <w:rPr>
          <w:rFonts w:ascii="Tajawal" w:cs="Tajawal" w:eastAsia="Tajawal" w:hAnsi="Tajawal"/>
          <w:b/>
          <w:bCs/>
          <w:color w:val="1F8A98"/>
          <w:sz w:val="28"/>
          <w:szCs w:val="28"/>
          <w:rtl/>
        </w:rPr>
        <w:t xml:space="preserve">3.1  المُرمِّز الصرفي القبلي</w:t>
      </w:r>
    </w:p>
    <w:p>
      <w:pPr>
        <w:bidi/>
        <w:spacing w:after="80" w:before="80" w:line="360"/>
        <w:jc w:val="right"/>
      </w:pPr>
      <w:r>
        <w:rPr>
          <w:rFonts w:ascii="Tajawal" w:cs="Tajawal" w:eastAsia="Tajawal" w:hAnsi="Tajawal"/>
          <w:sz w:val="22"/>
          <w:szCs w:val="22"/>
          <w:rtl/>
        </w:rPr>
        <w:t xml:space="preserve">MPE يُنتج ثلاثة تدفّقات تضمين متوازية. كل قطعة مُدخَلة تُجزَّأ أولاً إلى جذرها ووزنها وشكلها السطحي. المكوّنات الثلاثة تُضمَّن في متّجهات كثيفة منفصلة، تُحافَظ عليها عبر النموذج بدلاً من دمجها عند المُدخَل.</w:t>
      </w:r>
    </w:p>
    <w:p>
      <w:pPr>
        <w:pStyle w:val="Heading3"/>
        <w:bidi/>
        <w:spacing w:after="80" w:before="200"/>
        <w:jc w:val="right"/>
      </w:pPr>
      <w:r>
        <w:rPr>
          <w:rFonts w:ascii="Tajawal" w:cs="Tajawal" w:eastAsia="Tajawal" w:hAnsi="Tajawal"/>
          <w:b/>
          <w:bCs/>
          <w:color w:val="C49A2B"/>
          <w:sz w:val="24"/>
          <w:szCs w:val="24"/>
          <w:rtl/>
        </w:rPr>
        <w:t xml:space="preserve">خوارزمية التجزئة</w:t>
      </w:r>
    </w:p>
    <w:p>
      <w:pPr>
        <w:pBdr>
          <w:left w:val="single" w:color="C49A2B" w:sz="8" w:space="8"/>
        </w:pBdr>
        <w:shd w:fill="F4F6F8" w:val="clear"/>
        <w:spacing w:after="80" w:before="80" w:line="280"/>
      </w:pPr>
      <w:r>
        <w:rPr>
          <w:rFonts w:ascii="Consolas" w:cs="Consolas" w:eastAsia="Consolas" w:hAnsi="Consolas"/>
          <w:sz w:val="18"/>
          <w:szCs w:val="18"/>
        </w:rPr>
        <w:t xml:space="preserve">INPUT: token sequence T
OUTPUT: streams (R, W, S) of equal length
FOR each token t in T:
    IF is_arabic(t):
        (root, pattern, surface) = morph_analyze(t)
    ELSE:
        root = lemma(t)
        pattern = affix_signature(t)
        surface = t
    R.append(embed_root(root))
    W.append(embed_pattern(pattern))
    S.append(embed_surface(surface))</w:t>
      </w:r>
    </w:p>
    <w:p>
      <w:pPr>
        <w:pStyle w:val="Heading3"/>
        <w:bidi/>
        <w:spacing w:after="80" w:before="200"/>
        <w:jc w:val="right"/>
      </w:pPr>
      <w:r>
        <w:rPr>
          <w:rFonts w:ascii="Tajawal" w:cs="Tajawal" w:eastAsia="Tajawal" w:hAnsi="Tajawal"/>
          <w:b/>
          <w:bCs/>
          <w:color w:val="C49A2B"/>
          <w:sz w:val="24"/>
          <w:szCs w:val="24"/>
          <w:rtl/>
        </w:rPr>
        <w:t xml:space="preserve">خسارة التدريب</w:t>
      </w:r>
    </w:p>
    <w:p>
      <w:pPr>
        <w:bidi/>
        <w:spacing w:after="80" w:before="80" w:line="360"/>
        <w:jc w:val="right"/>
      </w:pPr>
      <w:r>
        <w:rPr>
          <w:rFonts w:ascii="Tajawal" w:cs="Tajawal" w:eastAsia="Tajawal" w:hAnsi="Tajawal"/>
          <w:sz w:val="22"/>
          <w:szCs w:val="22"/>
          <w:rtl/>
        </w:rPr>
        <w:t xml:space="preserve">MPE مُدرَّب بشكل مشترك مع بقية النموذج لكنه مُهيَّأ من محلّل صرفي عربي مُدرَّب مسبقاً (Farasa أو CAMeL Tools) لتقديم انحياز استقرائي قوي. خسارة إعادة البناء على المعيار الذهبي توفّر إشارة إشراف مساعدة:</w:t>
      </w:r>
    </w:p>
    <w:p>
      <w:pPr>
        <w:pBdr>
          <w:left w:val="single" w:color="C49A2B" w:sz="8" w:space="8"/>
        </w:pBdr>
        <w:shd w:fill="F4F6F8" w:val="clear"/>
        <w:spacing w:after="80" w:before="80" w:line="280"/>
      </w:pPr>
      <w:r>
        <w:rPr>
          <w:rFonts w:ascii="Consolas" w:cs="Consolas" w:eastAsia="Consolas" w:hAnsi="Consolas"/>
          <w:sz w:val="18"/>
          <w:szCs w:val="18"/>
        </w:rPr>
        <w:t xml:space="preserve">L_mpe = α · L_lm + β · L_reconstruct + γ · L_segment</w:t>
      </w:r>
    </w:p>
    <w:p>
      <w:pPr>
        <w:pStyle w:val="Heading2"/>
        <w:bidi/>
        <w:spacing w:after="120" w:before="280"/>
        <w:jc w:val="right"/>
      </w:pPr>
      <w:r>
        <w:rPr>
          <w:rFonts w:ascii="Tajawal" w:cs="Tajawal" w:eastAsia="Tajawal" w:hAnsi="Tajawal"/>
          <w:b/>
          <w:bCs/>
          <w:color w:val="1F8A98"/>
          <w:sz w:val="28"/>
          <w:szCs w:val="28"/>
          <w:rtl/>
        </w:rPr>
        <w:t xml:space="preserve">3.2  منحنى السياق متعدّد الدقّات</w:t>
      </w:r>
    </w:p>
    <w:p>
      <w:pPr>
        <w:bidi/>
        <w:spacing w:after="80" w:before="80" w:line="360"/>
        <w:jc w:val="right"/>
      </w:pPr>
      <w:r>
        <w:rPr>
          <w:rFonts w:ascii="Tajawal" w:cs="Tajawal" w:eastAsia="Tajawal" w:hAnsi="Tajawal"/>
          <w:sz w:val="22"/>
          <w:szCs w:val="22"/>
          <w:rtl/>
        </w:rPr>
        <w:t xml:space="preserve">MRCM يحافظ على ثلاث طبقات من تمثيلات السياق المتطوّرة بشكل ديناميكي مع تدفّق القطع.</w:t>
      </w:r>
    </w:p>
    <w:p>
      <w:pPr>
        <w:bidi/>
        <w:spacing w:after="80" w:before="80" w:line="360"/>
        <w:jc w:val="right"/>
      </w:pPr>
      <w:r>
        <w:rPr>
          <w:rFonts w:ascii="Tajawal" w:cs="Tajawal" w:eastAsia="Tajawal" w:hAnsi="Tajawal"/>
          <w:sz w:val="22"/>
          <w:szCs w:val="22"/>
          <w:rtl/>
        </w:rPr>
        <w:t xml:space="preserve">الطبقة 0 (السطح) هي ذاكرة تخزين مؤقّت KV قياسية لآخر N قطعة. تُكتَب وتُقرَأ بدقّة كاملة. عندما تتجاوز هذه الذاكرة طاقتها، تُرحَّل أقدم القطع إلى الطبقة 1 وفق سياسة الترحيل المُتعلَّمة.</w:t>
      </w:r>
    </w:p>
    <w:p>
      <w:pPr>
        <w:pStyle w:val="Heading3"/>
        <w:bidi/>
        <w:spacing w:after="80" w:before="200"/>
        <w:jc w:val="right"/>
      </w:pPr>
      <w:r>
        <w:rPr>
          <w:rFonts w:ascii="Tajawal" w:cs="Tajawal" w:eastAsia="Tajawal" w:hAnsi="Tajawal"/>
          <w:b/>
          <w:bCs/>
          <w:color w:val="C49A2B"/>
          <w:sz w:val="24"/>
          <w:szCs w:val="24"/>
          <w:rtl/>
        </w:rPr>
        <w:t xml:space="preserve">خوارزمية الترحيل</w:t>
      </w:r>
    </w:p>
    <w:p>
      <w:pPr>
        <w:pBdr>
          <w:left w:val="single" w:color="C49A2B" w:sz="8" w:space="8"/>
        </w:pBdr>
        <w:shd w:fill="F4F6F8" w:val="clear"/>
        <w:spacing w:after="80" w:before="80" w:line="280"/>
      </w:pPr>
      <w:r>
        <w:rPr>
          <w:rFonts w:ascii="Consolas" w:cs="Consolas" w:eastAsia="Consolas" w:hAnsi="Consolas"/>
          <w:sz w:val="18"/>
          <w:szCs w:val="18"/>
        </w:rPr>
        <w:t xml:space="preserve">INPUT: tier-0 buffer at capacity
OUTPUT: demoted clusters in tier-1
WHILE tier-0 over capacity:
    candidates = oldest_K_tokens(tier-0)
    scores = demote_policy(candidates, current_query)
    selected = top_k_by_score(scores)
    cluster = compress(selected)
    tier-1.insert(cluster)
    tier-2.update_graph(cluster)
    tier-0.remove(selected)</w:t>
      </w:r>
    </w:p>
    <w:p>
      <w:pPr>
        <w:pStyle w:val="Heading2"/>
        <w:bidi/>
        <w:spacing w:after="120" w:before="280"/>
        <w:jc w:val="right"/>
      </w:pPr>
      <w:r>
        <w:rPr>
          <w:rFonts w:ascii="Tajawal" w:cs="Tajawal" w:eastAsia="Tajawal" w:hAnsi="Tajawal"/>
          <w:b/>
          <w:bCs/>
          <w:color w:val="1F8A98"/>
          <w:sz w:val="28"/>
          <w:szCs w:val="28"/>
          <w:rtl/>
        </w:rPr>
        <w:t xml:space="preserve">3.3  مُشغِّل الاسترجاع الجيوديزي</w:t>
      </w:r>
    </w:p>
    <w:p>
      <w:pPr>
        <w:bidi/>
        <w:spacing w:after="80" w:before="80" w:line="360"/>
        <w:jc w:val="right"/>
      </w:pPr>
      <w:r>
        <w:rPr>
          <w:rFonts w:ascii="Tajawal" w:cs="Tajawal" w:eastAsia="Tajawal" w:hAnsi="Tajawal"/>
          <w:sz w:val="22"/>
          <w:szCs w:val="22"/>
          <w:rtl/>
        </w:rPr>
        <w:t xml:space="preserve">GRO يحلّ مشكلة أقصر مسار مقيّدة على الرسم البياني الطوبولوجي G = (V, E)، حيث V مجموعة عناقيد الطبقة 1 وأوزان الحواف تُرمّز عكس التشابه الدلالي. القيد هو ميزانية فك ضغط إجمالية B (بـ FLOPs) تحدّ من حوسبة كل استعلام.</w:t>
      </w:r>
    </w:p>
    <w:p>
      <w:pPr>
        <w:pStyle w:val="Heading3"/>
        <w:bidi/>
        <w:spacing w:after="80" w:before="200"/>
        <w:jc w:val="right"/>
      </w:pPr>
      <w:r>
        <w:rPr>
          <w:rFonts w:ascii="Tajawal" w:cs="Tajawal" w:eastAsia="Tajawal" w:hAnsi="Tajawal"/>
          <w:b/>
          <w:bCs/>
          <w:color w:val="C49A2B"/>
          <w:sz w:val="24"/>
          <w:szCs w:val="24"/>
          <w:rtl/>
        </w:rPr>
        <w:t xml:space="preserve">خوارزمية المسار</w:t>
      </w:r>
    </w:p>
    <w:p>
      <w:pPr>
        <w:pBdr>
          <w:left w:val="single" w:color="C49A2B" w:sz="8" w:space="8"/>
        </w:pBdr>
        <w:shd w:fill="F4F6F8" w:val="clear"/>
        <w:spacing w:after="80" w:before="80" w:line="280"/>
      </w:pPr>
      <w:r>
        <w:rPr>
          <w:rFonts w:ascii="Consolas" w:cs="Consolas" w:eastAsia="Consolas" w:hAnsi="Consolas"/>
          <w:sz w:val="18"/>
          <w:szCs w:val="18"/>
        </w:rPr>
        <w:t xml:space="preserve">INPUT: query q, graph G, budget B
OUTPUT: expanded clusters E
anchor = project_to_manifold(q)
path = []
spent = 0
frontier = [anchor]
WHILE spent &lt; B AND frontier not empty:
    next = argmin_cost(frontier, q)
    IF cost(next) + spent &lt;= B:
        cluster = decompress(next)
        path.append(cluster)
        spent += cost(next)
        frontier.expand(neighbors(next))
RETURN path</w:t>
      </w:r>
    </w:p>
    <w:p>
      <w:pPr>
        <w:pStyle w:val="Heading2"/>
        <w:bidi/>
        <w:spacing w:after="120" w:before="280"/>
        <w:jc w:val="right"/>
      </w:pPr>
      <w:r>
        <w:rPr>
          <w:rFonts w:ascii="Tajawal" w:cs="Tajawal" w:eastAsia="Tajawal" w:hAnsi="Tajawal"/>
          <w:b/>
          <w:bCs/>
          <w:color w:val="1F8A98"/>
          <w:sz w:val="28"/>
          <w:szCs w:val="28"/>
          <w:rtl/>
        </w:rPr>
        <w:t xml:space="preserve">3.4  متحكّم الضغط التكيّفي</w:t>
      </w:r>
    </w:p>
    <w:p>
      <w:pPr>
        <w:bidi/>
        <w:spacing w:after="80" w:before="80" w:line="360"/>
        <w:jc w:val="right"/>
      </w:pPr>
      <w:r>
        <w:rPr>
          <w:rFonts w:ascii="Tajawal" w:cs="Tajawal" w:eastAsia="Tajawal" w:hAnsi="Tajawal"/>
          <w:sz w:val="22"/>
          <w:szCs w:val="22"/>
          <w:rtl/>
        </w:rPr>
        <w:t xml:space="preserve">ACC شبكة سياسة صغيرة (50M باراميتر تقريباً) تُنتج معامل ضغط لكل قطعة. مُدرَّبة عدائياً ضد خسارة إعادة بناء: القطع التي لا يمكن للنموذج إعادة بنائها من شكلها المضغوط تتلقى إشارة عقوبة تزيد ميزانية ضغطها المخصّصة على خطوات التدريب اللاحقة.</w:t>
      </w:r>
    </w:p>
    <w:p>
      <w:pPr>
        <w:pStyle w:val="Heading3"/>
        <w:bidi/>
        <w:spacing w:after="80" w:before="200"/>
        <w:jc w:val="right"/>
      </w:pPr>
      <w:r>
        <w:rPr>
          <w:rFonts w:ascii="Tajawal" w:cs="Tajawal" w:eastAsia="Tajawal" w:hAnsi="Tajawal"/>
          <w:b/>
          <w:bCs/>
          <w:color w:val="C49A2B"/>
          <w:sz w:val="24"/>
          <w:szCs w:val="24"/>
          <w:rtl/>
        </w:rPr>
        <w:t xml:space="preserve">هدف التدريب</w:t>
      </w:r>
    </w:p>
    <w:p>
      <w:pPr>
        <w:pBdr>
          <w:left w:val="single" w:color="C49A2B" w:sz="8" w:space="8"/>
        </w:pBdr>
        <w:shd w:fill="F4F6F8" w:val="clear"/>
        <w:spacing w:after="80" w:before="80" w:line="280"/>
      </w:pPr>
      <w:r>
        <w:rPr>
          <w:rFonts w:ascii="Consolas" w:cs="Consolas" w:eastAsia="Consolas" w:hAnsi="Consolas"/>
          <w:sz w:val="18"/>
          <w:szCs w:val="18"/>
        </w:rPr>
        <w:t xml:space="preserve">L_acc = E[|reconstruct(compress(x, π(x))) - x|²]
         - λ · H(π)
         + μ · max(0, mean(π) - budget)</w:t>
      </w:r>
    </w:p>
    <w:p>
      <w:pPr>
        <w:bidi/>
        <w:spacing w:after="80" w:before="80" w:line="360"/>
        <w:jc w:val="right"/>
      </w:pPr>
      <w:r>
        <w:rPr>
          <w:rFonts w:ascii="Tajawal" w:cs="Tajawal" w:eastAsia="Tajawal" w:hAnsi="Tajawal"/>
          <w:sz w:val="22"/>
          <w:szCs w:val="22"/>
          <w:rtl/>
        </w:rPr>
        <w:t xml:space="preserve">حيث π هي سياسة الضغط، H هي الإنتروبيا (للاستكشاف)، و budget هي ميزانية الضغط العالمية.</w:t>
      </w:r>
    </w:p>
    <w:p>
      <w:pPr>
        <w:pStyle w:val="Heading1"/>
        <w:bidi/>
        <w:spacing w:after="160" w:before="360"/>
        <w:jc w:val="right"/>
      </w:pPr>
      <w:r>
        <w:rPr>
          <w:rFonts w:ascii="Tajawal" w:cs="Tajawal" w:eastAsia="Tajawal" w:hAnsi="Tajawal"/>
          <w:b/>
          <w:bCs/>
          <w:color w:val="0F2745"/>
          <w:sz w:val="36"/>
          <w:szCs w:val="36"/>
          <w:rtl/>
        </w:rPr>
        <w:t xml:space="preserve">4. وصفة التدريب</w:t>
      </w:r>
    </w:p>
    <w:p>
      <w:pPr>
        <w:pStyle w:val="Heading2"/>
        <w:bidi/>
        <w:spacing w:after="120" w:before="280"/>
        <w:jc w:val="right"/>
      </w:pPr>
      <w:r>
        <w:rPr>
          <w:rFonts w:ascii="Tajawal" w:cs="Tajawal" w:eastAsia="Tajawal" w:hAnsi="Tajawal"/>
          <w:b/>
          <w:bCs/>
          <w:color w:val="1F8A98"/>
          <w:sz w:val="28"/>
          <w:szCs w:val="28"/>
          <w:rtl/>
        </w:rPr>
        <w:t xml:space="preserve">4.1  ركيزة البيانات</w:t>
      </w:r>
    </w:p>
    <w:p>
      <w:pPr>
        <w:bidi/>
        <w:spacing w:after="80" w:before="80" w:line="360"/>
        <w:jc w:val="right"/>
      </w:pPr>
      <w:r>
        <w:rPr>
          <w:rFonts w:ascii="Tajawal" w:cs="Tajawal" w:eastAsia="Tajawal" w:hAnsi="Tajawal"/>
          <w:sz w:val="22"/>
          <w:szCs w:val="22"/>
          <w:rtl/>
        </w:rPr>
        <w:t xml:space="preserve">بيانات تدريب نموذج LCA الأوّلي مُهيكَلة في ثلاث ركائز:</w:t>
      </w:r>
    </w:p>
    <w:p>
      <w:pPr>
        <w:pStyle w:val="ListParagraph"/>
        <w:numPr>
          <w:ilvl w:val="0"/>
          <w:numId w:val="2"/>
        </w:numPr>
        <w:bidi/>
        <w:spacing w:after="60" w:before="60" w:line="340"/>
        <w:jc w:val="right"/>
      </w:pPr>
      <w:r>
        <w:rPr>
          <w:rFonts w:ascii="Tajawal" w:cs="Tajawal" w:eastAsia="Tajawal" w:hAnsi="Tajawal"/>
          <w:sz w:val="22"/>
          <w:szCs w:val="22"/>
          <w:rtl/>
        </w:rPr>
        <w:t xml:space="preserve">بيانات عربية عامة. Common Crawl العربي بعد التنظيف، ويكيبيديا العربية الكاملة، الكتب العربية المنشورة بترخيص، مقالات الأخبار العربية بترخيص. إجمالي 180–220 مليار قطعة.</w:t>
      </w:r>
    </w:p>
    <w:p>
      <w:pPr>
        <w:pStyle w:val="ListParagraph"/>
        <w:numPr>
          <w:ilvl w:val="0"/>
          <w:numId w:val="2"/>
        </w:numPr>
        <w:bidi/>
        <w:spacing w:after="60" w:before="60" w:line="340"/>
        <w:jc w:val="right"/>
      </w:pPr>
      <w:r>
        <w:rPr>
          <w:rFonts w:ascii="Tajawal" w:cs="Tajawal" w:eastAsia="Tajawal" w:hAnsi="Tajawal"/>
          <w:sz w:val="22"/>
          <w:szCs w:val="22"/>
          <w:rtl/>
        </w:rPr>
        <w:t xml:space="preserve">الذهب الصرفي. تجزئات Farasa + CAMeL Tools + التعليقات القرآنية + شجرة جامعة بنسلفانيا العربية. للإشراف على MPE.</w:t>
      </w:r>
    </w:p>
    <w:p>
      <w:pPr>
        <w:pStyle w:val="ListParagraph"/>
        <w:numPr>
          <w:ilvl w:val="0"/>
          <w:numId w:val="2"/>
        </w:numPr>
        <w:bidi/>
        <w:spacing w:after="60" w:before="60" w:line="340"/>
        <w:jc w:val="right"/>
      </w:pPr>
      <w:r>
        <w:rPr>
          <w:rFonts w:ascii="Tajawal" w:cs="Tajawal" w:eastAsia="Tajawal" w:hAnsi="Tajawal"/>
          <w:sz w:val="22"/>
          <w:szCs w:val="22"/>
          <w:rtl/>
        </w:rPr>
        <w:t xml:space="preserve">بيانات معايرة. AraBench، Arabic-MMLU، OALL، مجموعات السياق الطويل المخصّصة (RULER العربي، Needle-in-Haystack).</w:t>
      </w:r>
    </w:p>
    <w:p>
      <w:pPr>
        <w:pStyle w:val="Heading2"/>
        <w:bidi/>
        <w:spacing w:after="120" w:before="280"/>
        <w:jc w:val="right"/>
      </w:pPr>
      <w:r>
        <w:rPr>
          <w:rFonts w:ascii="Tajawal" w:cs="Tajawal" w:eastAsia="Tajawal" w:hAnsi="Tajawal"/>
          <w:b/>
          <w:bCs/>
          <w:color w:val="1F8A98"/>
          <w:sz w:val="28"/>
          <w:szCs w:val="28"/>
          <w:rtl/>
        </w:rPr>
        <w:t xml:space="preserve">4.2  جدول التدريب</w:t>
      </w:r>
    </w:p>
    <w:p>
      <w:pPr>
        <w:bidi/>
        <w:spacing w:after="80" w:before="80" w:line="360"/>
        <w:jc w:val="right"/>
      </w:pPr>
      <w:r>
        <w:rPr>
          <w:rFonts w:ascii="Tajawal" w:cs="Tajawal" w:eastAsia="Tajawal" w:hAnsi="Tajawal"/>
          <w:sz w:val="22"/>
          <w:szCs w:val="22"/>
          <w:rt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2800"/>
      </w:tblGrid>
      <w:tr>
        <w:tc>
          <w:tcPr>
            <w:tcW w:type="dxa" w:w="24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الهدف</w:t>
            </w:r>
          </w:p>
        </w:tc>
        <w:tc>
          <w:tcPr>
            <w:tcW w:type="dxa" w:w="2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حوسبة (H100 ساعة)</w:t>
            </w:r>
          </w:p>
        </w:tc>
        <w:tc>
          <w:tcPr>
            <w:tcW w:type="dxa" w:w="16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قطع</w:t>
            </w:r>
          </w:p>
        </w:tc>
        <w:tc>
          <w:tcPr>
            <w:tcW w:type="dxa" w:w="28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مرحلة</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تعلّم MPE المُعزَل</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8K</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10B</w:t>
            </w:r>
          </w:p>
        </w:tc>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 تهيئة MPE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تعلّم اللغة العامة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80K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120B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2. تدريب مسبق للنواة</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دمج الذاكرة + GRO</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40K</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60B</w:t>
            </w:r>
          </w:p>
        </w:tc>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3. ضبط دقيق على المنحنى</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تعلّم سياسة الضغط</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16K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4. تدريب ACC العدائي</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محاذاة المهام النهائية</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12K</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20B</w:t>
            </w:r>
          </w:p>
        </w:tc>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5. ضبط معيار</w:t>
            </w:r>
          </w:p>
        </w:tc>
      </w:tr>
    </w:tbl>
    <w:p>
      <w:pPr>
        <w:pStyle w:val="Heading2"/>
        <w:bidi/>
        <w:spacing w:after="120" w:before="280"/>
        <w:jc w:val="right"/>
      </w:pPr>
      <w:r>
        <w:rPr>
          <w:rFonts w:ascii="Tajawal" w:cs="Tajawal" w:eastAsia="Tajawal" w:hAnsi="Tajawal"/>
          <w:b/>
          <w:bCs/>
          <w:color w:val="1F8A98"/>
          <w:sz w:val="28"/>
          <w:szCs w:val="28"/>
          <w:rtl/>
        </w:rPr>
        <w:t xml:space="preserve">4.3  ميزانية الحوسبة</w:t>
      </w:r>
    </w:p>
    <w:p>
      <w:pPr>
        <w:bidi/>
        <w:spacing w:after="80" w:before="80" w:line="360"/>
        <w:jc w:val="right"/>
      </w:pPr>
      <w:r>
        <w:rPr>
          <w:rFonts w:ascii="Tajawal" w:cs="Tajawal" w:eastAsia="Tajawal" w:hAnsi="Tajawal"/>
          <w:sz w:val="22"/>
          <w:szCs w:val="22"/>
          <w:rtl/>
        </w:rPr>
        <w:t xml:space="preserve">الإجمالي: ≈ 156 ألف ساعة H100 مكافئ، أو حوالي 8.5 GPU-سنة على عقدة 64 GPU. عند 4 $/ساعة (الأسعار المرجعية لمزوّدي السحابة)، إجمالي تكلفة الحوسبة 624 ألف دولار. مع تخصيص 30٪ للتجارب والإجهاضات، إجمالي ميزانية الحوسبة للمرحلة 1: 810 ألف دولار.</w:t>
      </w:r>
    </w:p>
    <w:p>
      <w:pPr>
        <w:pStyle w:val="Heading1"/>
        <w:bidi/>
        <w:spacing w:after="160" w:before="360"/>
        <w:jc w:val="right"/>
      </w:pPr>
      <w:r>
        <w:rPr>
          <w:rFonts w:ascii="Tajawal" w:cs="Tajawal" w:eastAsia="Tajawal" w:hAnsi="Tajawal"/>
          <w:b/>
          <w:bCs/>
          <w:color w:val="0F2745"/>
          <w:sz w:val="36"/>
          <w:szCs w:val="36"/>
          <w:rtl/>
        </w:rPr>
        <w:t xml:space="preserve">5. حِزَام التقييم</w:t>
      </w:r>
    </w:p>
    <w:p>
      <w:pPr>
        <w:pStyle w:val="Heading2"/>
        <w:bidi/>
        <w:spacing w:after="120" w:before="280"/>
        <w:jc w:val="right"/>
      </w:pPr>
      <w:r>
        <w:rPr>
          <w:rFonts w:ascii="Tajawal" w:cs="Tajawal" w:eastAsia="Tajawal" w:hAnsi="Tajawal"/>
          <w:b/>
          <w:bCs/>
          <w:color w:val="1F8A98"/>
          <w:sz w:val="28"/>
          <w:szCs w:val="28"/>
          <w:rtl/>
        </w:rPr>
        <w:t xml:space="preserve">5.1  المعايير الأساسية</w:t>
      </w:r>
    </w:p>
    <w:p>
      <w:pPr>
        <w:pStyle w:val="ListParagraph"/>
        <w:numPr>
          <w:ilvl w:val="0"/>
          <w:numId w:val="2"/>
        </w:numPr>
        <w:bidi/>
        <w:spacing w:after="60" w:before="60" w:line="340"/>
        <w:jc w:val="right"/>
      </w:pPr>
      <w:r>
        <w:rPr>
          <w:rFonts w:ascii="Tajawal" w:cs="Tajawal" w:eastAsia="Tajawal" w:hAnsi="Tajawal"/>
          <w:sz w:val="22"/>
          <w:szCs w:val="22"/>
          <w:rtl/>
        </w:rPr>
        <w:t xml:space="preserve">OALL (Open Arabic LLM Leaderboard): المعيار الموحّد للأداء العربي. هدف: + 4 إلى + 8 نقاط فوق نموذج أساس بنفس الباراميتر.</w:t>
      </w:r>
    </w:p>
    <w:p>
      <w:pPr>
        <w:pStyle w:val="ListParagraph"/>
        <w:numPr>
          <w:ilvl w:val="0"/>
          <w:numId w:val="2"/>
        </w:numPr>
        <w:bidi/>
        <w:spacing w:after="60" w:before="60" w:line="340"/>
        <w:jc w:val="right"/>
      </w:pPr>
      <w:r>
        <w:rPr>
          <w:rFonts w:ascii="Tajawal" w:cs="Tajawal" w:eastAsia="Tajawal" w:hAnsi="Tajawal"/>
          <w:sz w:val="22"/>
          <w:szCs w:val="22"/>
          <w:rtl/>
        </w:rPr>
        <w:t xml:space="preserve">Arabic-MMLU: قدرة استدلال متعدّدة المجالات. هدف: على الأقل ضمن أعلى 3 لنماذج بنفس الحجم.</w:t>
      </w:r>
    </w:p>
    <w:p>
      <w:pPr>
        <w:pStyle w:val="ListParagraph"/>
        <w:numPr>
          <w:ilvl w:val="0"/>
          <w:numId w:val="2"/>
        </w:numPr>
        <w:bidi/>
        <w:spacing w:after="60" w:before="60" w:line="340"/>
        <w:jc w:val="right"/>
      </w:pPr>
      <w:r>
        <w:rPr>
          <w:rFonts w:ascii="Tajawal" w:cs="Tajawal" w:eastAsia="Tajawal" w:hAnsi="Tajawal"/>
          <w:sz w:val="22"/>
          <w:szCs w:val="22"/>
          <w:rtl/>
        </w:rPr>
        <w:t xml:space="preserve">RULER العربي (مخصّص): اختبارات استرجاع السياق الطويل. هدف: &gt; 90٪ دقّة على سياق 32K.</w:t>
      </w:r>
    </w:p>
    <w:p>
      <w:pPr>
        <w:pStyle w:val="ListParagraph"/>
        <w:numPr>
          <w:ilvl w:val="0"/>
          <w:numId w:val="2"/>
        </w:numPr>
        <w:bidi/>
        <w:spacing w:after="60" w:before="60" w:line="340"/>
        <w:jc w:val="right"/>
      </w:pPr>
      <w:r>
        <w:rPr>
          <w:rFonts w:ascii="Tajawal" w:cs="Tajawal" w:eastAsia="Tajawal" w:hAnsi="Tajawal"/>
          <w:sz w:val="22"/>
          <w:szCs w:val="22"/>
          <w:rtl/>
        </w:rPr>
        <w:t xml:space="preserve">Needle-in-Haystack العربي: مهام استرجاع نقطية مع مشتّتات. هدف: &gt; 85٪ على سياق 64K.</w:t>
      </w:r>
    </w:p>
    <w:p>
      <w:pPr>
        <w:pStyle w:val="Heading2"/>
        <w:bidi/>
        <w:spacing w:after="120" w:before="280"/>
        <w:jc w:val="right"/>
      </w:pPr>
      <w:r>
        <w:rPr>
          <w:rFonts w:ascii="Tajawal" w:cs="Tajawal" w:eastAsia="Tajawal" w:hAnsi="Tajawal"/>
          <w:b/>
          <w:bCs/>
          <w:color w:val="1F8A98"/>
          <w:sz w:val="28"/>
          <w:szCs w:val="28"/>
          <w:rtl/>
        </w:rPr>
        <w:t xml:space="preserve">5.2  مقاييس الكفاءة</w:t>
      </w:r>
    </w:p>
    <w:p>
      <w:pPr>
        <w:pStyle w:val="ListParagraph"/>
        <w:numPr>
          <w:ilvl w:val="0"/>
          <w:numId w:val="2"/>
        </w:numPr>
        <w:bidi/>
        <w:spacing w:after="60" w:before="60" w:line="340"/>
        <w:jc w:val="right"/>
      </w:pPr>
      <w:r>
        <w:rPr>
          <w:rFonts w:ascii="Tajawal" w:cs="Tajawal" w:eastAsia="Tajawal" w:hAnsi="Tajawal"/>
          <w:sz w:val="22"/>
          <w:szCs w:val="22"/>
          <w:rtl/>
        </w:rPr>
        <w:t xml:space="preserve">FLOPs لكل قطعة مُولَّدة عند طول سياق متغيّر (8K، 16K، 32K، 64K).</w:t>
      </w:r>
    </w:p>
    <w:p>
      <w:pPr>
        <w:pStyle w:val="ListParagraph"/>
        <w:numPr>
          <w:ilvl w:val="0"/>
          <w:numId w:val="2"/>
        </w:numPr>
        <w:bidi/>
        <w:spacing w:after="60" w:before="60" w:line="340"/>
        <w:jc w:val="right"/>
      </w:pPr>
      <w:r>
        <w:rPr>
          <w:rFonts w:ascii="Tajawal" w:cs="Tajawal" w:eastAsia="Tajawal" w:hAnsi="Tajawal"/>
          <w:sz w:val="22"/>
          <w:szCs w:val="22"/>
          <w:rtl/>
        </w:rPr>
        <w:t xml:space="preserve">زمن الاستجابة لأول قطعة على إعداد عقدة A100/H100 قياسية.</w:t>
      </w:r>
    </w:p>
    <w:p>
      <w:pPr>
        <w:pStyle w:val="ListParagraph"/>
        <w:numPr>
          <w:ilvl w:val="0"/>
          <w:numId w:val="2"/>
        </w:numPr>
        <w:bidi/>
        <w:spacing w:after="60" w:before="60" w:line="340"/>
        <w:jc w:val="right"/>
      </w:pPr>
      <w:r>
        <w:rPr>
          <w:rFonts w:ascii="Tajawal" w:cs="Tajawal" w:eastAsia="Tajawal" w:hAnsi="Tajawal"/>
          <w:sz w:val="22"/>
          <w:szCs w:val="22"/>
          <w:rtl/>
        </w:rPr>
        <w:t xml:space="preserve">استخدام الذاكرة (HBM) مقابل طول السياق.</w:t>
      </w:r>
    </w:p>
    <w:p>
      <w:pPr>
        <w:pStyle w:val="ListParagraph"/>
        <w:numPr>
          <w:ilvl w:val="0"/>
          <w:numId w:val="2"/>
        </w:numPr>
        <w:bidi/>
        <w:spacing w:after="60" w:before="60" w:line="340"/>
        <w:jc w:val="right"/>
      </w:pPr>
      <w:r>
        <w:rPr>
          <w:rFonts w:ascii="Tajawal" w:cs="Tajawal" w:eastAsia="Tajawal" w:hAnsi="Tajawal"/>
          <w:sz w:val="22"/>
          <w:szCs w:val="22"/>
          <w:rtl/>
        </w:rPr>
        <w:t xml:space="preserve">كلفة الخدمة لكل ألف قطعة عند سيناريوهات حجم دفعة متعدّدة.</w:t>
      </w:r>
    </w:p>
    <w:p>
      <w:pPr>
        <w:pStyle w:val="Heading2"/>
        <w:bidi/>
        <w:spacing w:after="120" w:before="280"/>
        <w:jc w:val="right"/>
      </w:pPr>
      <w:r>
        <w:rPr>
          <w:rFonts w:ascii="Tajawal" w:cs="Tajawal" w:eastAsia="Tajawal" w:hAnsi="Tajawal"/>
          <w:b/>
          <w:bCs/>
          <w:color w:val="1F8A98"/>
          <w:sz w:val="28"/>
          <w:szCs w:val="28"/>
          <w:rtl/>
        </w:rPr>
        <w:t xml:space="preserve">5.3  دراسات الإزالة</w:t>
      </w:r>
    </w:p>
    <w:p>
      <w:pPr>
        <w:bidi/>
        <w:spacing w:after="80" w:before="80" w:line="360"/>
        <w:jc w:val="right"/>
      </w:pPr>
      <w:r>
        <w:rPr>
          <w:rFonts w:ascii="Tajawal" w:cs="Tajawal" w:eastAsia="Tajawal" w:hAnsi="Tajawal"/>
          <w:sz w:val="22"/>
          <w:szCs w:val="22"/>
          <w:rtl/>
        </w:rPr>
        <w:t xml:space="preserve">لتأسيس مساهمة كل مكوّن معماري، تُجرى الإزالات التالية:</w:t>
      </w:r>
    </w:p>
    <w:p>
      <w:pPr>
        <w:pStyle w:val="ListParagraph"/>
        <w:numPr>
          <w:ilvl w:val="0"/>
          <w:numId w:val="2"/>
        </w:numPr>
        <w:bidi/>
        <w:spacing w:after="60" w:before="60" w:line="340"/>
        <w:jc w:val="right"/>
      </w:pPr>
      <w:r>
        <w:rPr>
          <w:rFonts w:ascii="Tajawal" w:cs="Tajawal" w:eastAsia="Tajawal" w:hAnsi="Tajawal"/>
          <w:sz w:val="22"/>
          <w:szCs w:val="22"/>
          <w:rtl/>
        </w:rPr>
        <w:t xml:space="preserve">إزالة MPE: استبدال التضمينات ثلاثية التدفّقات بتضمين دفق واحد قياسي.</w:t>
      </w:r>
    </w:p>
    <w:p>
      <w:pPr>
        <w:pStyle w:val="ListParagraph"/>
        <w:numPr>
          <w:ilvl w:val="0"/>
          <w:numId w:val="2"/>
        </w:numPr>
        <w:bidi/>
        <w:spacing w:after="60" w:before="60" w:line="340"/>
        <w:jc w:val="right"/>
      </w:pPr>
      <w:r>
        <w:rPr>
          <w:rFonts w:ascii="Tajawal" w:cs="Tajawal" w:eastAsia="Tajawal" w:hAnsi="Tajawal"/>
          <w:sz w:val="22"/>
          <w:szCs w:val="22"/>
          <w:rtl/>
        </w:rPr>
        <w:t xml:space="preserve">إزالة الطبقة 2 (الطوبولوجيا): استرجاع تسلسلي بدلاً من الجيوديزي.</w:t>
      </w:r>
    </w:p>
    <w:p>
      <w:pPr>
        <w:pStyle w:val="ListParagraph"/>
        <w:numPr>
          <w:ilvl w:val="0"/>
          <w:numId w:val="2"/>
        </w:numPr>
        <w:bidi/>
        <w:spacing w:after="60" w:before="60" w:line="340"/>
        <w:jc w:val="right"/>
      </w:pPr>
      <w:r>
        <w:rPr>
          <w:rFonts w:ascii="Tajawal" w:cs="Tajawal" w:eastAsia="Tajawal" w:hAnsi="Tajawal"/>
          <w:sz w:val="22"/>
          <w:szCs w:val="22"/>
          <w:rtl/>
        </w:rPr>
        <w:t xml:space="preserve">إزالة ACC: نسبة ضغط ثابتة عبر كل القطع.</w:t>
      </w:r>
    </w:p>
    <w:p>
      <w:pPr>
        <w:pStyle w:val="ListParagraph"/>
        <w:numPr>
          <w:ilvl w:val="0"/>
          <w:numId w:val="2"/>
        </w:numPr>
        <w:bidi/>
        <w:spacing w:after="60" w:before="60" w:line="340"/>
        <w:jc w:val="right"/>
      </w:pPr>
      <w:r>
        <w:rPr>
          <w:rFonts w:ascii="Tajawal" w:cs="Tajawal" w:eastAsia="Tajawal" w:hAnsi="Tajawal"/>
          <w:sz w:val="22"/>
          <w:szCs w:val="22"/>
          <w:rtl/>
        </w:rPr>
        <w:t xml:space="preserve">إزالة فصل التدفّقات: دمج الجذر/الوزن/السطح عند المُدخَل.</w:t>
      </w:r>
    </w:p>
    <w:p>
      <w:pPr>
        <w:pStyle w:val="Heading1"/>
        <w:bidi/>
        <w:spacing w:after="160" w:before="360"/>
        <w:jc w:val="right"/>
      </w:pPr>
      <w:r>
        <w:rPr>
          <w:rFonts w:ascii="Tajawal" w:cs="Tajawal" w:eastAsia="Tajawal" w:hAnsi="Tajawal"/>
          <w:b/>
          <w:bCs/>
          <w:color w:val="0F2745"/>
          <w:sz w:val="36"/>
          <w:szCs w:val="36"/>
          <w:rtl/>
        </w:rPr>
        <w:t xml:space="preserve">6. خطة الهندسة</w:t>
      </w:r>
    </w:p>
    <w:p>
      <w:pPr>
        <w:pStyle w:val="Heading2"/>
        <w:bidi/>
        <w:spacing w:after="120" w:before="280"/>
        <w:jc w:val="right"/>
      </w:pPr>
      <w:r>
        <w:rPr>
          <w:rFonts w:ascii="Tajawal" w:cs="Tajawal" w:eastAsia="Tajawal" w:hAnsi="Tajawal"/>
          <w:b/>
          <w:bCs/>
          <w:color w:val="1F8A98"/>
          <w:sz w:val="28"/>
          <w:szCs w:val="28"/>
          <w:rtl/>
        </w:rPr>
        <w:t xml:space="preserve">6.1  مكدّس البنية التحتية</w:t>
      </w:r>
    </w:p>
    <w:p>
      <w:pPr>
        <w:pStyle w:val="ListParagraph"/>
        <w:numPr>
          <w:ilvl w:val="0"/>
          <w:numId w:val="2"/>
        </w:numPr>
        <w:bidi/>
        <w:spacing w:after="60" w:before="60" w:line="340"/>
        <w:jc w:val="right"/>
      </w:pPr>
      <w:r>
        <w:rPr>
          <w:rFonts w:ascii="Tajawal" w:cs="Tajawal" w:eastAsia="Tajawal" w:hAnsi="Tajawal"/>
          <w:sz w:val="22"/>
          <w:szCs w:val="22"/>
          <w:rtl/>
        </w:rPr>
        <w:t xml:space="preserve">التدريب: PyTorch 2.4 + DeepSpeed / FSDP على عقدة 64 × H100.</w:t>
      </w:r>
    </w:p>
    <w:p>
      <w:pPr>
        <w:pStyle w:val="ListParagraph"/>
        <w:numPr>
          <w:ilvl w:val="0"/>
          <w:numId w:val="2"/>
        </w:numPr>
        <w:bidi/>
        <w:spacing w:after="60" w:before="60" w:line="340"/>
        <w:jc w:val="right"/>
      </w:pPr>
      <w:r>
        <w:rPr>
          <w:rFonts w:ascii="Tajawal" w:cs="Tajawal" w:eastAsia="Tajawal" w:hAnsi="Tajawal"/>
          <w:sz w:val="22"/>
          <w:szCs w:val="22"/>
          <w:rtl/>
        </w:rPr>
        <w:t xml:space="preserve">التخزين: NVMe محلي للنقاط المرجعية، S3-compatible للحفظ طويل الأمد.</w:t>
      </w:r>
    </w:p>
    <w:p>
      <w:pPr>
        <w:pStyle w:val="ListParagraph"/>
        <w:numPr>
          <w:ilvl w:val="0"/>
          <w:numId w:val="2"/>
        </w:numPr>
        <w:bidi/>
        <w:spacing w:after="60" w:before="60" w:line="340"/>
        <w:jc w:val="right"/>
      </w:pPr>
      <w:r>
        <w:rPr>
          <w:rFonts w:ascii="Tajawal" w:cs="Tajawal" w:eastAsia="Tajawal" w:hAnsi="Tajawal"/>
          <w:sz w:val="22"/>
          <w:szCs w:val="22"/>
          <w:rtl/>
        </w:rPr>
        <w:t xml:space="preserve">التنسيق: Kubernetes + Slurm لإدارة المهام.</w:t>
      </w:r>
    </w:p>
    <w:p>
      <w:pPr>
        <w:pStyle w:val="ListParagraph"/>
        <w:numPr>
          <w:ilvl w:val="0"/>
          <w:numId w:val="2"/>
        </w:numPr>
        <w:bidi/>
        <w:spacing w:after="60" w:before="60" w:line="340"/>
        <w:jc w:val="right"/>
      </w:pPr>
      <w:r>
        <w:rPr>
          <w:rFonts w:ascii="Tajawal" w:cs="Tajawal" w:eastAsia="Tajawal" w:hAnsi="Tajawal"/>
          <w:sz w:val="22"/>
          <w:szCs w:val="22"/>
          <w:rtl/>
        </w:rPr>
        <w:t xml:space="preserve">المراقبة: WandB + Prometheus + Grafana.</w:t>
      </w:r>
    </w:p>
    <w:p>
      <w:pPr>
        <w:pStyle w:val="ListParagraph"/>
        <w:numPr>
          <w:ilvl w:val="0"/>
          <w:numId w:val="2"/>
        </w:numPr>
        <w:bidi/>
        <w:spacing w:after="60" w:before="60" w:line="340"/>
        <w:jc w:val="right"/>
      </w:pPr>
      <w:r>
        <w:rPr>
          <w:rFonts w:ascii="Tajawal" w:cs="Tajawal" w:eastAsia="Tajawal" w:hAnsi="Tajawal"/>
          <w:sz w:val="22"/>
          <w:szCs w:val="22"/>
          <w:rtl/>
        </w:rPr>
        <w:t xml:space="preserve">CI/CD: GitHub Actions + اختبارات pytest + تشغيل تدريب عيّنة على كل PR رئيسي.</w:t>
      </w:r>
    </w:p>
    <w:p>
      <w:pPr>
        <w:pStyle w:val="Heading2"/>
        <w:bidi/>
        <w:spacing w:after="120" w:before="280"/>
        <w:jc w:val="right"/>
      </w:pPr>
      <w:r>
        <w:rPr>
          <w:rFonts w:ascii="Tajawal" w:cs="Tajawal" w:eastAsia="Tajawal" w:hAnsi="Tajawal"/>
          <w:b/>
          <w:bCs/>
          <w:color w:val="1F8A98"/>
          <w:sz w:val="28"/>
          <w:szCs w:val="28"/>
          <w:rtl/>
        </w:rPr>
        <w:t xml:space="preserve">6.2  مكدّس الاستدلال</w:t>
      </w:r>
    </w:p>
    <w:p>
      <w:pPr>
        <w:pStyle w:val="ListParagraph"/>
        <w:numPr>
          <w:ilvl w:val="0"/>
          <w:numId w:val="2"/>
        </w:numPr>
        <w:bidi/>
        <w:spacing w:after="60" w:before="60" w:line="340"/>
        <w:jc w:val="right"/>
      </w:pPr>
      <w:r>
        <w:rPr>
          <w:rFonts w:ascii="Tajawal" w:cs="Tajawal" w:eastAsia="Tajawal" w:hAnsi="Tajawal"/>
          <w:sz w:val="22"/>
          <w:szCs w:val="22"/>
          <w:rtl/>
        </w:rPr>
        <w:t xml:space="preserve">الخدمة: TensorRT-LLM + نوى CUDA مخصّصة لـ GRO.</w:t>
      </w:r>
    </w:p>
    <w:p>
      <w:pPr>
        <w:pStyle w:val="ListParagraph"/>
        <w:numPr>
          <w:ilvl w:val="0"/>
          <w:numId w:val="2"/>
        </w:numPr>
        <w:bidi/>
        <w:spacing w:after="60" w:before="60" w:line="340"/>
        <w:jc w:val="right"/>
      </w:pPr>
      <w:r>
        <w:rPr>
          <w:rFonts w:ascii="Tajawal" w:cs="Tajawal" w:eastAsia="Tajawal" w:hAnsi="Tajawal"/>
          <w:sz w:val="22"/>
          <w:szCs w:val="22"/>
          <w:rtl/>
        </w:rPr>
        <w:t xml:space="preserve">الدفعات الديناميكية: مخصّص للتعامل مع طبقات MRCM متعدّدة الدقّات.</w:t>
      </w:r>
    </w:p>
    <w:p>
      <w:pPr>
        <w:pStyle w:val="ListParagraph"/>
        <w:numPr>
          <w:ilvl w:val="0"/>
          <w:numId w:val="2"/>
        </w:numPr>
        <w:bidi/>
        <w:spacing w:after="60" w:before="60" w:line="340"/>
        <w:jc w:val="right"/>
      </w:pPr>
      <w:r>
        <w:rPr>
          <w:rFonts w:ascii="Tajawal" w:cs="Tajawal" w:eastAsia="Tajawal" w:hAnsi="Tajawal"/>
          <w:sz w:val="22"/>
          <w:szCs w:val="22"/>
          <w:rtl/>
        </w:rPr>
        <w:t xml:space="preserve">API: REST + gRPC؛ متوافق مع OpenAI Chat Completions.</w:t>
      </w:r>
    </w:p>
    <w:p>
      <w:pPr>
        <w:pStyle w:val="ListParagraph"/>
        <w:numPr>
          <w:ilvl w:val="0"/>
          <w:numId w:val="2"/>
        </w:numPr>
        <w:bidi/>
        <w:spacing w:after="60" w:before="60" w:line="340"/>
        <w:jc w:val="right"/>
      </w:pPr>
      <w:r>
        <w:rPr>
          <w:rFonts w:ascii="Tajawal" w:cs="Tajawal" w:eastAsia="Tajawal" w:hAnsi="Tajawal"/>
          <w:sz w:val="22"/>
          <w:szCs w:val="22"/>
          <w:rtl/>
        </w:rPr>
        <w:t xml:space="preserve">النشر: Helm chart للنشر السحابي السيادي.</w:t>
      </w:r>
    </w:p>
    <w:p>
      <w:pPr>
        <w:pStyle w:val="Heading2"/>
        <w:bidi/>
        <w:spacing w:after="120" w:before="280"/>
        <w:jc w:val="right"/>
      </w:pPr>
      <w:r>
        <w:rPr>
          <w:rFonts w:ascii="Tajawal" w:cs="Tajawal" w:eastAsia="Tajawal" w:hAnsi="Tajawal"/>
          <w:b/>
          <w:bCs/>
          <w:color w:val="1F8A98"/>
          <w:sz w:val="28"/>
          <w:szCs w:val="28"/>
          <w:rtl/>
        </w:rPr>
        <w:t xml:space="preserve">6.3  معالم التسليم</w:t>
      </w:r>
    </w:p>
    <w:p>
      <w:pPr>
        <w:bidi/>
        <w:spacing w:after="80" w:before="80" w:line="360"/>
        <w:jc w:val="right"/>
      </w:pPr>
      <w:r>
        <w:rPr>
          <w:rFonts w:ascii="Tajawal" w:cs="Tajawal" w:eastAsia="Tajawal" w:hAnsi="Tajawal"/>
          <w:sz w:val="22"/>
          <w:szCs w:val="22"/>
          <w:rt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الشهر</w:t>
            </w:r>
          </w:p>
        </w:tc>
        <w:tc>
          <w:tcPr>
            <w:tcW w:type="dxa" w:w="7800"/>
            <w:tcBorders>
              <w:top w:val="single" w:color="CCCCCC" w:sz="4"/>
              <w:left w:val="single" w:color="CCCCCC" w:sz="4"/>
              <w:bottom w:val="single" w:color="CCCCCC" w:sz="4"/>
              <w:right w:val="single" w:color="CCCCCC" w:sz="4"/>
            </w:tcBorders>
            <w:shd w:fill="0F2745" w:val="clear"/>
            <w:tcMar>
              <w:top w:type="dxa" w:w="100"/>
              <w:left w:type="dxa" w:w="120"/>
              <w:bottom w:type="dxa" w:w="100"/>
              <w:right w:type="dxa" w:w="120"/>
            </w:tcMar>
          </w:tcPr>
          <w:p>
            <w:pPr>
              <w:bidi/>
              <w:jc w:val="center"/>
            </w:pPr>
            <w:r>
              <w:rPr>
                <w:rFonts w:ascii="Tajawal" w:cs="Tajawal" w:eastAsia="Tajawal" w:hAnsi="Tajawal"/>
                <w:b/>
                <w:bCs/>
                <w:color w:val="FFFFFF"/>
                <w:sz w:val="20"/>
                <w:szCs w:val="20"/>
                <w:rtl/>
              </w:rPr>
              <w:t xml:space="preserve">المعلم</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M2</w:t>
            </w:r>
          </w:p>
        </w:tc>
        <w:tc>
          <w:tcPr>
            <w:tcW w:type="dxa" w:w="7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بنية تحتية للتدريب جاهزة، MPE الأوّلي يعمل</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M3</w:t>
            </w:r>
          </w:p>
        </w:tc>
        <w:tc>
          <w:tcPr>
            <w:tcW w:type="dxa" w:w="7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أول نقطة مرجعية 350M مُدرَّبة، إيداع براءة مبدئية</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M4</w:t>
            </w:r>
          </w:p>
        </w:tc>
        <w:tc>
          <w:tcPr>
            <w:tcW w:type="dxa" w:w="7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GRO يعمل، أول قياسات استرجاع جيوديزي</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M5</w:t>
            </w:r>
          </w:p>
        </w:tc>
        <w:tc>
          <w:tcPr>
            <w:tcW w:type="dxa" w:w="7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ACC مُدمَج، تدريب عدائي مستقرّ</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M6</w:t>
            </w:r>
          </w:p>
        </w:tc>
        <w:tc>
          <w:tcPr>
            <w:tcW w:type="dxa" w:w="7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كل المعايير الـ 7 للنجاح مُقاسة، توسّع 1.3B</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M7</w:t>
            </w:r>
          </w:p>
        </w:tc>
        <w:tc>
          <w:tcPr>
            <w:tcW w:type="dxa" w:w="7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أول منشور مُقدَّم، lca_serve عاملاً</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M8</w:t>
            </w:r>
          </w:p>
        </w:tc>
        <w:tc>
          <w:tcPr>
            <w:tcW w:type="dxa" w:w="7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bidi/>
              <w:jc w:val="center"/>
            </w:pPr>
            <w:r>
              <w:rPr>
                <w:rFonts w:ascii="Tajawal" w:cs="Tajawal" w:eastAsia="Tajawal" w:hAnsi="Tajawal"/>
                <w:sz w:val="20"/>
                <w:szCs w:val="20"/>
                <w:rtl/>
              </w:rPr>
              <w:t xml:space="preserve">توسّع 7B، تحضير PCT الكامل</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M9</w:t>
            </w:r>
          </w:p>
        </w:tc>
        <w:tc>
          <w:tcPr>
            <w:tcW w:type="dxa" w:w="7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bidi/>
              <w:jc w:val="center"/>
            </w:pPr>
            <w:r>
              <w:rPr>
                <w:rFonts w:ascii="Tajawal" w:cs="Tajawal" w:eastAsia="Tajawal" w:hAnsi="Tajawal"/>
                <w:sz w:val="20"/>
                <w:szCs w:val="20"/>
                <w:rtl/>
              </w:rPr>
              <w:t xml:space="preserve">إصدار معاينة بحثية مفتوحة المصدر، حُزْمة فحص نافٍ للجهالة جاهزة</w:t>
            </w:r>
          </w:p>
        </w:tc>
      </w:tr>
    </w:tbl>
    <w:p>
      <w:pPr>
        <w:pStyle w:val="Heading1"/>
        <w:bidi/>
        <w:spacing w:after="160" w:before="360"/>
        <w:jc w:val="right"/>
      </w:pPr>
      <w:r>
        <w:rPr>
          <w:rFonts w:ascii="Tajawal" w:cs="Tajawal" w:eastAsia="Tajawal" w:hAnsi="Tajawal"/>
          <w:b/>
          <w:bCs/>
          <w:color w:val="0F2745"/>
          <w:sz w:val="36"/>
          <w:szCs w:val="36"/>
          <w:rtl/>
        </w:rPr>
        <w:t xml:space="preserve">7. قابلية إعادة الإنتاج والامتثال</w:t>
      </w:r>
    </w:p>
    <w:p>
      <w:pPr>
        <w:pStyle w:val="Heading2"/>
        <w:bidi/>
        <w:spacing w:after="120" w:before="280"/>
        <w:jc w:val="right"/>
      </w:pPr>
      <w:r>
        <w:rPr>
          <w:rFonts w:ascii="Tajawal" w:cs="Tajawal" w:eastAsia="Tajawal" w:hAnsi="Tajawal"/>
          <w:b/>
          <w:bCs/>
          <w:color w:val="1F8A98"/>
          <w:sz w:val="28"/>
          <w:szCs w:val="28"/>
          <w:rtl/>
        </w:rPr>
        <w:t xml:space="preserve">7.1  معيار قابلية إعادة الإنتاج</w:t>
      </w:r>
    </w:p>
    <w:p>
      <w:pPr>
        <w:bidi/>
        <w:spacing w:after="80" w:before="80" w:line="360"/>
        <w:jc w:val="right"/>
      </w:pPr>
      <w:r>
        <w:rPr>
          <w:rFonts w:ascii="Tajawal" w:cs="Tajawal" w:eastAsia="Tajawal" w:hAnsi="Tajawal"/>
          <w:sz w:val="22"/>
          <w:szCs w:val="22"/>
          <w:rtl/>
        </w:rPr>
        <w:t xml:space="preserve">كل تدريب يجب أن يكون قابلاً لإعادة الإنتاج تماماً من مستودع نظيف. هذا يعني:</w:t>
      </w:r>
    </w:p>
    <w:p>
      <w:pPr>
        <w:pStyle w:val="ListParagraph"/>
        <w:numPr>
          <w:ilvl w:val="0"/>
          <w:numId w:val="2"/>
        </w:numPr>
        <w:bidi/>
        <w:spacing w:after="60" w:before="60" w:line="340"/>
        <w:jc w:val="right"/>
      </w:pPr>
      <w:r>
        <w:rPr>
          <w:rFonts w:ascii="Tajawal" w:cs="Tajawal" w:eastAsia="Tajawal" w:hAnsi="Tajawal"/>
          <w:sz w:val="22"/>
          <w:szCs w:val="22"/>
          <w:rtl/>
        </w:rPr>
        <w:t xml:space="preserve">كل التكوينات (نموذج، تدريب، بيانات) في YAML مُتحكَّم بها بالإصدار.</w:t>
      </w:r>
    </w:p>
    <w:p>
      <w:pPr>
        <w:pStyle w:val="ListParagraph"/>
        <w:numPr>
          <w:ilvl w:val="0"/>
          <w:numId w:val="2"/>
        </w:numPr>
        <w:bidi/>
        <w:spacing w:after="60" w:before="60" w:line="340"/>
        <w:jc w:val="right"/>
      </w:pPr>
      <w:r>
        <w:rPr>
          <w:rFonts w:ascii="Tajawal" w:cs="Tajawal" w:eastAsia="Tajawal" w:hAnsi="Tajawal"/>
          <w:sz w:val="22"/>
          <w:szCs w:val="22"/>
          <w:rtl/>
        </w:rPr>
        <w:t xml:space="preserve">بذور عشوائية ثابتة على كل مستويات إطار العمل.</w:t>
      </w:r>
    </w:p>
    <w:p>
      <w:pPr>
        <w:pStyle w:val="ListParagraph"/>
        <w:numPr>
          <w:ilvl w:val="0"/>
          <w:numId w:val="2"/>
        </w:numPr>
        <w:bidi/>
        <w:spacing w:after="60" w:before="60" w:line="340"/>
        <w:jc w:val="right"/>
      </w:pPr>
      <w:r>
        <w:rPr>
          <w:rFonts w:ascii="Tajawal" w:cs="Tajawal" w:eastAsia="Tajawal" w:hAnsi="Tajawal"/>
          <w:sz w:val="22"/>
          <w:szCs w:val="22"/>
          <w:rtl/>
        </w:rPr>
        <w:t xml:space="preserve">استخدام مُحدّد لـ CUDA (deterministic ops where available).</w:t>
      </w:r>
    </w:p>
    <w:p>
      <w:pPr>
        <w:pStyle w:val="ListParagraph"/>
        <w:numPr>
          <w:ilvl w:val="0"/>
          <w:numId w:val="2"/>
        </w:numPr>
        <w:bidi/>
        <w:spacing w:after="60" w:before="60" w:line="340"/>
        <w:jc w:val="right"/>
      </w:pPr>
      <w:r>
        <w:rPr>
          <w:rFonts w:ascii="Tajawal" w:cs="Tajawal" w:eastAsia="Tajawal" w:hAnsi="Tajawal"/>
          <w:sz w:val="22"/>
          <w:szCs w:val="22"/>
          <w:rtl/>
        </w:rPr>
        <w:t xml:space="preserve">سجلّ كامل لإصدارات المكتبات في requirements.lock.</w:t>
      </w:r>
    </w:p>
    <w:p>
      <w:pPr>
        <w:pStyle w:val="ListParagraph"/>
        <w:numPr>
          <w:ilvl w:val="0"/>
          <w:numId w:val="2"/>
        </w:numPr>
        <w:bidi/>
        <w:spacing w:after="60" w:before="60" w:line="340"/>
        <w:jc w:val="right"/>
      </w:pPr>
      <w:r>
        <w:rPr>
          <w:rFonts w:ascii="Tajawal" w:cs="Tajawal" w:eastAsia="Tajawal" w:hAnsi="Tajawal"/>
          <w:sz w:val="22"/>
          <w:szCs w:val="22"/>
          <w:rtl/>
        </w:rPr>
        <w:t xml:space="preserve">اختبارات إعادة إنتاج تلقائية: تشغيل صغير على كل دمج رئيسي.</w:t>
      </w:r>
    </w:p>
    <w:p>
      <w:pPr>
        <w:pStyle w:val="Heading2"/>
        <w:bidi/>
        <w:spacing w:after="120" w:before="280"/>
        <w:jc w:val="right"/>
      </w:pPr>
      <w:r>
        <w:rPr>
          <w:rFonts w:ascii="Tajawal" w:cs="Tajawal" w:eastAsia="Tajawal" w:hAnsi="Tajawal"/>
          <w:b/>
          <w:bCs/>
          <w:color w:val="1F8A98"/>
          <w:sz w:val="28"/>
          <w:szCs w:val="28"/>
          <w:rtl/>
        </w:rPr>
        <w:t xml:space="preserve">7.2  الامتثال للفحص النافي للجهالة</w:t>
      </w:r>
    </w:p>
    <w:p>
      <w:pPr>
        <w:bidi/>
        <w:spacing w:after="80" w:before="80" w:line="360"/>
        <w:jc w:val="right"/>
      </w:pPr>
      <w:r>
        <w:rPr>
          <w:rFonts w:ascii="Tajawal" w:cs="Tajawal" w:eastAsia="Tajawal" w:hAnsi="Tajawal"/>
          <w:sz w:val="22"/>
          <w:szCs w:val="22"/>
          <w:rtl/>
        </w:rPr>
        <w:t xml:space="preserve">النموذج الأوّلي مُصمَّم ليجتاز فحصاً تقنياً نافياً للجهالة من المختبرات الرائدة. يعني هذا:</w:t>
      </w:r>
    </w:p>
    <w:p>
      <w:pPr>
        <w:pStyle w:val="ListParagraph"/>
        <w:numPr>
          <w:ilvl w:val="0"/>
          <w:numId w:val="2"/>
        </w:numPr>
        <w:bidi/>
        <w:spacing w:after="60" w:before="60" w:line="340"/>
        <w:jc w:val="right"/>
      </w:pPr>
      <w:r>
        <w:rPr>
          <w:rFonts w:ascii="Tajawal" w:cs="Tajawal" w:eastAsia="Tajawal" w:hAnsi="Tajawal"/>
          <w:sz w:val="22"/>
          <w:szCs w:val="22"/>
          <w:rtl/>
        </w:rPr>
        <w:t xml:space="preserve">كل المطالبات في الأوراق والبراءات قابلة للتحقّق من المستودع.</w:t>
      </w:r>
    </w:p>
    <w:p>
      <w:pPr>
        <w:pStyle w:val="ListParagraph"/>
        <w:numPr>
          <w:ilvl w:val="0"/>
          <w:numId w:val="2"/>
        </w:numPr>
        <w:bidi/>
        <w:spacing w:after="60" w:before="60" w:line="340"/>
        <w:jc w:val="right"/>
      </w:pPr>
      <w:r>
        <w:rPr>
          <w:rFonts w:ascii="Tajawal" w:cs="Tajawal" w:eastAsia="Tajawal" w:hAnsi="Tajawal"/>
          <w:sz w:val="22"/>
          <w:szCs w:val="22"/>
          <w:rtl/>
        </w:rPr>
        <w:t xml:space="preserve">الكود نظيف، موثَّق، يتبع أنماط PyTorch القياسية.</w:t>
      </w:r>
    </w:p>
    <w:p>
      <w:pPr>
        <w:pStyle w:val="ListParagraph"/>
        <w:numPr>
          <w:ilvl w:val="0"/>
          <w:numId w:val="2"/>
        </w:numPr>
        <w:bidi/>
        <w:spacing w:after="60" w:before="60" w:line="340"/>
        <w:jc w:val="right"/>
      </w:pPr>
      <w:r>
        <w:rPr>
          <w:rFonts w:ascii="Tajawal" w:cs="Tajawal" w:eastAsia="Tajawal" w:hAnsi="Tajawal"/>
          <w:sz w:val="22"/>
          <w:szCs w:val="22"/>
          <w:rtl/>
        </w:rPr>
        <w:t xml:space="preserve">لا تبعيات IP خارجية غير مُرخَّصة.</w:t>
      </w:r>
    </w:p>
    <w:p>
      <w:pPr>
        <w:pStyle w:val="ListParagraph"/>
        <w:numPr>
          <w:ilvl w:val="0"/>
          <w:numId w:val="2"/>
        </w:numPr>
        <w:bidi/>
        <w:spacing w:after="60" w:before="60" w:line="340"/>
        <w:jc w:val="right"/>
      </w:pPr>
      <w:r>
        <w:rPr>
          <w:rFonts w:ascii="Tajawal" w:cs="Tajawal" w:eastAsia="Tajawal" w:hAnsi="Tajawal"/>
          <w:sz w:val="22"/>
          <w:szCs w:val="22"/>
          <w:rtl/>
        </w:rPr>
        <w:t xml:space="preserve">معايير وإزالات قابلة لإعادة الإنتاج بشكل مستقل.</w:t>
      </w:r>
    </w:p>
    <w:p>
      <w:pPr>
        <w:pStyle w:val="Heading1"/>
        <w:bidi/>
        <w:spacing w:after="160" w:before="360"/>
        <w:jc w:val="right"/>
      </w:pPr>
      <w:r>
        <w:rPr>
          <w:rFonts w:ascii="Tajawal" w:cs="Tajawal" w:eastAsia="Tajawal" w:hAnsi="Tajawal"/>
          <w:b/>
          <w:bCs/>
          <w:color w:val="0F2745"/>
          <w:sz w:val="36"/>
          <w:szCs w:val="36"/>
          <w:rtl/>
        </w:rPr>
        <w:t xml:space="preserve">8. مخاطر النموذج الأوّلي والمعالجات</w:t>
      </w:r>
    </w:p>
    <w:p>
      <w:pPr>
        <w:pStyle w:val="Heading2"/>
        <w:bidi/>
        <w:spacing w:after="120" w:before="280"/>
        <w:jc w:val="right"/>
      </w:pPr>
      <w:r>
        <w:rPr>
          <w:rFonts w:ascii="Tajawal" w:cs="Tajawal" w:eastAsia="Tajawal" w:hAnsi="Tajawal"/>
          <w:b/>
          <w:bCs/>
          <w:color w:val="1F8A98"/>
          <w:sz w:val="28"/>
          <w:szCs w:val="28"/>
          <w:rtl/>
        </w:rPr>
        <w:t xml:space="preserve">8.1  المخاطر التقنية</w:t>
      </w:r>
    </w:p>
    <w:p>
      <w:pPr>
        <w:pStyle w:val="Heading3"/>
        <w:bidi/>
        <w:spacing w:after="80" w:before="200"/>
        <w:jc w:val="right"/>
      </w:pPr>
      <w:r>
        <w:rPr>
          <w:rFonts w:ascii="Tajawal" w:cs="Tajawal" w:eastAsia="Tajawal" w:hAnsi="Tajawal"/>
          <w:b/>
          <w:bCs/>
          <w:color w:val="C49A2B"/>
          <w:sz w:val="24"/>
          <w:szCs w:val="24"/>
          <w:rtl/>
        </w:rPr>
        <w:t xml:space="preserve">جودة MPE كعنق زجاجة</w:t>
      </w:r>
    </w:p>
    <w:p>
      <w:pPr>
        <w:bidi/>
        <w:spacing w:after="80" w:before="80" w:line="360"/>
        <w:jc w:val="right"/>
      </w:pPr>
      <w:r>
        <w:rPr>
          <w:rFonts w:ascii="Tajawal" w:cs="Tajawal" w:eastAsia="Tajawal" w:hAnsi="Tajawal"/>
          <w:sz w:val="22"/>
          <w:szCs w:val="22"/>
          <w:rtl/>
        </w:rPr>
        <w:t xml:space="preserve">إذا فشلت Farasa وCAMeL Tools في تجاوز سقف الدقّة 93٪، فإن MPE المُتعلَّم وحده قد لا يصل إلى المطلوب. المعالجة: تطوير وحدة تجزئة مُتعلَّمة كاملة كنسخة احتياطية، مُدرَّبة على معيار صرفي عربي ذهبي منتقى.</w:t>
      </w:r>
    </w:p>
    <w:p>
      <w:pPr>
        <w:pStyle w:val="Heading3"/>
        <w:bidi/>
        <w:spacing w:after="80" w:before="200"/>
        <w:jc w:val="right"/>
      </w:pPr>
      <w:r>
        <w:rPr>
          <w:rFonts w:ascii="Tajawal" w:cs="Tajawal" w:eastAsia="Tajawal" w:hAnsi="Tajawal"/>
          <w:b/>
          <w:bCs/>
          <w:color w:val="C49A2B"/>
          <w:sz w:val="24"/>
          <w:szCs w:val="24"/>
          <w:rtl/>
        </w:rPr>
        <w:t xml:space="preserve">استقرار التدريب العدائي لـ ACC</w:t>
      </w:r>
    </w:p>
    <w:p>
      <w:pPr>
        <w:bidi/>
        <w:spacing w:after="80" w:before="80" w:line="360"/>
        <w:jc w:val="right"/>
      </w:pPr>
      <w:r>
        <w:rPr>
          <w:rFonts w:ascii="Tajawal" w:cs="Tajawal" w:eastAsia="Tajawal" w:hAnsi="Tajawal"/>
          <w:sz w:val="22"/>
          <w:szCs w:val="22"/>
          <w:rtl/>
        </w:rPr>
        <w:t xml:space="preserve">التدريب العدائي معروف بعدم الاستقرار. المعالجة: استخدام تنظيم gradient penalty، جدولة دقيقة لمعامل الخصم، نقاط مرجعية متعدّدة + اختيار أفضل نموذج.</w:t>
      </w:r>
    </w:p>
    <w:p>
      <w:pPr>
        <w:pStyle w:val="Heading3"/>
        <w:bidi/>
        <w:spacing w:after="80" w:before="200"/>
        <w:jc w:val="right"/>
      </w:pPr>
      <w:r>
        <w:rPr>
          <w:rFonts w:ascii="Tajawal" w:cs="Tajawal" w:eastAsia="Tajawal" w:hAnsi="Tajawal"/>
          <w:b/>
          <w:bCs/>
          <w:color w:val="C49A2B"/>
          <w:sz w:val="24"/>
          <w:szCs w:val="24"/>
          <w:rtl/>
        </w:rPr>
        <w:t xml:space="preserve">توسّع GRO إلى الرسوم البيانية الطوبولوجية الكبيرة</w:t>
      </w:r>
    </w:p>
    <w:p>
      <w:pPr>
        <w:bidi/>
        <w:spacing w:after="80" w:before="80" w:line="360"/>
        <w:jc w:val="right"/>
      </w:pPr>
      <w:r>
        <w:rPr>
          <w:rFonts w:ascii="Tajawal" w:cs="Tajawal" w:eastAsia="Tajawal" w:hAnsi="Tajawal"/>
          <w:sz w:val="22"/>
          <w:szCs w:val="22"/>
          <w:rtl/>
        </w:rPr>
        <w:t xml:space="preserve">مع نمو طول السياق، يمكن أن تنمو الطبقة الطوبولوجية كبيرة، مما يجعل حساب أقصر مسار مكلفاً. المعالجة: تجميع الرسم البياني الهرمي (k-means وقت الإدراج) يحدّ من حجم الرسم؛ خوارزميات أقصر مسار تقريبية (توجيه المعالم) تُقدّم تعقيد استعلام دون خطي.</w:t>
      </w:r>
    </w:p>
    <w:p>
      <w:pPr>
        <w:pStyle w:val="Heading2"/>
        <w:bidi/>
        <w:spacing w:after="120" w:before="280"/>
        <w:jc w:val="right"/>
      </w:pPr>
      <w:r>
        <w:rPr>
          <w:rFonts w:ascii="Tajawal" w:cs="Tajawal" w:eastAsia="Tajawal" w:hAnsi="Tajawal"/>
          <w:b/>
          <w:bCs/>
          <w:color w:val="1F8A98"/>
          <w:sz w:val="28"/>
          <w:szCs w:val="28"/>
          <w:rtl/>
        </w:rPr>
        <w:t xml:space="preserve">8.2  مخاطر التنفيذ</w:t>
      </w:r>
    </w:p>
    <w:p>
      <w:pPr>
        <w:pStyle w:val="Heading3"/>
        <w:bidi/>
        <w:spacing w:after="80" w:before="200"/>
        <w:jc w:val="right"/>
      </w:pPr>
      <w:r>
        <w:rPr>
          <w:rFonts w:ascii="Tajawal" w:cs="Tajawal" w:eastAsia="Tajawal" w:hAnsi="Tajawal"/>
          <w:b/>
          <w:bCs/>
          <w:color w:val="C49A2B"/>
          <w:sz w:val="24"/>
          <w:szCs w:val="24"/>
          <w:rtl/>
        </w:rPr>
        <w:t xml:space="preserve">توفّر الحوسبة</w:t>
      </w:r>
    </w:p>
    <w:p>
      <w:pPr>
        <w:bidi/>
        <w:spacing w:after="80" w:before="80" w:line="360"/>
        <w:jc w:val="right"/>
      </w:pPr>
      <w:r>
        <w:rPr>
          <w:rFonts w:ascii="Tajawal" w:cs="Tajawal" w:eastAsia="Tajawal" w:hAnsi="Tajawal"/>
          <w:sz w:val="22"/>
          <w:szCs w:val="22"/>
          <w:rtl/>
        </w:rPr>
        <w:t xml:space="preserve">64 × H100 ليست متاحة بسهولة على نطاق سحابي تجاري بأسعار قابلة للتحمّل في 2026. المعالجة: شراكة مبكّرة مع مزوّدي السحابة الإقليميين لضمان السعة المخصّصة.</w:t>
      </w:r>
    </w:p>
    <w:p>
      <w:pPr>
        <w:pStyle w:val="Heading3"/>
        <w:bidi/>
        <w:spacing w:after="80" w:before="200"/>
        <w:jc w:val="right"/>
      </w:pPr>
      <w:r>
        <w:rPr>
          <w:rFonts w:ascii="Tajawal" w:cs="Tajawal" w:eastAsia="Tajawal" w:hAnsi="Tajawal"/>
          <w:b/>
          <w:bCs/>
          <w:color w:val="C49A2B"/>
          <w:sz w:val="24"/>
          <w:szCs w:val="24"/>
          <w:rtl/>
        </w:rPr>
        <w:t xml:space="preserve">توظيف فريق صغير</w:t>
      </w:r>
    </w:p>
    <w:p>
      <w:pPr>
        <w:bidi/>
        <w:spacing w:after="80" w:before="80" w:line="360"/>
        <w:jc w:val="right"/>
      </w:pPr>
      <w:r>
        <w:rPr>
          <w:rFonts w:ascii="Tajawal" w:cs="Tajawal" w:eastAsia="Tajawal" w:hAnsi="Tajawal"/>
          <w:sz w:val="22"/>
          <w:szCs w:val="22"/>
          <w:rtl/>
        </w:rPr>
        <w:t xml:space="preserve">النموذج الأوّلي يتطلّب 5–7 مهندسين/باحثين عاليي المهارة. توظيف العربية-NLP خصوصاً تنافسي. المعالجة: شراكات أكاديمية مع جامعات الأبحاث الإقليمية للوصول إلى المواهب؛ نموذج توظيف موزّع (السعودية أساسي، الإمارات/مصر/الأردن ثانوي).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9A2B" w:sz="8"/>
              <w:left w:val="single" w:color="C49A2B" w:sz="8"/>
              <w:bottom w:val="single" w:color="C49A2B" w:sz="8"/>
              <w:right w:val="single" w:color="C49A2B" w:sz="8"/>
            </w:tcBorders>
            <w:shd w:fill="FFF7E0" w:val="clear"/>
            <w:tcMar>
              <w:top w:type="dxa" w:w="180"/>
              <w:left w:type="dxa" w:w="240"/>
              <w:bottom w:type="dxa" w:w="180"/>
              <w:right w:type="dxa" w:w="240"/>
            </w:tcMar>
          </w:tcPr>
          <w:p>
            <w:pPr>
              <w:bidi/>
              <w:spacing w:after="100"/>
              <w:jc w:val="right"/>
            </w:pPr>
            <w:r>
              <w:rPr>
                <w:rFonts w:ascii="Tajawal" w:cs="Tajawal" w:eastAsia="Tajawal" w:hAnsi="Tajawal"/>
                <w:b/>
                <w:bCs/>
                <w:color w:val="0F2745"/>
                <w:sz w:val="24"/>
                <w:szCs w:val="24"/>
                <w:rtl/>
              </w:rPr>
              <w:t xml:space="preserve">ملخّص النموذج الأوّلي</w:t>
            </w:r>
          </w:p>
          <w:p>
            <w:pPr>
              <w:bidi/>
              <w:spacing w:line="360"/>
              <w:jc w:val="right"/>
            </w:pPr>
            <w:r>
              <w:rPr>
                <w:rFonts w:ascii="Tajawal" w:cs="Tajawal" w:eastAsia="Tajawal" w:hAnsi="Tajawal"/>
                <w:sz w:val="22"/>
                <w:szCs w:val="22"/>
                <w:rtl/>
              </w:rPr>
              <w:t xml:space="preserve">نموذج LCA الأوّلي مُصمَّم ليكون أصغر تنفيذ مرجعي يُثبت كل المطالبات المعمارية تجريبياً. الجدول الزمني 9 أشهر، الميزانية 810 ألف دولار للحوسبة، والمعايير السبعة للنجاح كلها موضوعية وقابلة للقياس. النجاح هنا يفتح المرحلة 2: تجارب تجارية مدفوعة + توسعة إلى 13B باراميتر + إيداع PCT كامل.</w:t>
            </w:r>
          </w:p>
        </w:tc>
      </w:tr>
    </w:tbl>
    <w:p>
      <w:pPr>
        <w:bidi/>
        <w:spacing w:before="600"/>
        <w:jc w:val="center"/>
      </w:pPr>
      <w:r>
        <w:rPr>
          <w:rFonts w:ascii="Tajawal" w:cs="Tajawal" w:eastAsia="Tajawal" w:hAnsi="Tajawal"/>
          <w:color w:val="8A96A7"/>
          <w:sz w:val="22"/>
          <w:szCs w:val="22"/>
          <w:rtl/>
        </w:rPr>
        <w:t xml:space="preserve">— نهاية الوثيقة —</w:t>
      </w:r>
    </w:p>
    <w:p>
      <w:pPr>
        <w:bidi/>
        <w:spacing w:before="200"/>
        <w:jc w:val="center"/>
      </w:pPr>
      <w:r>
        <w:rPr>
          <w:rFonts w:ascii="Tajawal" w:cs="Tajawal" w:eastAsia="Tajawal" w:hAnsi="Tajawal"/>
          <w:color w:val="8A96A7"/>
          <w:sz w:val="20"/>
          <w:szCs w:val="20"/>
          <w:rtl/>
        </w:rPr>
        <w:t xml:space="preserve">ARKANE AI  ·  سرّي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360"/>
      <w:jc w:val="right"/>
      <w:outlineLvl w:val="0"/>
    </w:pPr>
    <w:rPr>
      <w:rFonts w:ascii="Tajawal" w:cs="Tajawal" w:eastAsia="Tajawal" w:hAnsi="Tajawal"/>
      <w:b/>
      <w:bCs/>
      <w:color w:val="0F2745"/>
      <w:sz w:val="36"/>
      <w:szCs w:val="36"/>
    </w:rPr>
  </w:style>
  <w:style w:type="paragraph" w:styleId="Heading2">
    <w:name w:val="Heading 2"/>
    <w:basedOn w:val="Normal"/>
    <w:next w:val="Normal"/>
    <w:qFormat/>
    <w:pPr>
      <w:bidi/>
      <w:spacing w:after="120" w:before="280"/>
      <w:jc w:val="right"/>
      <w:outlineLvl w:val="1"/>
    </w:pPr>
    <w:rPr>
      <w:rFonts w:ascii="Tajawal" w:cs="Tajawal" w:eastAsia="Tajawal" w:hAnsi="Tajawal"/>
      <w:b/>
      <w:bCs/>
      <w:color w:val="1F8A98"/>
      <w:sz w:val="28"/>
      <w:szCs w:val="28"/>
    </w:rPr>
  </w:style>
  <w:style w:type="paragraph" w:styleId="Heading3">
    <w:name w:val="Heading 3"/>
    <w:basedOn w:val="Normal"/>
    <w:next w:val="Normal"/>
    <w:qFormat/>
    <w:pPr>
      <w:bidi/>
      <w:spacing w:after="80" w:before="200"/>
      <w:jc w:val="right"/>
      <w:outlineLvl w:val="2"/>
    </w:pPr>
    <w:rPr>
      <w:rFonts w:ascii="Tajawal" w:cs="Tajawal" w:eastAsia="Tajawal" w:hAnsi="Tajawal"/>
      <w:b/>
      <w:bCs/>
      <w:color w:val="C49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 MVP Spec - Arabic</dc:title>
  <dc:creator>ARKANE AI</dc:creator>
  <cp:lastModifiedBy>Un-named</cp:lastModifiedBy>
  <cp:revision>1</cp:revision>
  <dcterms:created xsi:type="dcterms:W3CDTF">2026-05-13T14:55:08.800Z</dcterms:created>
  <dcterms:modified xsi:type="dcterms:W3CDTF">2026-05-13T14:55:08.800Z</dcterms:modified>
</cp:coreProperties>
</file>

<file path=docProps/custom.xml><?xml version="1.0" encoding="utf-8"?>
<Properties xmlns="http://schemas.openxmlformats.org/officeDocument/2006/custom-properties" xmlns:vt="http://schemas.openxmlformats.org/officeDocument/2006/docPropsVTypes"/>
</file>