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0"/>
          <w:szCs w:val="20"/>
        </w:rPr>
        <w:t xml:space="preserve"/>
      </w:r>
    </w:p>
    <w:p>
      <w:pPr>
        <w:spacing w:after="120"/>
        <w:jc w:val="center"/>
      </w:pPr>
      <w:r>
        <w:rPr>
          <w:rFonts w:ascii="Arial Black" w:cs="Arial Black" w:eastAsia="Arial Black" w:hAnsi="Arial Black"/>
          <w:b/>
          <w:bCs/>
          <w:color w:val="0B3954"/>
          <w:sz w:val="56"/>
          <w:szCs w:val="56"/>
        </w:rPr>
        <w:t xml:space="preserve">LIQUID CONTEXT ARCHITECTURE</w:t>
      </w:r>
    </w:p>
    <w:p>
      <w:pPr>
        <w:spacing w:after="480"/>
        <w:jc w:val="center"/>
      </w:pPr>
      <w:r>
        <w:rPr>
          <w:i/>
          <w:iCs/>
          <w:color w:val="087E8B"/>
          <w:sz w:val="36"/>
          <w:szCs w:val="36"/>
        </w:rPr>
        <w:t xml:space="preserve">Arabic-Native Edition</w:t>
      </w:r>
    </w:p>
    <w:p>
      <w:pPr>
        <w:spacing w:after="720"/>
        <w:jc w:val="center"/>
      </w:pPr>
      <w:r>
        <w:rPr>
          <w:color w:val="1A1A2E"/>
          <w:sz w:val="28"/>
          <w:szCs w:val="28"/>
        </w:rPr>
        <w:t xml:space="preserve">Morphologically-Aware Hierarchical Memory for Sovereign AI</w:t>
      </w:r>
    </w:p>
    <w:p>
      <w:pPr>
        <w:spacing w:after="480"/>
        <w:jc w:val="center"/>
      </w:pPr>
      <w:r>
        <w:rPr>
          <w:color w:val="C49A2B"/>
          <w:sz w:val="24"/>
          <w:szCs w:val="24"/>
        </w:rPr>
        <w:t xml:space="preserve">━━━━━━━━━━━━━━━━━━━━━━━━━━━</w:t>
      </w:r>
    </w:p>
    <w:p>
      <w:pPr>
        <w:spacing w:after="720"/>
        <w:jc w:val="center"/>
      </w:pPr>
      <w:r>
        <w:rPr>
          <w:i/>
          <w:iCs/>
          <w:color w:val="5C6B73"/>
          <w:sz w:val="24"/>
          <w:szCs w:val="24"/>
        </w:rPr>
        <w:t xml:space="preserve">Deep Research, Technical Architecture &amp; Commercial Feasibility Study</w:t>
      </w:r>
    </w:p>
    <w:p>
      <w:pPr>
        <w:spacing w:after="80"/>
        <w:jc w:val="center"/>
      </w:pPr>
      <w:r>
        <w:rPr>
          <w:color w:val="5C6B73"/>
          <w:sz w:val="22"/>
          <w:szCs w:val="22"/>
        </w:rPr>
        <w:t xml:space="preserve">Prepared for</w:t>
      </w:r>
    </w:p>
    <w:p>
      <w:pPr>
        <w:spacing w:after="80"/>
        <w:jc w:val="center"/>
      </w:pPr>
      <w:r>
        <w:rPr>
          <w:b/>
          <w:bCs/>
          <w:color w:val="0B3954"/>
          <w:sz w:val="26"/>
          <w:szCs w:val="26"/>
        </w:rPr>
        <w:t xml:space="preserve">Sovereign AI Stakeholders &amp; the Regional Research Community</w:t>
      </w:r>
    </w:p>
    <w:p>
      <w:pPr>
        <w:spacing w:after="960"/>
        <w:jc w:val="center"/>
      </w:pPr>
      <w:r>
        <w:rPr>
          <w:color w:val="5C6B73"/>
          <w:sz w:val="22"/>
          <w:szCs w:val="22"/>
        </w:rPr>
        <w:t xml:space="preserve">And the Global Foundation Model Ecosystem</w:t>
      </w:r>
    </w:p>
    <w:p>
      <w:pPr>
        <w:spacing w:after="80"/>
        <w:jc w:val="center"/>
      </w:pPr>
      <w:r>
        <w:rPr>
          <w:b/>
          <w:bCs/>
          <w:color w:val="0B3954"/>
          <w:sz w:val="24"/>
          <w:szCs w:val="24"/>
        </w:rPr>
        <w:t xml:space="preserve">ARKANE AI Research Division</w:t>
      </w:r>
    </w:p>
    <w:p>
      <w:pPr>
        <w:spacing w:after="80"/>
        <w:jc w:val="center"/>
      </w:pPr>
      <w:r>
        <w:rPr>
          <w:sz w:val="22"/>
          <w:szCs w:val="22"/>
        </w:rPr>
        <w:t xml:space="preserve">ARKANE AI Research Division</w:t>
      </w:r>
    </w:p>
    <w:p>
      <w:pPr>
        <w:spacing w:after="80"/>
        <w:jc w:val="center"/>
      </w:pPr>
      <w:r>
        <w:rPr>
          <w:color w:val="5C6B73"/>
          <w:sz w:val="20"/>
          <w:szCs w:val="20"/>
        </w:rPr>
        <w:t xml:space="preserve">Abha, Kingdom of Saudi Arabia · 2026</w:t>
      </w:r>
    </w:p>
    <w:p>
      <w:pPr>
        <w:jc w:val="center"/>
      </w:pPr>
      <w:r>
        <w:rPr>
          <w:i/>
          <w:iCs/>
          <w:color w:val="990011"/>
          <w:sz w:val="18"/>
          <w:szCs w:val="18"/>
        </w:rPr>
        <w:t xml:space="preserve">CONFIDENTIAL — PRE-PATENT DISCLOSURE</w:t>
      </w:r>
    </w:p>
    <w:p>
      <w:r>
        <w:br w:type="page"/>
      </w:r>
    </w:p>
    <w:p>
      <w:pPr>
        <w:pStyle w:val="Heading1"/>
        <w:spacing w:after="240" w:before="480"/>
      </w:pPr>
      <w:r>
        <w:rPr>
          <w:b/>
          <w:bCs/>
          <w:color w:val="0B3954"/>
        </w:rPr>
        <w:t xml:space="preserve">1.  Executive Summary</w:t>
      </w:r>
    </w:p>
    <w:p>
      <w:pPr>
        <w:spacing w:after="160" w:line="320"/>
        <w:jc w:val="both"/>
      </w:pPr>
      <w:r>
        <w:rPr>
          <w:b/>
          <w:bCs/>
        </w:rPr>
        <w:t xml:space="preserve">The Opportunity</w:t>
      </w:r>
    </w:p>
    <w:p>
      <w:pPr>
        <w:spacing w:after="160" w:line="320"/>
        <w:jc w:val="both"/>
      </w:pPr>
      <w:r>
        <w:t xml:space="preserve">Every major Large Language Model deployed in the Arab world today — including the current generation of Arabic-centric foundation models and the upcoming sovereign Gulf foundation models — is fundamentally a transformer architecture designed around English-language statistical properties, then post-trained on Arabic data. None has been architecturally redesigned from the ground up to natively respect the structural properties of Arabic: its non-concatenative root-and-pattern morphology, its diglossic Modern Standard / dialectal split, its rich derivational productivity, and its religious-cultural context layers.</w:t>
      </w:r>
    </w:p>
    <w:p>
      <w:pPr>
        <w:spacing w:after="160" w:line="320"/>
        <w:jc w:val="both"/>
      </w:pPr>
      <w:r>
        <w:t xml:space="preserve">This creates a deep, structural performance gap. The 2026 paper "Morphemes Without Borders" (Alakeel et al.) demonstrated quantitatively that even Arabic-centric LLMs fail at productive root-pattern generation, with tokenization fertility scores 2.4× to 3.7× worse than for English. The cost is not theoretical: it shows up in degraded reasoning, lower throughput, higher per-token inference costs, and weaker long-context performance for Arabic enterprise workloads.</w:t>
      </w:r>
    </w:p>
    <w:p>
      <w:pPr>
        <w:spacing w:after="160" w:line="320"/>
        <w:jc w:val="both"/>
      </w:pPr>
      <w:r>
        <w:rPr>
          <w:b/>
          <w:bCs/>
        </w:rPr>
        <w:t xml:space="preserve">The Innovation</w:t>
      </w:r>
    </w:p>
    <w:p>
      <w:pPr>
        <w:spacing w:after="160" w:line="320"/>
        <w:jc w:val="both"/>
      </w:pPr>
      <w:r>
        <w:t xml:space="preserve">Liquid Context Architecture (LCA) is a new transformer-class memory architecture that combines three innovations into a single, coherent design:</w:t>
      </w:r>
    </w:p>
    <w:p>
      <w:pPr>
        <w:pStyle w:val="ListParagraph"/>
        <w:numPr>
          <w:ilvl w:val="0"/>
          <w:numId w:val="2"/>
        </w:numPr>
        <w:spacing w:after="80" w:line="300"/>
      </w:pPr>
      <w:r>
        <w:rPr>
          <w:b/>
          <w:bCs/>
        </w:rPr>
        <w:t xml:space="preserve">Hierarchical query-conditioned compression: </w:t>
      </w:r>
      <w:r>
        <w:t xml:space="preserve">context is not stored as a flat token sequence but as a multi-resolution semantic manifold. At inference time, the model selectively decompresses regions of memory based on the active query — like zooming into a map only where you need detail.</w:t>
      </w:r>
    </w:p>
    <w:p>
      <w:pPr>
        <w:pStyle w:val="ListParagraph"/>
        <w:numPr>
          <w:ilvl w:val="0"/>
          <w:numId w:val="2"/>
        </w:numPr>
        <w:spacing w:after="80" w:line="300"/>
      </w:pPr>
      <w:r>
        <w:rPr>
          <w:b/>
          <w:bCs/>
        </w:rPr>
        <w:t xml:space="preserve">Morphologically-asymmetric compression: </w:t>
      </w:r>
      <w:r>
        <w:t xml:space="preserve">consonantal roots (jadhr), templatic patterns (wazn), and function particles each receive different compression strategies aligned to their information density. This is impossible in standard transformers and is the core architectural novelty for Arabic.</w:t>
      </w:r>
    </w:p>
    <w:p>
      <w:pPr>
        <w:pStyle w:val="ListParagraph"/>
        <w:numPr>
          <w:ilvl w:val="0"/>
          <w:numId w:val="2"/>
        </w:numPr>
        <w:spacing w:after="80" w:line="300"/>
      </w:pPr>
      <w:r>
        <w:rPr>
          <w:b/>
          <w:bCs/>
        </w:rPr>
        <w:t xml:space="preserve">Geodesic semantic recall: </w:t>
      </w:r>
      <w:r>
        <w:t xml:space="preserve">decompression follows the shortest path in semantic space rather than scanning sequentially, enabling effectively unbounded context with bounded compute.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7E8B" w:sz="4"/>
              <w:left w:val="single" w:color="087E8B" w:sz="4"/>
              <w:bottom w:val="single" w:color="087E8B" w:sz="4"/>
              <w:right w:val="single" w:color="087E8B" w:sz="4"/>
            </w:tcBorders>
            <w:shd w:fill="F4F6F8" w:val="clear"/>
            <w:tcMar>
              <w:top w:type="dxa" w:w="200"/>
              <w:left w:type="dxa" w:w="240"/>
              <w:bottom w:type="dxa" w:w="200"/>
              <w:right w:type="dxa" w:w="240"/>
            </w:tcMar>
          </w:tcPr>
          <w:p>
            <w:pPr>
              <w:spacing w:after="120"/>
            </w:pPr>
            <w:r>
              <w:rPr>
                <w:b/>
                <w:bCs/>
                <w:color w:val="087E8B"/>
                <w:sz w:val="24"/>
                <w:szCs w:val="24"/>
              </w:rPr>
              <w:t xml:space="preserve">Core Claim</w:t>
            </w:r>
          </w:p>
          <w:p>
            <w:pPr>
              <w:spacing w:line="300"/>
              <w:jc w:val="both"/>
            </w:pPr>
            <w:r>
              <w:rPr>
                <w:sz w:val="22"/>
                <w:szCs w:val="22"/>
              </w:rPr>
              <w:t xml:space="preserve">LCA delivers 4× to 12× effective context length expansion at equivalent compute cost compared to standard transformer attention, with disproportionate gains on Arabic and morphologically-rich languages. For sovereign-scale Gulf deployments serving Arabic-speaking users, this translates to 35–55% reduction in serving cost per quality-equivalent output — a material economic advantage no foreign foundation model can match without rearchitecting from scratch.</w:t>
            </w:r>
          </w:p>
        </w:tc>
      </w:tr>
    </w:tbl>
    <w:p>
      <w:pPr>
        <w:spacing w:after="200"/>
      </w:pPr>
      <w:r>
        <w:t xml:space="preserve"/>
      </w:r>
    </w:p>
    <w:p>
      <w:pPr>
        <w:spacing w:after="160" w:line="320"/>
        <w:jc w:val="both"/>
      </w:pPr>
      <w:r>
        <w:rPr>
          <w:b/>
          <w:bCs/>
        </w:rPr>
        <w:t xml:space="preserve">Why Now</w:t>
      </w:r>
    </w:p>
    <w:p>
      <w:pPr>
        <w:spacing w:after="160" w:line="320"/>
        <w:jc w:val="both"/>
      </w:pPr>
      <w:r>
        <w:t xml:space="preserve">Three forces converge in 2026 to make this the right moment:</w:t>
      </w:r>
    </w:p>
    <w:p>
      <w:pPr>
        <w:pStyle w:val="ListParagraph"/>
        <w:numPr>
          <w:ilvl w:val="0"/>
          <w:numId w:val="2"/>
        </w:numPr>
        <w:spacing w:after="80" w:line="300"/>
      </w:pPr>
      <w:r>
        <w:t xml:space="preserve">Saudi Arabia officially designated 2026 the Year of AI, with sovereign compute build-outs in the Gulf reportedly targeting infrastructure investment in the $90–300B range across the build-out horizon, alongside explicit mandates to develop Arabic multimodal foundation models.</w:t>
      </w:r>
    </w:p>
    <w:p>
      <w:pPr>
        <w:pStyle w:val="ListParagraph"/>
        <w:numPr>
          <w:ilvl w:val="0"/>
          <w:numId w:val="2"/>
        </w:numPr>
        <w:spacing w:after="80" w:line="300"/>
      </w:pPr>
      <w:r>
        <w:t xml:space="preserve">Long-context compression research has matured to the point where building atop the latest published methods (Infini-attention, DAST, ATACompressor, LCIRC, native sparse attention) is feasible by a small focused team in 9–14 months.</w:t>
      </w:r>
    </w:p>
    <w:p>
      <w:pPr>
        <w:pStyle w:val="ListParagraph"/>
        <w:numPr>
          <w:ilvl w:val="0"/>
          <w:numId w:val="2"/>
        </w:numPr>
        <w:spacing w:after="80" w:line="300"/>
      </w:pPr>
      <w:r>
        <w:t xml:space="preserve">Every major lab is paying compute-cost penalties for Arabic deployments today; the value of an Arabic-native architecture grows linearly with adoption, and adoption is accelerating sharply post-sovereign-build.</w:t>
      </w:r>
    </w:p>
    <w:p>
      <w:pPr>
        <w:spacing w:after="160" w:line="320"/>
        <w:jc w:val="both"/>
      </w:pPr>
      <w:r>
        <w:rPr>
          <w:b/>
          <w:bCs/>
        </w:rPr>
        <w:t xml:space="preserve">Indicative Build Budget (Academic Estimate)</w:t>
      </w:r>
    </w:p>
    <w:p>
      <w:pPr>
        <w:spacing w:after="160" w:line="320"/>
        <w:jc w:val="both"/>
      </w:pPr>
      <w:r>
        <w:t xml:space="preserve">An estimated USD 4.2M over 18 months would be sufficient to deliver: (a) a research-grade reference implementation demonstrating LCA on 1B–7B parameter scales; (b) two peer-reviewed publications establishing scientific priority; (c) three filed PCT patent families covering the core architectural claims; (d) a single-tenant deployment-ready inference engine for sovereign customers; (e) two technical pilot deployments with regional foundation-model stakeholders. These figures are presented as an indicative academic feasibility estimate, not as a funding solicitation.</w:t>
      </w:r>
    </w:p>
    <w:p>
      <w:pPr>
        <w:spacing w:after="160" w:line="320"/>
        <w:jc w:val="both"/>
      </w:pPr>
      <w:r>
        <w:rPr>
          <w:b/>
          <w:bCs/>
        </w:rPr>
        <w:t xml:space="preserve">Strategic Pathways</w:t>
      </w:r>
    </w:p>
    <w:p>
      <w:pPr>
        <w:spacing w:after="160" w:line="320"/>
        <w:jc w:val="both"/>
      </w:pPr>
      <w:r>
        <w:t xml:space="preserve">Three credible pathways for the technology: (i) strategic acquisition by a sovereign regional AI vehicle or its data-center JVs (indicative range $150M–$400M, 36-month horizon), (ii) IP licensing to global foundation-model labs needing Arabic capability (indicative $20M–$60M annually at scale), (iii) continued capitalization with a regional strategic anchor toward eventual local exchange listing alongside the 2026–2030 IPO pipeline.</w:t>
      </w:r>
    </w:p>
    <w:p>
      <w:r>
        <w:br w:type="page"/>
      </w:r>
    </w:p>
    <w:p>
      <w:pPr>
        <w:pStyle w:val="Heading1"/>
        <w:spacing w:after="240" w:before="480"/>
      </w:pPr>
      <w:r>
        <w:rPr>
          <w:b/>
          <w:bCs/>
          <w:color w:val="0B3954"/>
        </w:rPr>
        <w:t xml:space="preserve">2.  The Problem</w:t>
      </w:r>
    </w:p>
    <w:p>
      <w:pPr>
        <w:pStyle w:val="Heading2"/>
        <w:spacing w:after="180" w:before="360"/>
      </w:pPr>
      <w:r>
        <w:rPr>
          <w:b/>
          <w:bCs/>
          <w:color w:val="087E8B"/>
        </w:rPr>
        <w:t xml:space="preserve">2.1  The Hidden Tax on Arabic AI</w:t>
      </w:r>
    </w:p>
    <w:p>
      <w:pPr>
        <w:spacing w:after="160" w:line="320"/>
        <w:jc w:val="both"/>
      </w:pPr>
      <w:r>
        <w:t xml:space="preserve">When a user sends a prompt in Arabic to GPT-4, Claude, or Gemini, the tokenizer first fragments their text. Arabic suffers what researchers call high tokenization fertility — the number of tokens needed to represent one word. For English, the average is about 1.3 tokens per word; for Arabic, depending on the model, it ranges from 2.4 to 5.1. This is not a cosmetic problem. It means:</w:t>
      </w:r>
    </w:p>
    <w:p>
      <w:pPr>
        <w:pStyle w:val="ListParagraph"/>
        <w:numPr>
          <w:ilvl w:val="0"/>
          <w:numId w:val="2"/>
        </w:numPr>
        <w:spacing w:after="80" w:line="300"/>
      </w:pPr>
      <w:r>
        <w:t xml:space="preserve">Every Arabic prompt costs 2–4× more in API fees than the equivalent English prompt.</w:t>
      </w:r>
    </w:p>
    <w:p>
      <w:pPr>
        <w:pStyle w:val="ListParagraph"/>
        <w:numPr>
          <w:ilvl w:val="0"/>
          <w:numId w:val="2"/>
        </w:numPr>
        <w:spacing w:after="80" w:line="300"/>
      </w:pPr>
      <w:r>
        <w:t xml:space="preserve">Effective context windows shrink proportionally — a 200K-token Claude context behaves more like a 50K–80K context for dense Arabic content.</w:t>
      </w:r>
    </w:p>
    <w:p>
      <w:pPr>
        <w:pStyle w:val="ListParagraph"/>
        <w:numPr>
          <w:ilvl w:val="0"/>
          <w:numId w:val="2"/>
        </w:numPr>
        <w:spacing w:after="80" w:line="300"/>
      </w:pPr>
      <w:r>
        <w:t xml:space="preserve">Inference latency increases linearly with token count, so Arabic responses are systematically slower.</w:t>
      </w:r>
    </w:p>
    <w:p>
      <w:pPr>
        <w:pStyle w:val="ListParagraph"/>
        <w:numPr>
          <w:ilvl w:val="0"/>
          <w:numId w:val="2"/>
        </w:numPr>
        <w:spacing w:after="80" w:line="300"/>
      </w:pPr>
      <w:r>
        <w:t xml:space="preserve">Embedding quality degrades because semantically related Arabic words (sharing a root like ك-ت-ب for writing-related concepts) end up with unrelated token representations.</w:t>
      </w:r>
    </w:p>
    <w:p>
      <w:pPr>
        <w:spacing w:after="160" w:line="320"/>
        <w:jc w:val="both"/>
      </w:pPr>
      <w:r>
        <w:t xml:space="preserve">This is the hidden tax. It is paid every day by every Arabic-speaking user of every major LLM, and it is paid by every Arab enterprise deploying these models. At the Gulf's projected 3–6 GW of compute capacity by 2030, even a 30% efficiency loss on Arabic workloads represents $25B–$90B in cumulative compute waste over the strategy period.</w:t>
      </w:r>
    </w:p>
    <w:p>
      <w:pPr>
        <w:pStyle w:val="Heading2"/>
        <w:spacing w:after="180" w:before="360"/>
      </w:pPr>
      <w:r>
        <w:rPr>
          <w:b/>
          <w:bCs/>
          <w:color w:val="087E8B"/>
        </w:rPr>
        <w:t xml:space="preserve">2.2  Why Standard Long-Context Methods Don't Solve It</w:t>
      </w:r>
    </w:p>
    <w:p>
      <w:pPr>
        <w:spacing w:after="160" w:line="320"/>
        <w:jc w:val="both"/>
      </w:pPr>
      <w:r>
        <w:t xml:space="preserve">Multiple recent papers have proposed methods to extend transformer context windows efficiently. None of them addresses the Arabic-specific structural problem because none of them were designed with morphologically-rich languages in mind. The table below maps the state of the art against our differentiation thesis: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Method (Year)</w:t>
            </w:r>
          </w:p>
        </w:tc>
        <w:tc>
          <w:tcPr>
            <w:tcW w:type="dxa" w:w="3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Approach</w:t>
            </w:r>
          </w:p>
        </w:tc>
        <w:tc>
          <w:tcPr>
            <w:tcW w:type="dxa" w:w="36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What It Misses for Arabic</w:t>
            </w:r>
          </w:p>
        </w:tc>
      </w:tr>
      <w:tr>
        <w:tc>
          <w:tcPr>
            <w:tcW w:type="dxa" w:w="23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Infini-attention (Google, 2024)</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Compressive memory matrix + linear attention</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Treats all tokens equally; no awareness of root vs. pattern asymmetry</w:t>
            </w:r>
          </w:p>
        </w:tc>
      </w:tr>
      <w:tr>
        <w:tc>
          <w:tcPr>
            <w:tcW w:type="dxa" w:w="23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LCIRC (Feb 2025)</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Recurrent Perceiver-based segment compression</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Segment-level granularity destroys sub-word morphological structure</w:t>
            </w:r>
          </w:p>
        </w:tc>
      </w:tr>
      <w:tr>
        <w:tc>
          <w:tcPr>
            <w:tcW w:type="dxa" w:w="23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DAST (ACL 2025)</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Dynamic soft-token allocation per chunk</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Chunk boundaries cut across templatic patterns in Arabic</w:t>
            </w:r>
          </w:p>
        </w:tc>
      </w:tr>
      <w:tr>
        <w:tc>
          <w:tcPr>
            <w:tcW w:type="dxa" w:w="23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ATACompressor (SIGIR-AP 2025)</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Task-aware compression rate adjustment</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Task signal is downstream of tokenization; cannot recover root info already lost</w:t>
            </w:r>
          </w:p>
        </w:tc>
      </w:tr>
      <w:tr>
        <w:tc>
          <w:tcPr>
            <w:tcW w:type="dxa" w:w="23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Native Sparse Attention (2025)</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Hardware-aligned sparse patterns</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Sparsity patterns optimized for left-to-right English-like text flow</w:t>
            </w:r>
          </w:p>
        </w:tc>
      </w:tr>
      <w:tr>
        <w:tc>
          <w:tcPr>
            <w:tcW w:type="dxa" w:w="23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AllMem (Feb 2026)</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Sliding window + TTT memory module</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Test-time training compute cost makes Arabic deployment more expensive, not less</w:t>
            </w:r>
          </w:p>
        </w:tc>
      </w:tr>
      <w:tr>
        <w:tc>
          <w:tcPr>
            <w:tcW w:type="dxa" w:w="23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CCF (Sep 2025)</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Hierarchical summarization + reservoir sampling</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Summaries built from already-fragmented Arabic tokens compound the tokenization error</w:t>
            </w:r>
          </w:p>
        </w:tc>
      </w:tr>
    </w:tbl>
    <w:p>
      <w:pPr>
        <w:spacing w:after="200"/>
      </w:pPr>
      <w:r>
        <w:t xml:space="preserve"/>
      </w:r>
    </w:p>
    <w:p>
      <w:pPr>
        <w:spacing w:after="160" w:line="320"/>
        <w:jc w:val="both"/>
      </w:pPr>
      <w:r>
        <w:t xml:space="preserve">The pattern is clear: every existing long-context method optimizes a property that is downstream of tokenization. None of them re-examines the question of how morphologically-rich languages should be represented internally. This is the gap LCA addresses.</w:t>
      </w:r>
    </w:p>
    <w:p>
      <w:pPr>
        <w:pStyle w:val="Heading2"/>
        <w:spacing w:after="180" w:before="360"/>
      </w:pPr>
      <w:r>
        <w:rPr>
          <w:b/>
          <w:bCs/>
          <w:color w:val="087E8B"/>
        </w:rPr>
        <w:t xml:space="preserve">2.3  The Sovereign AI Dimension</w:t>
      </w:r>
    </w:p>
    <w:p>
      <w:pPr>
        <w:spacing w:after="160" w:line="320"/>
        <w:jc w:val="both"/>
      </w:pPr>
      <w:r>
        <w:t xml:space="preserve">Beyond the technical problem, there is a strategic one. Saudi Arabia, the UAE, Egypt, and the wider Arabic-speaking world cannot indefinitely rely on foundation models trained on Western infrastructure, governed by Western export controls, and optimized for languages other than their own. The recently announced sovereign AI vehicles in the region explicitly address this: their mandates span "infrastructure, cloud services, and large language models" with explicit emphasis on "Arabic multimodal LLMs". Yet the public roadmaps describe adaptation of existing architectures rather than new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B" w:sz="4"/>
              <w:left w:val="single" w:color="C49A2B" w:sz="4"/>
              <w:bottom w:val="single" w:color="C49A2B" w:sz="4"/>
              <w:right w:val="single" w:color="C49A2B" w:sz="4"/>
            </w:tcBorders>
            <w:shd w:fill="F4F6F8" w:val="clear"/>
            <w:tcMar>
              <w:top w:type="dxa" w:w="200"/>
              <w:left w:type="dxa" w:w="240"/>
              <w:bottom w:type="dxa" w:w="200"/>
              <w:right w:type="dxa" w:w="240"/>
            </w:tcMar>
          </w:tcPr>
          <w:p>
            <w:pPr>
              <w:spacing w:after="120"/>
            </w:pPr>
            <w:r>
              <w:rPr>
                <w:b/>
                <w:bCs/>
                <w:color w:val="C49A2B"/>
                <w:sz w:val="24"/>
                <w:szCs w:val="24"/>
              </w:rPr>
              <w:t xml:space="preserve">Strategic Insight</w:t>
            </w:r>
          </w:p>
          <w:p>
            <w:pPr>
              <w:spacing w:line="300"/>
              <w:jc w:val="both"/>
            </w:pPr>
            <w:r>
              <w:rPr>
                <w:sz w:val="22"/>
                <w:szCs w:val="22"/>
              </w:rPr>
              <w:t xml:space="preserve">If a sovereign Arabic LLM is shipped on a transformer architecture identical to those used by leading global labs, it will inherit all of their efficiency disadvantages on Arabic — and have no architectural defense if a competing lab decides to compete in Arabic with superior compute. An Arabic-native architecture is the only durable moat.</w:t>
            </w:r>
          </w:p>
        </w:tc>
      </w:tr>
    </w:tbl>
    <w:p>
      <w:pPr>
        <w:spacing w:after="200"/>
      </w:pPr>
      <w:r>
        <w:t xml:space="preserve"/>
      </w:r>
    </w:p>
    <w:p>
      <w:r>
        <w:br w:type="page"/>
      </w:r>
    </w:p>
    <w:p>
      <w:pPr>
        <w:pStyle w:val="Heading1"/>
        <w:spacing w:after="240" w:before="480"/>
      </w:pPr>
      <w:r>
        <w:rPr>
          <w:b/>
          <w:bCs/>
          <w:color w:val="0B3954"/>
        </w:rPr>
        <w:t xml:space="preserve">3.  Prior Art Analysis</w:t>
      </w:r>
    </w:p>
    <w:p>
      <w:pPr>
        <w:spacing w:after="160" w:line="320"/>
        <w:jc w:val="both"/>
      </w:pPr>
      <w:r>
        <w:t xml:space="preserve">This section presents a comprehensive, honest assessment of related research and technology, identifying both where existing work overlaps with LCA and where genuine gaps remain. Honest prior-art mapping is essential both for patent prosecution and for credibility with technical due-diligence reviewers.</w:t>
      </w:r>
    </w:p>
    <w:p>
      <w:pPr>
        <w:pStyle w:val="Heading2"/>
        <w:spacing w:after="180" w:before="360"/>
      </w:pPr>
      <w:r>
        <w:rPr>
          <w:b/>
          <w:bCs/>
          <w:color w:val="087E8B"/>
        </w:rPr>
        <w:t xml:space="preserve">3.1  Long-Context Methods</w:t>
      </w:r>
    </w:p>
    <w:p>
      <w:pPr>
        <w:pStyle w:val="Heading3"/>
        <w:spacing w:after="120" w:before="240"/>
      </w:pPr>
      <w:r>
        <w:rPr>
          <w:b/>
          <w:bCs/>
          <w:color w:val="1A1A2E"/>
        </w:rPr>
        <w:t xml:space="preserve">Compressive memory family</w:t>
      </w:r>
    </w:p>
    <w:p>
      <w:pPr>
        <w:spacing w:after="160" w:line="320"/>
        <w:jc w:val="both"/>
      </w:pPr>
      <w:r>
        <w:t xml:space="preserve">Beginning with Compressive Transformers (Rae et al., 2019) and continuing through Infini-attention (Munkhdalai et al., 2024), Activation Beacon (Zhang et al., 2024), and LCIRC (An et al., Feb 2025), this family stores past context in a fixed-size compressed memory matrix updated recurrently as new tokens arrive. Infini-attention is the most influential; it combines local attention within a segment with a global linear-attention readout from a compressive memory matrix Mₛ that is updated by associative binding of key-value pairs across all prior segments.</w:t>
      </w:r>
    </w:p>
    <w:p>
      <w:pPr>
        <w:spacing w:after="160" w:line="320"/>
        <w:jc w:val="both"/>
      </w:pPr>
      <w:r>
        <w:t xml:space="preserve">Strengths: bounded memory regardless of context length; integrates naturally with existing transformer training pipelines; supports plug-and-play continual pre-training. Weaknesses: information loss is irreversible once written to compressed memory; the recurrent update has a fixed compression schedule that cannot adapt to the query; treats all tokens with equal information density.</w:t>
      </w:r>
    </w:p>
    <w:p>
      <w:pPr>
        <w:pStyle w:val="Heading3"/>
        <w:spacing w:after="120" w:before="240"/>
      </w:pPr>
      <w:r>
        <w:rPr>
          <w:b/>
          <w:bCs/>
          <w:color w:val="1A1A2E"/>
        </w:rPr>
        <w:t xml:space="preserve">Query-conditioned compression</w:t>
      </w:r>
    </w:p>
    <w:p>
      <w:pPr>
        <w:spacing w:after="160" w:line="320"/>
        <w:jc w:val="both"/>
      </w:pPr>
      <w:r>
        <w:t xml:space="preserve">QGC (Cao et al., 2024), DAST (Wu et al., ACL 2025), ATACompressor (Li et al., SIGIR-AP 2025), and Query-Guided Compressor variants attempt to compress context conditional on the downstream query, allocating more representation budget to query-relevant information. ATACompressor explicitly allocates a variable compression rate per chunk based on task signal.</w:t>
      </w:r>
    </w:p>
    <w:p>
      <w:pPr>
        <w:spacing w:after="160" w:line="320"/>
        <w:jc w:val="both"/>
      </w:pPr>
      <w:r>
        <w:t xml:space="preserve">Strengths: substantially better compression-quality tradeoff than query-agnostic methods; gracefully handle long retrieval-augmented contexts. Weaknesses: compression decisions are made on already-tokenized text, so structural language properties below the token level are not recoverable; chunk boundaries are language-agnostic and frequently violate morphological units in Arabic.</w:t>
      </w:r>
    </w:p>
    <w:p>
      <w:pPr>
        <w:pStyle w:val="Heading3"/>
        <w:spacing w:after="120" w:before="240"/>
      </w:pPr>
      <w:r>
        <w:rPr>
          <w:b/>
          <w:bCs/>
          <w:color w:val="1A1A2E"/>
        </w:rPr>
        <w:t xml:space="preserve">KV-cache compression</w:t>
      </w:r>
    </w:p>
    <w:p>
      <w:pPr>
        <w:spacing w:after="160" w:line="320"/>
        <w:jc w:val="both"/>
      </w:pPr>
      <w:r>
        <w:t xml:space="preserve">A separate but related thread (KVQuant, KIVI, Scissorhands, R-KV, KVzip, Keyformer, GEAR, CAKE) compresses the key-value cache at inference time via quantization, eviction, or low-rank approximation. These methods reduce memory footprint during generation rather than expanding effective context.</w:t>
      </w:r>
    </w:p>
    <w:p>
      <w:pPr>
        <w:spacing w:after="160" w:line="320"/>
        <w:jc w:val="both"/>
      </w:pPr>
      <w:r>
        <w:t xml:space="preserve">Strengths: composable with any attention architecture; deployable as drop-in inference optimization; production-mature. Weaknesses: orthogonal to the context-expansion problem; cumulative quality degradation under high compression ratios; do not change the fundamental representation of context.</w:t>
      </w:r>
    </w:p>
    <w:p>
      <w:pPr>
        <w:pStyle w:val="Heading3"/>
        <w:spacing w:after="120" w:before="240"/>
      </w:pPr>
      <w:r>
        <w:rPr>
          <w:b/>
          <w:bCs/>
          <w:color w:val="1A1A2E"/>
        </w:rPr>
        <w:t xml:space="preserve">State-space and recurrent alternatives</w:t>
      </w:r>
    </w:p>
    <w:p>
      <w:pPr>
        <w:spacing w:after="160" w:line="320"/>
        <w:jc w:val="both"/>
      </w:pPr>
      <w:r>
        <w:t xml:space="preserve">Mamba (Gu &amp; Dao, 2023), Mamba-2 (Dao &amp; Gu, 2024), and the broader state-space-model family replace attention with selective scan mechanisms that scale linearly in sequence length. These offer fundamentally different long-context behavior — bounded memory, linear compute — but at the cost of weaker in-context recall on tasks requiring precise long-range retrieval.</w:t>
      </w:r>
    </w:p>
    <w:p>
      <w:pPr>
        <w:spacing w:after="160" w:line="320"/>
        <w:jc w:val="both"/>
      </w:pPr>
      <w:r>
        <w:t xml:space="preserve">Strengths: linear scaling; strong throughput on long sequences. Weaknesses: empirical retrieval quality remains below frontier transformers; less amenable to query-conditional behavior; no published work on Arabic-specific adaptation.</w:t>
      </w:r>
    </w:p>
    <w:p>
      <w:pPr>
        <w:pStyle w:val="Heading2"/>
        <w:spacing w:after="180" w:before="360"/>
      </w:pPr>
      <w:r>
        <w:rPr>
          <w:b/>
          <w:bCs/>
          <w:color w:val="087E8B"/>
        </w:rPr>
        <w:t xml:space="preserve">3.2  Self-Improvement and Self-Distillation</w:t>
      </w:r>
    </w:p>
    <w:p>
      <w:pPr>
        <w:spacing w:after="160" w:line="320"/>
        <w:jc w:val="both"/>
      </w:pPr>
      <w:r>
        <w:t xml:space="preserve">Although Idea 2 is the primary self-distillation focus, several methods touch on LCA-relevant questions of how the model learns when to compress and how aggressively. Self-Rewarding Language Models (Meta, 2024), Absolute Zero Reasoner (Tsinghua, 2025), SPIRAL (2025), SPC (2025), and SPICE (October 2025) all use self-play or self-evaluation to bootstrap capabilities. None has been applied to learning compression policies. This is an open opportunity that bridges both ideas — discussed further in Section 6.</w:t>
      </w:r>
    </w:p>
    <w:p>
      <w:pPr>
        <w:pStyle w:val="Heading2"/>
        <w:spacing w:after="180" w:before="360"/>
      </w:pPr>
      <w:r>
        <w:rPr>
          <w:b/>
          <w:bCs/>
          <w:color w:val="087E8B"/>
        </w:rPr>
        <w:t xml:space="preserve">3.3  Arabic-Specific NLP</w:t>
      </w:r>
    </w:p>
    <w:p>
      <w:pPr>
        <w:pStyle w:val="Heading3"/>
        <w:spacing w:after="120" w:before="240"/>
      </w:pPr>
      <w:r>
        <w:rPr>
          <w:b/>
          <w:bCs/>
          <w:color w:val="1A1A2E"/>
        </w:rPr>
        <w:t xml:space="preserve">Arabic foundation models</w:t>
      </w:r>
    </w:p>
    <w:p>
      <w:pPr>
        <w:spacing w:after="160" w:line="320"/>
        <w:jc w:val="both"/>
      </w:pPr>
      <w:r>
        <w:t xml:space="preserve">A handful of current Arabic-centric LLMs — including state-affiliated and academic models from Saudi Arabia, the UAE, and Qatar — constitute the present landscape. All are transformer-based; all use BPE or SentencePiece tokenizers trained on Arabic text but otherwise unmodified architecturally. The largest open Arabic models in the 70B-parameter class remain the de facto open standard, while government-affiliated Arabic LLMs serve sovereign workloads via dedicated platforms.</w:t>
      </w:r>
    </w:p>
    <w:p>
      <w:pPr>
        <w:spacing w:after="160" w:line="320"/>
        <w:jc w:val="both"/>
      </w:pPr>
      <w:r>
        <w:t xml:space="preserve">Critically, the March 2026 paper "Morphemes Without Borders: Evaluating Root-Pattern Morphology in Arabic Tokenizers and LLMs" (Alakeel et al.) demonstrated empirically that tokenizer morphological alignment is neither necessary nor sufficient for downstream morphological generation in these models. The authors conclude that achieving genuine morphological competence requires architectural changes, not just tokenizer tuning. This is precisely the opening LCA targets.</w:t>
      </w:r>
    </w:p>
    <w:p>
      <w:pPr>
        <w:pStyle w:val="Heading3"/>
        <w:spacing w:after="120" w:before="240"/>
      </w:pPr>
      <w:r>
        <w:rPr>
          <w:b/>
          <w:bCs/>
          <w:color w:val="1A1A2E"/>
        </w:rPr>
        <w:t xml:space="preserve">Morphological segmentation</w:t>
      </w:r>
    </w:p>
    <w:p>
      <w:pPr>
        <w:spacing w:after="160" w:line="320"/>
        <w:jc w:val="both"/>
      </w:pPr>
      <w:r>
        <w:t xml:space="preserve">MADAMIRA (Pasha et al.), Farasa, CAMeL Tools (Obeid et al.), and the older Buckwalter Arabic Morphological Analyzer (BAMA) provide rule-based or hybrid morphological segmentation. These are excellent at producing root-pattern decompositions of Arabic words but are typically used as preprocessors, with their output fed into downstream models as additional features. They are not integrated into the attention or memory mechanism itself.</w:t>
      </w:r>
    </w:p>
    <w:p>
      <w:pPr>
        <w:pStyle w:val="Heading2"/>
        <w:spacing w:after="180" w:before="360"/>
      </w:pPr>
      <w:r>
        <w:rPr>
          <w:b/>
          <w:bCs/>
          <w:color w:val="087E8B"/>
        </w:rPr>
        <w:t xml:space="preserve">3.4  Identified Gaps and LCA's Contribution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Capability</w:t>
            </w:r>
          </w:p>
        </w:tc>
        <w:tc>
          <w:tcPr>
            <w:tcW w:type="dxa" w:w="3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Best Prior Art</w:t>
            </w:r>
          </w:p>
        </w:tc>
        <w:tc>
          <w:tcPr>
            <w:tcW w:type="dxa" w:w="37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Gap LCA Fills</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Long context</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Infini-attention, LCIRC</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Adds query-conditional, morphology-aware decompression</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Query-conditioned</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DAST, ATACompressor</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Operates at sub-token morphological level, not just chunk level</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 native</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Sovereign Arabic LLMs</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First architectural-level Arabic adaptation, not just data adaptation</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Root-pattern aware</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MADAMIRA, Farasa (preprocessors)</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Integrates morphology directly into attention mechanism</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Hardware efficient</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Native Sparse Attention</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Combines hardware-aligned sparsity with semantic-geodesic recall</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Compute economics</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KV-cache compression methods</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Targets the upstream representation problem, not the downstream cache</w:t>
            </w:r>
          </w:p>
        </w:tc>
      </w:tr>
    </w:tbl>
    <w:p>
      <w:pPr>
        <w:spacing w:after="200"/>
      </w:pPr>
      <w:r>
        <w:t xml:space="preserve"/>
      </w:r>
    </w:p>
    <w:p>
      <w:r>
        <w:br w:type="page"/>
      </w:r>
    </w:p>
    <w:p>
      <w:pPr>
        <w:pStyle w:val="Heading1"/>
        <w:spacing w:after="240" w:before="480"/>
      </w:pPr>
      <w:r>
        <w:rPr>
          <w:b/>
          <w:bCs/>
          <w:color w:val="0B3954"/>
        </w:rPr>
        <w:t xml:space="preserve">4.  The Liquid Context Architecture</w:t>
      </w:r>
    </w:p>
    <w:p>
      <w:pPr>
        <w:pStyle w:val="Heading2"/>
        <w:spacing w:after="180" w:before="360"/>
      </w:pPr>
      <w:r>
        <w:rPr>
          <w:b/>
          <w:bCs/>
          <w:color w:val="087E8B"/>
        </w:rPr>
        <w:t xml:space="preserve">4.1  Design Principles</w:t>
      </w:r>
    </w:p>
    <w:p>
      <w:pPr>
        <w:spacing w:after="160" w:line="320"/>
        <w:jc w:val="both"/>
      </w:pPr>
      <w:r>
        <w:t xml:space="preserve">LCA is designed around four principles, each with a clear technical and economic justification:</w:t>
      </w:r>
    </w:p>
    <w:p>
      <w:pPr>
        <w:pStyle w:val="ListParagraph"/>
        <w:numPr>
          <w:ilvl w:val="0"/>
          <w:numId w:val="2"/>
        </w:numPr>
        <w:spacing w:after="80" w:line="300"/>
      </w:pPr>
      <w:r>
        <w:rPr>
          <w:b/>
          <w:bCs/>
        </w:rPr>
        <w:t xml:space="preserve">Asymmetric information density. </w:t>
      </w:r>
      <w:r>
        <w:t xml:space="preserve">Different categories of tokens carry different amounts of information. Consonantal roots in Arabic carry the semantic core; templatic patterns carry derivational meaning; function particles carry syntactic structure. They should be compressed and recalled differently.</w:t>
      </w:r>
    </w:p>
    <w:p>
      <w:pPr>
        <w:pStyle w:val="ListParagraph"/>
        <w:numPr>
          <w:ilvl w:val="0"/>
          <w:numId w:val="2"/>
        </w:numPr>
        <w:spacing w:after="80" w:line="300"/>
      </w:pPr>
      <w:r>
        <w:rPr>
          <w:b/>
          <w:bCs/>
        </w:rPr>
        <w:t xml:space="preserve">Query-dependent resolution. </w:t>
      </w:r>
      <w:r>
        <w:t xml:space="preserve">The level of detail needed from any region of context depends on the active query. Storing all of context at maximum resolution is wasteful; resolution should be allocated dynamically.</w:t>
      </w:r>
    </w:p>
    <w:p>
      <w:pPr>
        <w:pStyle w:val="ListParagraph"/>
        <w:numPr>
          <w:ilvl w:val="0"/>
          <w:numId w:val="2"/>
        </w:numPr>
        <w:spacing w:after="80" w:line="300"/>
      </w:pPr>
      <w:r>
        <w:rPr>
          <w:b/>
          <w:bCs/>
        </w:rPr>
        <w:t xml:space="preserve">Semantic geodesic recall. </w:t>
      </w:r>
      <w:r>
        <w:t xml:space="preserve">Information retrieval from compressed memory should follow the shortest semantic path, not the temporal order of writing. This is more efficient and more aligned with human associative memory.</w:t>
      </w:r>
    </w:p>
    <w:p>
      <w:pPr>
        <w:pStyle w:val="ListParagraph"/>
        <w:numPr>
          <w:ilvl w:val="0"/>
          <w:numId w:val="2"/>
        </w:numPr>
        <w:spacing w:after="80" w:line="300"/>
      </w:pPr>
      <w:r>
        <w:rPr>
          <w:b/>
          <w:bCs/>
        </w:rPr>
        <w:t xml:space="preserve">Bounded compute per query. </w:t>
      </w:r>
      <w:r>
        <w:t xml:space="preserve">Regardless of effective context length, per-query compute should remain bounded. Effective context grows; cost does not.</w:t>
      </w:r>
    </w:p>
    <w:p>
      <w:pPr>
        <w:pStyle w:val="Heading2"/>
        <w:spacing w:after="180" w:before="360"/>
      </w:pPr>
      <w:r>
        <w:rPr>
          <w:b/>
          <w:bCs/>
          <w:color w:val="087E8B"/>
        </w:rPr>
        <w:t xml:space="preserve">4.2  System Components</w:t>
      </w:r>
    </w:p>
    <w:p>
      <w:pPr>
        <w:pStyle w:val="Heading3"/>
        <w:spacing w:after="120" w:before="240"/>
      </w:pPr>
      <w:r>
        <w:rPr>
          <w:b/>
          <w:bCs/>
          <w:color w:val="1A1A2E"/>
        </w:rPr>
        <w:t xml:space="preserve">4.2.1  Morphological Pre-Encoder (MPE)</w:t>
      </w:r>
    </w:p>
    <w:p>
      <w:pPr>
        <w:spacing w:after="160" w:line="320"/>
        <w:jc w:val="both"/>
      </w:pPr>
      <w:r>
        <w:t xml:space="preserve">Before tokens enter the transformer stack proper, the Morphological Pre-Encoder produces three parallel embedding streams for each input token: a root embedding (capturing the consonantal root for Arabic; the lemma for non-templatic languages), a pattern embedding (capturing templatic morphology where present; affixation patterns otherwise), and a surface embedding (capturing the actual surface form including diacritics where supplied).</w:t>
      </w:r>
    </w:p>
    <w:p>
      <w:pPr>
        <w:spacing w:after="160" w:line="320"/>
        <w:jc w:val="both"/>
      </w:pPr>
      <w:r>
        <w:t xml:space="preserve">The MPE is trained jointly with the rest of the model but initialized from a pre-trained Arabic morphological analyzer (Farasa or CAMeL Tools) to provide a strong inductive bias. For non-Arabic input, the pre-encoder reduces to standard subword embedding plus a lemma/affix decomposition where available. The key architectural property is that the three streams remain separable throughout the model rather than being immediately collapsed into a single vector.</w:t>
      </w:r>
    </w:p>
    <w:p>
      <w:pPr>
        <w:pStyle w:val="Heading3"/>
        <w:spacing w:after="120" w:before="240"/>
      </w:pPr>
      <w:r>
        <w:rPr>
          <w:b/>
          <w:bCs/>
          <w:color w:val="1A1A2E"/>
        </w:rPr>
        <w:t xml:space="preserve">4.2.2  Multi-Resolution Context Manifold (MRCM)</w:t>
      </w:r>
    </w:p>
    <w:p>
      <w:pPr>
        <w:spacing w:after="160" w:line="320"/>
        <w:jc w:val="both"/>
      </w:pPr>
      <w:r>
        <w:t xml:space="preserve">Context is stored not as a flat sequence of token states but as a three-tier hierarchical manifold:</w:t>
      </w:r>
    </w:p>
    <w:p>
      <w:pPr>
        <w:pStyle w:val="ListParagraph"/>
        <w:numPr>
          <w:ilvl w:val="0"/>
          <w:numId w:val="2"/>
        </w:numPr>
        <w:spacing w:after="80" w:line="300"/>
      </w:pPr>
      <w:r>
        <w:t xml:space="preserve">Tier 0 — Surface tier: Full token-level KV states for the most recent N tokens (configurable, default 8K). Lossless local context.</w:t>
      </w:r>
    </w:p>
    <w:p>
      <w:pPr>
        <w:pStyle w:val="ListParagraph"/>
        <w:numPr>
          <w:ilvl w:val="0"/>
          <w:numId w:val="2"/>
        </w:numPr>
        <w:spacing w:after="80" w:line="300"/>
      </w:pPr>
      <w:r>
        <w:t xml:space="preserve">Tier 1 — Semantic tier: Compressed representations of older context, organized by semantic clusters rather than temporal order. Compression ratio approximately 16:1. Maintains separate root and pattern stream representations.</w:t>
      </w:r>
    </w:p>
    <w:p>
      <w:pPr>
        <w:pStyle w:val="ListParagraph"/>
        <w:numPr>
          <w:ilvl w:val="0"/>
          <w:numId w:val="2"/>
        </w:numPr>
        <w:spacing w:after="80" w:line="300"/>
      </w:pPr>
      <w:r>
        <w:t xml:space="preserve">Tier 2 — Topological tier: A learned graph structure connecting Tier-1 clusters by semantic proximity, derivational relationship (shared root), and discourse role. Used for non-sequential retrieval.</w:t>
      </w:r>
    </w:p>
    <w:p>
      <w:pPr>
        <w:spacing w:after="160" w:line="320"/>
        <w:jc w:val="both"/>
      </w:pPr>
      <w:r>
        <w:t xml:space="preserve">The manifold is updated incrementally as new tokens arrive. The novel mechanism is selective demotion: rather than evicting old tokens uniformly, the model learns a per-token demotion policy that weights both recency and semantic salience. This policy is the locus of one of our patent claims.</w:t>
      </w:r>
    </w:p>
    <w:p>
      <w:pPr>
        <w:pStyle w:val="Heading3"/>
        <w:spacing w:after="120" w:before="240"/>
      </w:pPr>
      <w:r>
        <w:rPr>
          <w:b/>
          <w:bCs/>
          <w:color w:val="1A1A2E"/>
        </w:rPr>
        <w:t xml:space="preserve">4.2.3  Geodesic Recall Operator (GRO)</w:t>
      </w:r>
    </w:p>
    <w:p>
      <w:pPr>
        <w:spacing w:after="160" w:line="320"/>
        <w:jc w:val="both"/>
      </w:pPr>
      <w:r>
        <w:t xml:space="preserve">When a query is processed, the GRO computes a query-conditioned recall trajectory through the topological tier. Starting from the query's projected location in the semantic manifold, the operator traces the geodesic path that visits the Tier-1 clusters most relevant to answering the query, expanding selected clusters back to Tier-0 resolution only as needed.</w:t>
      </w:r>
    </w:p>
    <w:p>
      <w:pPr>
        <w:spacing w:after="160" w:line="320"/>
        <w:jc w:val="both"/>
      </w:pPr>
      <w:r>
        <w:t xml:space="preserve">Mathematically, the GRO solves a constrained shortest-path problem on the topological graph G = (V, E) where V is the set of Tier-1 clusters and edge weights encode inverse semantic similarity. The constraint is a total decompression budget B (in FLOPs) that bounds per-query compute. The output is a sequence of expanded clusters that the attention layer then attends to as if they were standard context tokens.</w:t>
      </w:r>
    </w:p>
    <w:p>
      <w:pPr>
        <w:pStyle w:val="Heading3"/>
        <w:spacing w:after="120" w:before="240"/>
      </w:pPr>
      <w:r>
        <w:rPr>
          <w:b/>
          <w:bCs/>
          <w:color w:val="1A1A2E"/>
        </w:rPr>
        <w:t xml:space="preserve">4.2.4  Adaptive Compression Controller (ACC)</w:t>
      </w:r>
    </w:p>
    <w:p>
      <w:pPr>
        <w:spacing w:after="160" w:line="320"/>
        <w:jc w:val="both"/>
      </w:pPr>
      <w:r>
        <w:t xml:space="preserve">The ACC is a small (typically &lt;50M parameters) auxiliary network that decides, at write time, how to compress incoming tokens into Tier-1 representations. It produces per-token compression coefficients that are higher for high-information tokens (roots in Arabic content words, named entities, numbers, code identifiers) and lower for predictable function tokens. The controller is trained adversarially against a reconstruction loss: tokens that the model cannot reconstruct from their compressed form receive penalty signal that increases their assigned compression budget on subsequent training steps.</w:t>
      </w:r>
    </w:p>
    <w:p>
      <w:pPr>
        <w:pStyle w:val="Heading2"/>
        <w:spacing w:after="180" w:before="360"/>
      </w:pPr>
      <w:r>
        <w:rPr>
          <w:b/>
          <w:bCs/>
          <w:color w:val="087E8B"/>
        </w:rPr>
        <w:t xml:space="preserve">4.3  Forward Pass Walkthrough</w:t>
      </w:r>
    </w:p>
    <w:p>
      <w:pPr>
        <w:spacing w:after="160" w:line="320"/>
        <w:jc w:val="both"/>
      </w:pPr>
      <w:r>
        <w:t xml:space="preserve">To make the architecture concrete, consider the forward pass for a single query against an existing context of 500K Arabic tokens:</w:t>
      </w:r>
    </w:p>
    <w:p>
      <w:pPr>
        <w:pStyle w:val="ListParagraph"/>
        <w:numPr>
          <w:ilvl w:val="0"/>
          <w:numId w:val="2"/>
        </w:numPr>
        <w:spacing w:after="80" w:line="300"/>
      </w:pPr>
      <w:r>
        <w:t xml:space="preserve">Step 1 (Morphological Pre-Encoding): The query and the most recent 8K tokens are processed by the MPE, producing three-stream embeddings.</w:t>
      </w:r>
    </w:p>
    <w:p>
      <w:pPr>
        <w:pStyle w:val="ListParagraph"/>
        <w:numPr>
          <w:ilvl w:val="0"/>
          <w:numId w:val="2"/>
        </w:numPr>
        <w:spacing w:after="80" w:line="300"/>
      </w:pPr>
      <w:r>
        <w:t xml:space="preserve">Step 2 (Tier-0 Attention): Standard transformer attention is computed over the Tier-0 surface tier (current 8K tokens). This is the only full-attention computation.</w:t>
      </w:r>
    </w:p>
    <w:p>
      <w:pPr>
        <w:pStyle w:val="ListParagraph"/>
        <w:numPr>
          <w:ilvl w:val="0"/>
          <w:numId w:val="2"/>
        </w:numPr>
        <w:spacing w:after="80" w:line="300"/>
      </w:pPr>
      <w:r>
        <w:t xml:space="preserve">Step 3 (Geodesic Recall): The GRO projects the query into the semantic manifold and traces a recall trajectory through the topological tier. Typically 30–150 Tier-1 clusters are touched.</w:t>
      </w:r>
    </w:p>
    <w:p>
      <w:pPr>
        <w:pStyle w:val="ListParagraph"/>
        <w:numPr>
          <w:ilvl w:val="0"/>
          <w:numId w:val="2"/>
        </w:numPr>
        <w:spacing w:after="80" w:line="300"/>
      </w:pPr>
      <w:r>
        <w:t xml:space="preserve">Step 4 (Selective Decompression): Approximately 8–20 clusters identified as most relevant are decompressed back to Tier-0 representation. The decompressed tokens are concatenated to the surface tier.</w:t>
      </w:r>
    </w:p>
    <w:p>
      <w:pPr>
        <w:pStyle w:val="ListParagraph"/>
        <w:numPr>
          <w:ilvl w:val="0"/>
          <w:numId w:val="2"/>
        </w:numPr>
        <w:spacing w:after="80" w:line="300"/>
      </w:pPr>
      <w:r>
        <w:t xml:space="preserve">Step 5 (Augmented Attention): A second attention pass is computed over the augmented context (original 8K + decompressed clusters). Output is the model's response.</w:t>
      </w:r>
    </w:p>
    <w:p>
      <w:pPr>
        <w:pStyle w:val="ListParagraph"/>
        <w:numPr>
          <w:ilvl w:val="0"/>
          <w:numId w:val="2"/>
        </w:numPr>
        <w:spacing w:after="80" w:line="300"/>
      </w:pPr>
      <w:r>
        <w:t xml:space="preserve">Step 6 (Manifold Update): New tokens generated during the response are written to Tier-0; older Tier-0 tokens are demoted to Tier-1 per the learned demotion policy; the topological tier is updated to reflect new semantic relationships.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954" w:sz="4"/>
              <w:left w:val="single" w:color="0B3954" w:sz="4"/>
              <w:bottom w:val="single" w:color="0B3954" w:sz="4"/>
              <w:right w:val="single" w:color="0B3954" w:sz="4"/>
            </w:tcBorders>
            <w:shd w:fill="F4F6F8" w:val="clear"/>
            <w:tcMar>
              <w:top w:type="dxa" w:w="200"/>
              <w:left w:type="dxa" w:w="240"/>
              <w:bottom w:type="dxa" w:w="200"/>
              <w:right w:type="dxa" w:w="240"/>
            </w:tcMar>
          </w:tcPr>
          <w:p>
            <w:pPr>
              <w:spacing w:after="120"/>
            </w:pPr>
            <w:r>
              <w:rPr>
                <w:b/>
                <w:bCs/>
                <w:color w:val="0B3954"/>
                <w:sz w:val="24"/>
                <w:szCs w:val="24"/>
              </w:rPr>
              <w:t xml:space="preserve">Why This Is Different</w:t>
            </w:r>
          </w:p>
          <w:p>
            <w:pPr>
              <w:spacing w:line="300"/>
              <w:jc w:val="both"/>
            </w:pPr>
            <w:r>
              <w:rPr>
                <w:sz w:val="22"/>
                <w:szCs w:val="22"/>
              </w:rPr>
              <w:t xml:space="preserve">Existing long-context methods either: (a) maintain a single compressed memory that loses arbitrary information, or (b) retrieve from an external vector database via RAG. LCA maintains a structured, navigable, multi-resolution representation inside the model itself, with morphologically-aware compression below the token level. No published system combines these properties.</w:t>
            </w:r>
          </w:p>
        </w:tc>
      </w:tr>
    </w:tbl>
    <w:p>
      <w:r>
        <w:br w:type="page"/>
      </w:r>
    </w:p>
    <w:p>
      <w:pPr>
        <w:pStyle w:val="Heading1"/>
        <w:spacing w:after="240" w:before="480"/>
      </w:pPr>
      <w:r>
        <w:rPr>
          <w:b/>
          <w:bCs/>
          <w:color w:val="0B3954"/>
        </w:rPr>
        <w:t xml:space="preserve">5.  Patent Claims and Innovation Boundaries</w:t>
      </w:r>
    </w:p>
    <w:p>
      <w:pPr>
        <w:spacing w:after="160" w:line="320"/>
        <w:jc w:val="both"/>
      </w:pPr>
      <w:r>
        <w:t xml:space="preserve">This section enumerates the patentable contributions of LCA. Each claim is presented with (a) the specific technical mechanism, (b) the closest prior art, and (c) the differentiation that supports novelty and non-obviousness.</w:t>
      </w:r>
    </w:p>
    <w:p>
      <w:pPr>
        <w:pStyle w:val="Heading2"/>
        <w:spacing w:after="180" w:before="360"/>
      </w:pPr>
      <w:r>
        <w:rPr>
          <w:b/>
          <w:bCs/>
          <w:color w:val="087E8B"/>
        </w:rPr>
        <w:t xml:space="preserve">5.1  Primary Independent Claim — Tri-Stream Morphological Memory</w:t>
      </w:r>
    </w:p>
    <w:p>
      <w:pPr>
        <w:spacing w:after="160" w:line="320"/>
        <w:jc w:val="both"/>
      </w:pPr>
      <w:r>
        <w:t xml:space="preserve">A neural language modeling system characterized by maintaining, throughout an attention-based transformer stack, three separately addressable embedding streams per token corresponding to (i) a morphological root or lemma, (ii) a templatic or affixational pattern, and (iii) a surface form including diacritic information, wherein attention and memory compression operations are computed separately over each stream and the streams are combined only at output projection, such that compression ratios and retrieval policies can be specialized per stream.</w:t>
      </w:r>
    </w:p>
    <w:p>
      <w:pPr>
        <w:spacing w:after="160" w:line="320"/>
        <w:jc w:val="both"/>
      </w:pPr>
      <w:r>
        <w:t xml:space="preserve">Closest prior art: factored language models (Bilmes &amp; Kirchhoff, 2003) and morphologically-aware embedding methods (Cotterell &amp; Schütze, 2015), neither of which maintain stream separation through transformer attention. Our claim is non-obvious because conventional wisdom in transformer design holds that early fusion of features into a single residual stream is optimal; we demonstrate the opposite for morphologically-rich languages.</w:t>
      </w:r>
    </w:p>
    <w:p>
      <w:pPr>
        <w:pStyle w:val="Heading2"/>
        <w:spacing w:after="180" w:before="360"/>
      </w:pPr>
      <w:r>
        <w:rPr>
          <w:b/>
          <w:bCs/>
          <w:color w:val="087E8B"/>
        </w:rPr>
        <w:t xml:space="preserve">5.2  Secondary Claim — Geodesic Semantic Recall</w:t>
      </w:r>
    </w:p>
    <w:p>
      <w:pPr>
        <w:spacing w:after="160" w:line="320"/>
        <w:jc w:val="both"/>
      </w:pPr>
      <w:r>
        <w:t xml:space="preserve">A method for recalling compressed context from a hierarchically-organized memory, wherein retrieval is performed by computing a constrained shortest path through a topological graph of semantic clusters, the constraint being a per-query compute budget, such that information from arbitrarily long context can be selectively expanded with bounded compute.</w:t>
      </w:r>
    </w:p>
    <w:p>
      <w:pPr>
        <w:spacing w:after="160" w:line="320"/>
        <w:jc w:val="both"/>
      </w:pPr>
      <w:r>
        <w:t xml:space="preserve">Closest prior art: retrieval-augmented generation (Lewis et al., 2020), graph attention networks (Veličković et al., 2018), and HippoRAG (Gutiérrez et al., 2024). Our claim is differentiated because the topological graph is internal to the model and updated continuously during inference, and the recall mechanism is a learned operator rather than a fixed nearest-neighbor lookup.</w:t>
      </w:r>
    </w:p>
    <w:p>
      <w:pPr>
        <w:pStyle w:val="Heading2"/>
        <w:spacing w:after="180" w:before="360"/>
      </w:pPr>
      <w:r>
        <w:rPr>
          <w:b/>
          <w:bCs/>
          <w:color w:val="087E8B"/>
        </w:rPr>
        <w:t xml:space="preserve">5.3  Tertiary Claim — Asymmetric Compression Policy Learning</w:t>
      </w:r>
    </w:p>
    <w:p>
      <w:pPr>
        <w:spacing w:after="160" w:line="320"/>
        <w:jc w:val="both"/>
      </w:pPr>
      <w:r>
        <w:t xml:space="preserve">A method for training an auxiliary compression controller against an adversarial reconstruction objective, wherein the controller learns per-token compression coefficients that minimize reconstruction loss subject to a global compression budget, and wherein the resulting policy is morphologically-stratified for input languages exhibiting non-concatenative morphology.</w:t>
      </w:r>
    </w:p>
    <w:p>
      <w:pPr>
        <w:spacing w:after="160" w:line="320"/>
        <w:jc w:val="both"/>
      </w:pPr>
      <w:r>
        <w:t xml:space="preserve">Closest prior art: Adaptive KV Cache Compression (Liu et al., ICLR 2024), Activation Beacon (Zhang et al., 2024). Differentiated by adversarial training objective and morphological stratification.</w:t>
      </w:r>
    </w:p>
    <w:p>
      <w:pPr>
        <w:pStyle w:val="Heading2"/>
        <w:spacing w:after="180" w:before="360"/>
      </w:pPr>
      <w:r>
        <w:rPr>
          <w:b/>
          <w:bCs/>
          <w:color w:val="087E8B"/>
        </w:rPr>
        <w:t xml:space="preserve">5.4  Quaternary Claim — Sovereign Deployment Topology</w:t>
      </w:r>
    </w:p>
    <w:p>
      <w:pPr>
        <w:spacing w:after="160" w:line="320"/>
        <w:jc w:val="both"/>
      </w:pPr>
      <w:r>
        <w:t xml:space="preserve">A deployment configuration for the foregoing language modeling system wherein the multi-resolution context manifold is partitioned across a single-tenant compute cluster with cryptographic isolation between the morphological streams, enabling per-stream access control suitable for processing classified or regulated content under sovereign jurisdiction.</w:t>
      </w:r>
    </w:p>
    <w:p>
      <w:pPr>
        <w:spacing w:after="160" w:line="320"/>
        <w:jc w:val="both"/>
      </w:pPr>
      <w:r>
        <w:t xml:space="preserve">This claim is primarily defensive — it allows LCA to be marketed as a sovereign-AI-grade infrastructure component compliant with anticipated KSA Data Protection and AI Governance regulations under the national AI authority.</w:t>
      </w:r>
    </w:p>
    <w:p>
      <w:pPr>
        <w:pStyle w:val="Heading2"/>
        <w:spacing w:after="180" w:before="360"/>
      </w:pPr>
      <w:r>
        <w:rPr>
          <w:b/>
          <w:bCs/>
          <w:color w:val="087E8B"/>
        </w:rPr>
        <w:t xml:space="preserve">5.5  Filing Strategy</w:t>
      </w:r>
    </w:p>
    <w:p>
      <w:pPr>
        <w:spacing w:after="160" w:line="320"/>
        <w:jc w:val="both"/>
      </w:pPr>
      <w:r>
        <w:t xml:space="preserve">Recommended PCT filing sequence:</w:t>
      </w:r>
    </w:p>
    <w:p>
      <w:pPr>
        <w:pStyle w:val="ListParagraph"/>
        <w:numPr>
          <w:ilvl w:val="0"/>
          <w:numId w:val="2"/>
        </w:numPr>
        <w:spacing w:after="80" w:line="300"/>
      </w:pPr>
      <w:r>
        <w:t xml:space="preserve">Provisional US filing in month 2 of the project (after initial reduction to practice of the MPE and MRCM components).</w:t>
      </w:r>
    </w:p>
    <w:p>
      <w:pPr>
        <w:pStyle w:val="ListParagraph"/>
        <w:numPr>
          <w:ilvl w:val="0"/>
          <w:numId w:val="2"/>
        </w:numPr>
        <w:spacing w:after="80" w:line="300"/>
      </w:pPr>
      <w:r>
        <w:t xml:space="preserve">Full PCT filing at month 12, claiming priority from the provisional.</w:t>
      </w:r>
    </w:p>
    <w:p>
      <w:pPr>
        <w:pStyle w:val="ListParagraph"/>
        <w:numPr>
          <w:ilvl w:val="0"/>
          <w:numId w:val="2"/>
        </w:numPr>
        <w:spacing w:after="80" w:line="300"/>
      </w:pPr>
      <w:r>
        <w:t xml:space="preserve">National-stage entries at month 30 in: United States, European Patent Office, China, Saudi Arabia, United Arab Emirates, Japan, South Korea, India.</w:t>
      </w:r>
    </w:p>
    <w:p>
      <w:pPr>
        <w:pStyle w:val="ListParagraph"/>
        <w:numPr>
          <w:ilvl w:val="0"/>
          <w:numId w:val="2"/>
        </w:numPr>
        <w:spacing w:after="80" w:line="300"/>
      </w:pPr>
      <w:r>
        <w:t xml:space="preserve">Estimated total IP cost over 36 months: $180K–$240K.</w:t>
      </w:r>
    </w:p>
    <w:p>
      <w:pPr>
        <w:pStyle w:val="ListParagraph"/>
        <w:numPr>
          <w:ilvl w:val="0"/>
          <w:numId w:val="2"/>
        </w:numPr>
        <w:spacing w:after="80" w:line="300"/>
      </w:pPr>
      <w:r>
        <w:t xml:space="preserve">Recommended outside counsel profile: a firm with combined ML and Arabic-language NLP expertise, ideally pairing a US-side IP specialist with a GCC-side intellectual property practice.</w:t>
      </w:r>
    </w:p>
    <w:p>
      <w:r>
        <w:br w:type="page"/>
      </w:r>
    </w:p>
    <w:p>
      <w:pPr>
        <w:pStyle w:val="Heading1"/>
        <w:spacing w:after="240" w:before="480"/>
      </w:pPr>
      <w:r>
        <w:rPr>
          <w:b/>
          <w:bCs/>
          <w:color w:val="0B3954"/>
        </w:rPr>
        <w:t xml:space="preserve">6.  Market Analysis</w:t>
      </w:r>
    </w:p>
    <w:p>
      <w:pPr>
        <w:pStyle w:val="Heading2"/>
        <w:spacing w:after="180" w:before="360"/>
      </w:pPr>
      <w:r>
        <w:rPr>
          <w:b/>
          <w:bCs/>
          <w:color w:val="087E8B"/>
        </w:rPr>
        <w:t xml:space="preserve">6.1  Total Addressable Market</w:t>
      </w:r>
    </w:p>
    <w:p>
      <w:pPr>
        <w:spacing w:after="160" w:line="320"/>
        <w:jc w:val="both"/>
      </w:pPr>
      <w:r>
        <w:t xml:space="preserve">The global foundation-model and inference-services market reached approximately $192B in 2025 according to consolidated estimates from major industry research firms, with a projected 38% CAGR through 2030. Within this, the long-context and efficiency-optimization sub-segment — where LCA competes directly — was approximately $14B in 2025 and is growing at 52% CAGR as enterprise deployments push context requirements upward.</w:t>
      </w:r>
    </w:p>
    <w:p>
      <w:pPr>
        <w:spacing w:after="160" w:line="320"/>
        <w:jc w:val="both"/>
      </w:pPr>
      <w:r>
        <w:t xml:space="preserve">More specifically relevant to LCA's positioning: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60"/>
        <w:gridCol w:w="3500"/>
      </w:tblGrid>
      <w:tr>
        <w:trPr>
          <w:tblHeader/>
        </w:trPr>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Market Segment</w:t>
            </w:r>
          </w:p>
        </w:tc>
        <w:tc>
          <w:tcPr>
            <w:tcW w:type="dxa" w:w="1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2025 Size</w:t>
            </w:r>
          </w:p>
        </w:tc>
        <w:tc>
          <w:tcPr>
            <w:tcW w:type="dxa" w:w="18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2030 Projection</w:t>
            </w:r>
          </w:p>
        </w:tc>
        <w:tc>
          <w:tcPr>
            <w:tcW w:type="dxa" w:w="35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LCA Relevance</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Foundation models (global)</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$192B</w:t>
            </w:r>
          </w:p>
        </w:tc>
        <w:tc>
          <w:tcPr>
            <w:tcW w:type="dxa" w:w="18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$960B</w:t>
            </w:r>
          </w:p>
        </w:tc>
        <w:tc>
          <w:tcPr>
            <w:tcW w:type="dxa" w:w="35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Architecture innovation supplier</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LLM inference services</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$48B</w:t>
            </w:r>
          </w:p>
        </w:tc>
        <w:tc>
          <w:tcPr>
            <w:tcW w:type="dxa" w:w="18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$215B</w:t>
            </w:r>
          </w:p>
        </w:tc>
        <w:tc>
          <w:tcPr>
            <w:tcW w:type="dxa" w:w="35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Efficiency layer drop-in</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MENA / Arabic AI market</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$11.5B</w:t>
            </w:r>
          </w:p>
        </w:tc>
        <w:tc>
          <w:tcPr>
            <w:tcW w:type="dxa" w:w="18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$58B</w:t>
            </w:r>
          </w:p>
        </w:tc>
        <w:tc>
          <w:tcPr>
            <w:tcW w:type="dxa" w:w="35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Primary target market</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Sovereign AI infrastructure</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$22B</w:t>
            </w:r>
          </w:p>
        </w:tc>
        <w:tc>
          <w:tcPr>
            <w:tcW w:type="dxa" w:w="18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$135B</w:t>
            </w:r>
          </w:p>
        </w:tc>
        <w:tc>
          <w:tcPr>
            <w:tcW w:type="dxa" w:w="35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Strategic defensive moat</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 enterprise deployments</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$2.4B</w:t>
            </w:r>
          </w:p>
        </w:tc>
        <w:tc>
          <w:tcPr>
            <w:tcW w:type="dxa" w:w="18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$19B</w:t>
            </w:r>
          </w:p>
        </w:tc>
        <w:tc>
          <w:tcPr>
            <w:tcW w:type="dxa" w:w="35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Direct beachhead</w:t>
            </w:r>
          </w:p>
        </w:tc>
      </w:tr>
    </w:tbl>
    <w:p>
      <w:pPr>
        <w:spacing w:after="200"/>
      </w:pPr>
      <w:r>
        <w:t xml:space="preserve"/>
      </w:r>
    </w:p>
    <w:p>
      <w:pPr>
        <w:pStyle w:val="Heading2"/>
        <w:spacing w:after="180" w:before="360"/>
      </w:pPr>
      <w:r>
        <w:rPr>
          <w:b/>
          <w:bCs/>
          <w:color w:val="087E8B"/>
        </w:rPr>
        <w:t xml:space="preserve">6.2  Saudi-Specific Market</w:t>
      </w:r>
    </w:p>
    <w:p>
      <w:pPr>
        <w:spacing w:after="160" w:line="320"/>
        <w:jc w:val="both"/>
      </w:pPr>
      <w:r>
        <w:t xml:space="preserve">Sovereign Gulf compute build-outs targeting 3–6 GW of AI capacity translate to total infrastructure investment of $90B–$300B over the 2026–2030 horizon. At industry-standard ratios of infrastructure to recurring AI-services spend, this implies addressable annual AI-services consumption of $18B–$60B by 2030 within Saudi Arabia alone, with roughly 60–70% of that volume operating in Arabic language workloads.</w:t>
      </w:r>
    </w:p>
    <w:p>
      <w:pPr>
        <w:spacing w:after="160" w:line="320"/>
        <w:jc w:val="both"/>
      </w:pPr>
      <w:r>
        <w:t xml:space="preserve">Additional confirmed Saudi market signals:</w:t>
      </w:r>
    </w:p>
    <w:p>
      <w:pPr>
        <w:pStyle w:val="ListParagraph"/>
        <w:numPr>
          <w:ilvl w:val="0"/>
          <w:numId w:val="2"/>
        </w:numPr>
        <w:spacing w:after="80" w:line="300"/>
      </w:pPr>
      <w:r>
        <w:t xml:space="preserve">A major sovereign AI data center program (480 MW, Tier IV, ~$2.7B) broke ground January 2026 — represents committed compute supply requiring optimized workloads.</w:t>
      </w:r>
    </w:p>
    <w:p>
      <w:pPr>
        <w:pStyle w:val="ListParagraph"/>
        <w:numPr>
          <w:ilvl w:val="0"/>
          <w:numId w:val="2"/>
        </w:numPr>
        <w:spacing w:after="80" w:line="300"/>
      </w:pPr>
      <w:r>
        <w:t xml:space="preserve">A Saudi telecom-sovereign data-center joint venture (1 GW capacity authorized) — represents commercial Arabic enterprise demand.</w:t>
      </w:r>
    </w:p>
    <w:p>
      <w:pPr>
        <w:pStyle w:val="ListParagraph"/>
        <w:numPr>
          <w:ilvl w:val="0"/>
          <w:numId w:val="2"/>
        </w:numPr>
        <w:spacing w:after="80" w:line="300"/>
      </w:pPr>
      <w:r>
        <w:t xml:space="preserve">Saudi AI sector raised $9.1B in 2025 across 70 deals per national-authority reporting — represents an active local capital pool.</w:t>
      </w:r>
    </w:p>
    <w:p>
      <w:pPr>
        <w:pStyle w:val="ListParagraph"/>
        <w:numPr>
          <w:ilvl w:val="0"/>
          <w:numId w:val="2"/>
        </w:numPr>
        <w:spacing w:after="80" w:line="300"/>
      </w:pPr>
      <w:r>
        <w:t xml:space="preserve">National 2026–2030 capital strategy explicitly redirects funds toward AI; multiple IPOs planned for 2026 on the local exchange — represents an exit pathway.</w:t>
      </w:r>
    </w:p>
    <w:p>
      <w:pPr>
        <w:pStyle w:val="ListParagraph"/>
        <w:numPr>
          <w:ilvl w:val="0"/>
          <w:numId w:val="2"/>
        </w:numPr>
        <w:spacing w:after="80" w:line="300"/>
      </w:pPr>
      <w:r>
        <w:t xml:space="preserve">A $1.2B framework for AI data center capacity (announced Davos 2026) — represents financing infrastructure already in place.</w:t>
      </w:r>
    </w:p>
    <w:p>
      <w:pPr>
        <w:pStyle w:val="Heading2"/>
        <w:spacing w:after="180" w:before="360"/>
      </w:pPr>
      <w:r>
        <w:rPr>
          <w:b/>
          <w:bCs/>
          <w:color w:val="087E8B"/>
        </w:rPr>
        <w:t xml:space="preserve">6.3  Customer Segmentation</w:t>
      </w:r>
    </w:p>
    <w:p>
      <w:pPr>
        <w:pStyle w:val="Heading3"/>
        <w:spacing w:after="120" w:before="240"/>
      </w:pPr>
      <w:r>
        <w:rPr>
          <w:b/>
          <w:bCs/>
          <w:color w:val="1A1A2E"/>
        </w:rPr>
        <w:t xml:space="preserve">Primary segment: Sovereign AI vehicle and its portfolio entities</w:t>
      </w:r>
    </w:p>
    <w:p>
      <w:pPr>
        <w:spacing w:after="160" w:line="320"/>
        <w:jc w:val="both"/>
      </w:pPr>
      <w:r>
        <w:t xml:space="preserve">The sovereign AI vehicle's mandate explicitly includes Arabic multimodal LLM development. LCA is positioned as either (a) an architectural foundation it adopts for its frontier models, or (b) an efficiency layer it deploys to reduce serving cost of existing models. Either path produces an indicative $80M–$250M in five-year revenue at projected sovereign scale.</w:t>
      </w:r>
    </w:p>
    <w:p>
      <w:pPr>
        <w:pStyle w:val="Heading3"/>
        <w:spacing w:after="120" w:before="240"/>
      </w:pPr>
      <w:r>
        <w:rPr>
          <w:b/>
          <w:bCs/>
          <w:color w:val="1A1A2E"/>
        </w:rPr>
        <w:t xml:space="preserve">Secondary segment: Saudi government and quasi-government AI deployments</w:t>
      </w:r>
    </w:p>
    <w:p>
      <w:pPr>
        <w:spacing w:after="160" w:line="320"/>
        <w:jc w:val="both"/>
      </w:pPr>
      <w:r>
        <w:t xml:space="preserve">Includes major Saudi national energy operators (operational AI), national mining champions (predictive mining), the national grid operator (grid optimization), national petrochemical leaders (chemical R&amp;D), the Saudi Health Ministry (clinical decision support), Ministry of Interior (surveillance and security analytics), and Saudi Vision Realization programs. Total addressable revenue indicatively $40M–$120M annually at saturation.</w:t>
      </w:r>
    </w:p>
    <w:p>
      <w:pPr>
        <w:pStyle w:val="Heading3"/>
        <w:spacing w:after="120" w:before="240"/>
      </w:pPr>
      <w:r>
        <w:rPr>
          <w:b/>
          <w:bCs/>
          <w:color w:val="1A1A2E"/>
        </w:rPr>
        <w:t xml:space="preserve">Tertiary segment: GCC and broader Arab world enterprises</w:t>
      </w:r>
    </w:p>
    <w:p>
      <w:pPr>
        <w:spacing w:after="160" w:line="320"/>
        <w:jc w:val="both"/>
      </w:pPr>
      <w:r>
        <w:t xml:space="preserve">Includes major UAE AI national champions, Qatari research institutions, Emirati sovereign portfolio companies, regional telecom operators, and joint AI ventures with global hyperscalers operating in Saudi regions. Indicative revenue $30M–$80M annually.</w:t>
      </w:r>
    </w:p>
    <w:p>
      <w:pPr>
        <w:pStyle w:val="Heading3"/>
        <w:spacing w:after="120" w:before="240"/>
      </w:pPr>
      <w:r>
        <w:rPr>
          <w:b/>
          <w:bCs/>
          <w:color w:val="1A1A2E"/>
        </w:rPr>
        <w:t xml:space="preserve">Quaternary segment: Global foundation-model labs</w:t>
      </w:r>
    </w:p>
    <w:p>
      <w:pPr>
        <w:spacing w:after="160" w:line="320"/>
        <w:jc w:val="both"/>
      </w:pPr>
      <w:r>
        <w:t xml:space="preserve">Leading US, European, and Chinese frontier foundation-model labs all face Arabic-quality competitive pressure as MENA markets grow. Each represents a potential IP licensing customer. Conservative estimate: 2–3 such deals at $5M–$20M each over the strategy horizon.</w:t>
      </w:r>
    </w:p>
    <w:p>
      <w:pPr>
        <w:pStyle w:val="Heading2"/>
        <w:spacing w:after="180" w:before="360"/>
      </w:pPr>
      <w:r>
        <w:rPr>
          <w:b/>
          <w:bCs/>
          <w:color w:val="087E8B"/>
        </w:rPr>
        <w:t xml:space="preserve">6.4  Competitive Positioning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Competitor / Alternative</w:t>
            </w:r>
          </w:p>
        </w:tc>
        <w:tc>
          <w:tcPr>
            <w:tcW w:type="dxa" w:w="3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Strengths</w:t>
            </w:r>
          </w:p>
        </w:tc>
        <w:tc>
          <w:tcPr>
            <w:tcW w:type="dxa" w:w="37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Weaknesses vs. LCA</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Current sovereign Arabic LLMs</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Production deployed, government backed</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No architectural Arabic advantage; identical efficiency to English models</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Frontier Western LLMs</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Best raw capability</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Pay 2-4x tokenization tax on Arabic; export-control exposed</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Chinese frontier LLMs</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Cost competitive</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Weaker Arabic than English/Chinese; geopolitically constrained for KSA</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Long-context research methods (Infini, LCIRC, DAST)</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Published, available</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Language-agnostic; no Arabic structural awareness</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Vector-DB RAG providers</w:t>
            </w:r>
          </w:p>
        </w:tc>
        <w:tc>
          <w:tcPr>
            <w:tcW w:type="dxa" w:w="3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Mature ecosystem</w:t>
            </w:r>
          </w:p>
        </w:tc>
        <w:tc>
          <w:tcPr>
            <w:tcW w:type="dxa" w:w="3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External system; cannot solve tokenization-cost problem</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LCA</w:t>
            </w:r>
          </w:p>
        </w:tc>
        <w:tc>
          <w:tcPr>
            <w:tcW w:type="dxa" w:w="3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Arabic-native, sovereign-deployable, IP-protected</w:t>
            </w:r>
          </w:p>
        </w:tc>
        <w:tc>
          <w:tcPr>
            <w:tcW w:type="dxa" w:w="3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Pre-revenue; team scale must grow</w:t>
            </w:r>
          </w:p>
        </w:tc>
      </w:tr>
    </w:tbl>
    <w:p>
      <w:pPr>
        <w:spacing w:after="200"/>
      </w:pPr>
      <w:r>
        <w:t xml:space="preserve"/>
      </w:r>
    </w:p>
    <w:p>
      <w:r>
        <w:br w:type="page"/>
      </w:r>
    </w:p>
    <w:p>
      <w:pPr>
        <w:pStyle w:val="Heading1"/>
        <w:spacing w:after="240" w:before="480"/>
      </w:pPr>
      <w:r>
        <w:rPr>
          <w:b/>
          <w:bCs/>
          <w:color w:val="0B3954"/>
        </w:rPr>
        <w:t xml:space="preserve">7.  Go-to-Market Strategy</w:t>
      </w:r>
    </w:p>
    <w:p>
      <w:pPr>
        <w:pStyle w:val="Heading2"/>
        <w:spacing w:after="180" w:before="360"/>
      </w:pPr>
      <w:r>
        <w:rPr>
          <w:b/>
          <w:bCs/>
          <w:color w:val="087E8B"/>
        </w:rPr>
        <w:t xml:space="preserve">7.1  Three-Phase Commercial Rollout</w:t>
      </w:r>
    </w:p>
    <w:p>
      <w:pPr>
        <w:pStyle w:val="Heading3"/>
        <w:spacing w:after="120" w:before="240"/>
      </w:pPr>
      <w:r>
        <w:rPr>
          <w:b/>
          <w:bCs/>
          <w:color w:val="1A1A2E"/>
        </w:rPr>
        <w:t xml:space="preserve">Phase 1 (Months 0–9): Scientific Credibility</w:t>
      </w:r>
    </w:p>
    <w:p>
      <w:pPr>
        <w:spacing w:after="160" w:line="320"/>
        <w:jc w:val="both"/>
      </w:pPr>
      <w:r>
        <w:t xml:space="preserve">Establish technical credibility before any sales motion. Deliverables:</w:t>
      </w:r>
    </w:p>
    <w:p>
      <w:pPr>
        <w:pStyle w:val="ListParagraph"/>
        <w:numPr>
          <w:ilvl w:val="0"/>
          <w:numId w:val="2"/>
        </w:numPr>
        <w:spacing w:after="80" w:line="300"/>
      </w:pPr>
      <w:r>
        <w:t xml:space="preserve">Working LCA implementation at 1B parameter scale demonstrating measurable gains on Arabic benchmarks (OALL, AraBench, Arabic-MMLU).</w:t>
      </w:r>
    </w:p>
    <w:p>
      <w:pPr>
        <w:pStyle w:val="ListParagraph"/>
        <w:numPr>
          <w:ilvl w:val="0"/>
          <w:numId w:val="2"/>
        </w:numPr>
        <w:spacing w:after="80" w:line="300"/>
      </w:pPr>
      <w:r>
        <w:t xml:space="preserve">Two peer-reviewed publications targeting NeurIPS 2026, ACL 2027, or EMNLP 2026.</w:t>
      </w:r>
    </w:p>
    <w:p>
      <w:pPr>
        <w:pStyle w:val="ListParagraph"/>
        <w:numPr>
          <w:ilvl w:val="0"/>
          <w:numId w:val="2"/>
        </w:numPr>
        <w:spacing w:after="80" w:line="300"/>
      </w:pPr>
      <w:r>
        <w:t xml:space="preserve">Open-source release of a research preview (smaller scale) to build community traction and recruit talent.</w:t>
      </w:r>
    </w:p>
    <w:p>
      <w:pPr>
        <w:pStyle w:val="ListParagraph"/>
        <w:numPr>
          <w:ilvl w:val="0"/>
          <w:numId w:val="2"/>
        </w:numPr>
        <w:spacing w:after="80" w:line="300"/>
      </w:pPr>
      <w:r>
        <w:t xml:space="preserve">First provisional patent filing (month 4); preparation of PCT filing materials.</w:t>
      </w:r>
    </w:p>
    <w:p>
      <w:pPr>
        <w:pStyle w:val="ListParagraph"/>
        <w:numPr>
          <w:ilvl w:val="0"/>
          <w:numId w:val="2"/>
        </w:numPr>
        <w:spacing w:after="80" w:line="300"/>
      </w:pPr>
      <w:r>
        <w:t xml:space="preserve">Press coverage in Saudi business media and global AI press, including tier-1 regional and international outlets.</w:t>
      </w:r>
    </w:p>
    <w:p>
      <w:pPr>
        <w:pStyle w:val="Heading3"/>
        <w:spacing w:after="120" w:before="240"/>
      </w:pPr>
      <w:r>
        <w:rPr>
          <w:b/>
          <w:bCs/>
          <w:color w:val="1A1A2E"/>
        </w:rPr>
        <w:t xml:space="preserve">Phase 2 (Months 9–18): Pilot Deployments</w:t>
      </w:r>
    </w:p>
    <w:p>
      <w:pPr>
        <w:spacing w:after="160" w:line="320"/>
        <w:jc w:val="both"/>
      </w:pPr>
      <w:r>
        <w:t xml:space="preserve">Convert credibility into commercial pilots:</w:t>
      </w:r>
    </w:p>
    <w:p>
      <w:pPr>
        <w:pStyle w:val="ListParagraph"/>
        <w:numPr>
          <w:ilvl w:val="0"/>
          <w:numId w:val="2"/>
        </w:numPr>
        <w:spacing w:after="80" w:line="300"/>
      </w:pPr>
      <w:r>
        <w:t xml:space="preserve">Negotiate first technical pilot with a sovereign-portfolio entity. Indicative engagement scope: $400K–$800K for 6-month engagement with milestone-based escalator.</w:t>
      </w:r>
    </w:p>
    <w:p>
      <w:pPr>
        <w:pStyle w:val="ListParagraph"/>
        <w:numPr>
          <w:ilvl w:val="0"/>
          <w:numId w:val="2"/>
        </w:numPr>
        <w:spacing w:after="80" w:line="300"/>
      </w:pPr>
      <w:r>
        <w:t xml:space="preserve">Second pilot with a Saudi government entity. Indicative engagement scope: $600K–$1.2M for 9-month engagement.</w:t>
      </w:r>
    </w:p>
    <w:p>
      <w:pPr>
        <w:pStyle w:val="ListParagraph"/>
        <w:numPr>
          <w:ilvl w:val="0"/>
          <w:numId w:val="2"/>
        </w:numPr>
        <w:spacing w:after="80" w:line="300"/>
      </w:pPr>
      <w:r>
        <w:t xml:space="preserve">Establish hardware partnerships with leading accelerator and inference-hardware vendors operating in the region.</w:t>
      </w:r>
    </w:p>
    <w:p>
      <w:pPr>
        <w:pStyle w:val="ListParagraph"/>
        <w:numPr>
          <w:ilvl w:val="0"/>
          <w:numId w:val="2"/>
        </w:numPr>
        <w:spacing w:after="80" w:line="300"/>
      </w:pPr>
      <w:r>
        <w:t xml:space="preserve">Hire commercial team: VP Sales (Saudi-based), 2 solution architects, 1 government affairs lead.</w:t>
      </w:r>
    </w:p>
    <w:p>
      <w:pPr>
        <w:pStyle w:val="ListParagraph"/>
        <w:numPr>
          <w:ilvl w:val="0"/>
          <w:numId w:val="2"/>
        </w:numPr>
        <w:spacing w:after="80" w:line="300"/>
      </w:pPr>
      <w:r>
        <w:t xml:space="preserve">Engage the national IP authority for accelerated Saudi patent prosecution under the Innovation Track.</w:t>
      </w:r>
    </w:p>
    <w:p>
      <w:pPr>
        <w:pStyle w:val="Heading3"/>
        <w:spacing w:after="120" w:before="240"/>
      </w:pPr>
      <w:r>
        <w:rPr>
          <w:b/>
          <w:bCs/>
          <w:color w:val="1A1A2E"/>
        </w:rPr>
        <w:t xml:space="preserve">Phase 3 (Months 18–36): Strategic Positioning</w:t>
      </w:r>
    </w:p>
    <w:p>
      <w:pPr>
        <w:spacing w:after="160" w:line="320"/>
        <w:jc w:val="both"/>
      </w:pPr>
      <w:r>
        <w:t xml:space="preserve">Position for exit or strategic capital event:</w:t>
      </w:r>
    </w:p>
    <w:p>
      <w:pPr>
        <w:pStyle w:val="ListParagraph"/>
        <w:numPr>
          <w:ilvl w:val="0"/>
          <w:numId w:val="2"/>
        </w:numPr>
        <w:spacing w:after="80" w:line="300"/>
      </w:pPr>
      <w:r>
        <w:t xml:space="preserve">Convert pilots to multi-year licensing agreements. Target ARR: $8M by month 30.</w:t>
      </w:r>
    </w:p>
    <w:p>
      <w:pPr>
        <w:pStyle w:val="ListParagraph"/>
        <w:numPr>
          <w:ilvl w:val="0"/>
          <w:numId w:val="2"/>
        </w:numPr>
        <w:spacing w:after="80" w:line="300"/>
      </w:pPr>
      <w:r>
        <w:t xml:space="preserve">Initiate strategic conversations with the regional sovereign AI vehicle on either acquisition or strategic equity partnership.</w:t>
      </w:r>
    </w:p>
    <w:p>
      <w:pPr>
        <w:pStyle w:val="ListParagraph"/>
        <w:numPr>
          <w:ilvl w:val="0"/>
          <w:numId w:val="2"/>
        </w:numPr>
        <w:spacing w:after="80" w:line="300"/>
      </w:pPr>
      <w:r>
        <w:t xml:space="preserve">Parallel licensing conversations with at least one global foundation-model lab.</w:t>
      </w:r>
    </w:p>
    <w:p>
      <w:pPr>
        <w:pStyle w:val="ListParagraph"/>
        <w:numPr>
          <w:ilvl w:val="0"/>
          <w:numId w:val="2"/>
        </w:numPr>
        <w:spacing w:after="80" w:line="300"/>
      </w:pPr>
      <w:r>
        <w:t xml:space="preserve">A continuation capitalization (independent path) at indicative $25M–$40M / $200M–$400M post-money would be anchored by regional sovereign AI vehicles and tier-1 GCC venture funds.</w:t>
      </w:r>
    </w:p>
    <w:p>
      <w:pPr>
        <w:pStyle w:val="ListParagraph"/>
        <w:numPr>
          <w:ilvl w:val="0"/>
          <w:numId w:val="2"/>
        </w:numPr>
        <w:spacing w:after="80" w:line="300"/>
      </w:pPr>
      <w:r>
        <w:t xml:space="preserve">Begin local-exchange listing preparation if pursuing the regional IPO pipeline.</w:t>
      </w:r>
    </w:p>
    <w:p>
      <w:pPr>
        <w:pStyle w:val="Heading2"/>
        <w:spacing w:after="180" w:before="360"/>
      </w:pPr>
      <w:r>
        <w:rPr>
          <w:b/>
          <w:bCs/>
          <w:color w:val="087E8B"/>
        </w:rPr>
        <w:t xml:space="preserve">7.2  Channel Strategy</w:t>
      </w:r>
    </w:p>
    <w:p>
      <w:pPr>
        <w:pStyle w:val="Heading3"/>
        <w:spacing w:after="120" w:before="240"/>
      </w:pPr>
      <w:r>
        <w:rPr>
          <w:b/>
          <w:bCs/>
          <w:color w:val="1A1A2E"/>
        </w:rPr>
        <w:t xml:space="preserve">Direct enterprise sales (40% of revenue)</w:t>
      </w:r>
    </w:p>
    <w:p>
      <w:pPr>
        <w:spacing w:after="160" w:line="320"/>
        <w:jc w:val="both"/>
      </w:pPr>
      <w:r>
        <w:t xml:space="preserve">Required for Tier-1 deployments at sovereign AI vehicles, national energy operators, national petrochemical leaders, and government. Long sales cycles (6–12 months); high contract values ($500K–$3M per deal); requires Saudi-based field organization with appropriate clearances and language fluency.</w:t>
      </w:r>
    </w:p>
    <w:p>
      <w:pPr>
        <w:pStyle w:val="Heading3"/>
        <w:spacing w:after="120" w:before="240"/>
      </w:pPr>
      <w:r>
        <w:rPr>
          <w:b/>
          <w:bCs/>
          <w:color w:val="1A1A2E"/>
        </w:rPr>
        <w:t xml:space="preserve">Cloud marketplace distribution (35% of revenue)</w:t>
      </w:r>
    </w:p>
    <w:p>
      <w:pPr>
        <w:spacing w:after="160" w:line="320"/>
        <w:jc w:val="both"/>
      </w:pPr>
      <w:r>
        <w:t xml:space="preserve">Distribute LCA as a managed service through the sovereign AI cloud offering and major hyperscaler Saudi regions. Lower contract values ($20K–$200K) but higher volume; suitable for mid-market enterprises and government departments below the Tier-1 line.</w:t>
      </w:r>
    </w:p>
    <w:p>
      <w:pPr>
        <w:pStyle w:val="Heading3"/>
        <w:spacing w:after="120" w:before="240"/>
      </w:pPr>
      <w:r>
        <w:rPr>
          <w:b/>
          <w:bCs/>
          <w:color w:val="1A1A2E"/>
        </w:rPr>
        <w:t xml:space="preserve">IP licensing (25% of revenue)</w:t>
      </w:r>
    </w:p>
    <w:p>
      <w:pPr>
        <w:spacing w:after="160" w:line="320"/>
        <w:jc w:val="both"/>
      </w:pPr>
      <w:r>
        <w:t xml:space="preserve">Outright IP licenses to foundation-model labs, hardware vendors needing Arabic-optimized acceleration, and possibly to Chinese labs subject to compliance review. Single high-value deals ($5M–$20M); long negotiation cycles; high margin.</w:t>
      </w:r>
    </w:p>
    <w:p>
      <w:pPr>
        <w:pStyle w:val="Heading2"/>
        <w:spacing w:after="180" w:before="360"/>
      </w:pPr>
      <w:r>
        <w:rPr>
          <w:b/>
          <w:bCs/>
          <w:color w:val="087E8B"/>
        </w:rPr>
        <w:t xml:space="preserve">7.3  Partnership Architecture</w:t>
      </w:r>
    </w:p>
    <w:p>
      <w:pPr>
        <w:spacing w:after="160" w:line="320"/>
        <w:jc w:val="both"/>
      </w:pPr>
      <w:r>
        <w:t xml:space="preserve">Recommended partnership stack:</w:t>
      </w:r>
    </w:p>
    <w:p>
      <w:pPr>
        <w:pStyle w:val="ListParagraph"/>
        <w:numPr>
          <w:ilvl w:val="0"/>
          <w:numId w:val="2"/>
        </w:numPr>
        <w:spacing w:after="80" w:line="300"/>
      </w:pPr>
      <w:r>
        <w:t xml:space="preserve">Hardware: leading GPU accelerator vendors (primary), ultra-low-latency inference-hardware vendors (secondary, for Tier-0 attention).</w:t>
      </w:r>
    </w:p>
    <w:p>
      <w:pPr>
        <w:pStyle w:val="ListParagraph"/>
        <w:numPr>
          <w:ilvl w:val="0"/>
          <w:numId w:val="2"/>
        </w:numPr>
        <w:spacing w:after="80" w:line="300"/>
      </w:pPr>
      <w:r>
        <w:t xml:space="preserve">Cloud: sovereign AI cloud (primary), national telecom data-center operators (secondary).</w:t>
      </w:r>
    </w:p>
    <w:p>
      <w:pPr>
        <w:pStyle w:val="ListParagraph"/>
        <w:numPr>
          <w:ilvl w:val="0"/>
          <w:numId w:val="2"/>
        </w:numPr>
        <w:spacing w:after="80" w:line="300"/>
      </w:pPr>
      <w:r>
        <w:t xml:space="preserve">Academic: leading Saudi research universities (research collaboration and talent pipeline); regional AI research universities (joint publications).</w:t>
      </w:r>
    </w:p>
    <w:p>
      <w:pPr>
        <w:pStyle w:val="ListParagraph"/>
        <w:numPr>
          <w:ilvl w:val="0"/>
          <w:numId w:val="2"/>
        </w:numPr>
        <w:spacing w:after="80" w:line="300"/>
      </w:pPr>
      <w:r>
        <w:t xml:space="preserve">Government affairs: dedicated liaison with the national AI authority; participation in national AI center working groups.</w:t>
      </w:r>
    </w:p>
    <w:p>
      <w:pPr>
        <w:pStyle w:val="ListParagraph"/>
        <w:numPr>
          <w:ilvl w:val="0"/>
          <w:numId w:val="2"/>
        </w:numPr>
        <w:spacing w:after="80" w:line="300"/>
      </w:pPr>
      <w:r>
        <w:t xml:space="preserve">Religious/cultural advisory: leading Saudi Islamic studies departments and faculties, for religious-context training data curation.</w:t>
      </w:r>
    </w:p>
    <w:p>
      <w:r>
        <w:br w:type="page"/>
      </w:r>
    </w:p>
    <w:p>
      <w:pPr>
        <w:pStyle w:val="Heading1"/>
        <w:spacing w:after="240" w:before="480"/>
      </w:pPr>
      <w:r>
        <w:rPr>
          <w:b/>
          <w:bCs/>
          <w:color w:val="0B3954"/>
        </w:rPr>
        <w:t xml:space="preserve">8.  Financial Model</w:t>
      </w:r>
    </w:p>
    <w:p>
      <w:pPr>
        <w:pStyle w:val="Heading2"/>
        <w:spacing w:after="180" w:before="360"/>
      </w:pPr>
      <w:r>
        <w:rPr>
          <w:b/>
          <w:bCs/>
          <w:color w:val="087E8B"/>
        </w:rPr>
        <w:t xml:space="preserve">8.1  18-Month Cost Structure (Pre-Revenue)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Category</w:t>
            </w:r>
          </w:p>
        </w:tc>
        <w:tc>
          <w:tcPr>
            <w:tcW w:type="dxa" w:w="179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0–6 ($K)</w:t>
            </w:r>
          </w:p>
        </w:tc>
        <w:tc>
          <w:tcPr>
            <w:tcW w:type="dxa" w:w="179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7–12 ($K)</w:t>
            </w:r>
          </w:p>
        </w:tc>
        <w:tc>
          <w:tcPr>
            <w:tcW w:type="dxa" w:w="179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13–18 ($K)</w:t>
            </w:r>
          </w:p>
        </w:tc>
        <w:tc>
          <w:tcPr>
            <w:tcW w:type="dxa" w:w="179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Total ($K)</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Personnel (research)</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420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540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640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1,600</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Personnel (engineering)</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180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320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480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980</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Personnel (commercial)</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120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360</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Compute (training)</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180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320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260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760</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Compute (experimentation)</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90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250</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Patent prosecution</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90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190</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Legal / corporate / advisory</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120</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Conferences, publications, PR</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80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160</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Hardware, software, tools</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130</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General &amp; administrative</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35</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55</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70</w:t>
            </w:r>
          </w:p>
        </w:tc>
        <w:tc>
          <w:tcPr>
            <w:tcW w:type="dxa" w:w="179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160</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Total</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1,025</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1,675</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2,010</w:t>
            </w:r>
          </w:p>
        </w:tc>
        <w:tc>
          <w:tcPr>
            <w:tcW w:type="dxa" w:w="179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4,710</w:t>
            </w:r>
          </w:p>
        </w:tc>
      </w:tr>
    </w:tbl>
    <w:p>
      <w:pPr>
        <w:spacing w:after="200"/>
      </w:pPr>
      <w:r>
        <w:t xml:space="preserve"/>
      </w:r>
    </w:p>
    <w:p>
      <w:pPr>
        <w:spacing w:after="160" w:line="320"/>
        <w:jc w:val="both"/>
      </w:pPr>
      <w:r>
        <w:t xml:space="preserve">The total 18-month operating cost is approximately $4.7M. With a 12% contingency reserve, the indicative total budget is $5.2M, conservatively rounded to $5M for round-number reference. The $4.2M figure cited in the Executive Summary reflects the core uses; the additional $0.8M provides reserve for risk events identified in Section 10. These figures are presented as an academic feasibility estimate, not as a funding solicitation.</w:t>
      </w:r>
    </w:p>
    <w:p>
      <w:pPr>
        <w:pStyle w:val="Heading2"/>
        <w:spacing w:after="180" w:before="360"/>
      </w:pPr>
      <w:r>
        <w:rPr>
          <w:b/>
          <w:bCs/>
          <w:color w:val="087E8B"/>
        </w:rPr>
        <w:t xml:space="preserve">8.2  Revenue Projections (Months 18–60)</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Revenue Stream</w:t>
            </w:r>
          </w:p>
        </w:tc>
        <w:tc>
          <w:tcPr>
            <w:tcW w:type="dxa" w:w="174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Yr 2 ($K)</w:t>
            </w:r>
          </w:p>
        </w:tc>
        <w:tc>
          <w:tcPr>
            <w:tcW w:type="dxa" w:w="174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Yr 3 ($K)</w:t>
            </w:r>
          </w:p>
        </w:tc>
        <w:tc>
          <w:tcPr>
            <w:tcW w:type="dxa" w:w="174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Yr 4 ($K)</w:t>
            </w:r>
          </w:p>
        </w:tc>
        <w:tc>
          <w:tcPr>
            <w:tcW w:type="dxa" w:w="174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Yr 5 ($K)</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Sovereign AI pilot / license</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6,000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11,000</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Saudi gov / national champions</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900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2,800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5,400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8,200</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GCC enterprises</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900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2,200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4,000</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Cloud marketplace (LCA-as-Service)</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2,800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6,500</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IP licensing (global labs)</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5,000</w:t>
            </w:r>
          </w:p>
        </w:tc>
        <w:tc>
          <w:tcPr>
            <w:tcW w:type="dxa" w:w="174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12,000</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Total ARR</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1,700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6,700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21,400</w:t>
            </w:r>
          </w:p>
        </w:tc>
        <w:tc>
          <w:tcPr>
            <w:tcW w:type="dxa" w:w="174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41,700</w:t>
            </w:r>
          </w:p>
        </w:tc>
      </w:tr>
    </w:tbl>
    <w:p>
      <w:pPr>
        <w:spacing w:after="200"/>
      </w:pPr>
      <w:r>
        <w:t xml:space="preserve"/>
      </w:r>
    </w:p>
    <w:p>
      <w:pPr>
        <w:spacing w:after="160" w:line="320"/>
        <w:jc w:val="both"/>
      </w:pPr>
      <w:r>
        <w:t xml:space="preserve">The Year-5 ARR of $41.7M reflects conservative assumptions: the sovereign AI vehicle adopts LCA as one of several efficiency layers rather than as primary architecture; the global IP licensing pipeline closes only two deals over the five-year horizon; the cloud marketplace channel ramps slowly due to enterprise procurement cycles. A more aggressive scenario (sovereign adoption of LCA as primary architecture for at least one foundation model family) yields Year-5 ARR of $95M–$130M.</w:t>
      </w:r>
    </w:p>
    <w:p>
      <w:pPr>
        <w:pStyle w:val="Heading2"/>
        <w:spacing w:after="180" w:before="360"/>
      </w:pPr>
      <w:r>
        <w:rPr>
          <w:b/>
          <w:bCs/>
          <w:color w:val="087E8B"/>
        </w:rPr>
        <w:t xml:space="preserve">8.3  Valuation Path</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Milestone</w:t>
            </w:r>
          </w:p>
        </w:tc>
        <w:tc>
          <w:tcPr>
            <w:tcW w:type="dxa" w:w="2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Indicative Valuation</w:t>
            </w:r>
          </w:p>
        </w:tc>
        <w:tc>
          <w:tcPr>
            <w:tcW w:type="dxa" w:w="43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Comparable / Anchor</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Pre-seed (today)</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$15M – $25M</w:t>
            </w:r>
          </w:p>
        </w:tc>
        <w:tc>
          <w:tcPr>
            <w:tcW w:type="dxa" w:w="4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Pre-product AI research spinouts</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Indicative seed-stage milestone</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$35M – $55M</w:t>
            </w:r>
          </w:p>
        </w:tc>
        <w:tc>
          <w:tcPr>
            <w:tcW w:type="dxa" w:w="4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Early-stage AI research-spinout peers</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Series A (month 24, with pilots)</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$200M – $400M</w:t>
            </w:r>
          </w:p>
        </w:tc>
        <w:tc>
          <w:tcPr>
            <w:tcW w:type="dxa" w:w="4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Frontier-lab seed peers and regional sovereign-portfolio comparables</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Series B (month 42, with $20M ARR)</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$1B – $2B</w:t>
            </w:r>
          </w:p>
        </w:tc>
        <w:tc>
          <w:tcPr>
            <w:tcW w:type="dxa" w:w="4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Mid-stage frontier-lab comparables</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Exit / strategic transaction</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$1.5B – $4B</w:t>
            </w:r>
          </w:p>
        </w:tc>
        <w:tc>
          <w:tcPr>
            <w:tcW w:type="dxa" w:w="4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Recent strategic-acquisition comparables in frontier AI</w:t>
            </w:r>
          </w:p>
        </w:tc>
      </w:tr>
    </w:tbl>
    <w:p>
      <w:pPr>
        <w:spacing w:after="200"/>
      </w:pPr>
      <w:r>
        <w:t xml:space="preserve"/>
      </w:r>
    </w:p>
    <w:p>
      <w:pPr>
        <w:spacing w:after="160" w:line="320"/>
        <w:jc w:val="both"/>
      </w:pPr>
      <w:r>
        <w:t xml:space="preserve">The strategic acquirer set willing to pay at the top of these ranges is small but high-conviction: regional sovereign AI vehicles, major hyperscalers expanding their Saudi footprint, and global frontier-model labs seeking to close the Arabic capability gap. Any of these acquirers would justify the valuation through a combination of cost-of-Arabic-deployment savings (worth &gt;$500M annually at sovereign scale), defensive positioning against competitors, and IP portfolio acquisition.</w:t>
      </w:r>
    </w:p>
    <w:p>
      <w:r>
        <w:br w:type="page"/>
      </w:r>
    </w:p>
    <w:p>
      <w:pPr>
        <w:pStyle w:val="Heading1"/>
        <w:spacing w:after="240" w:before="480"/>
      </w:pPr>
      <w:r>
        <w:rPr>
          <w:b/>
          <w:bCs/>
          <w:color w:val="0B3954"/>
        </w:rPr>
        <w:t xml:space="preserve">9.  Technical and Commercial Risks</w:t>
      </w:r>
    </w:p>
    <w:p>
      <w:pPr>
        <w:pStyle w:val="Heading2"/>
        <w:spacing w:after="180" w:before="360"/>
      </w:pPr>
      <w:r>
        <w:rPr>
          <w:b/>
          <w:bCs/>
          <w:color w:val="087E8B"/>
        </w:rPr>
        <w:t xml:space="preserve">9.1  Technical Risks</w:t>
      </w:r>
    </w:p>
    <w:p>
      <w:pPr>
        <w:pStyle w:val="Heading3"/>
        <w:spacing w:after="120" w:before="240"/>
      </w:pPr>
      <w:r>
        <w:rPr>
          <w:b/>
          <w:bCs/>
          <w:color w:val="1A1A2E"/>
        </w:rPr>
        <w:t xml:space="preserve">R1 — Scaling behavior unclear above 7B parameters</w:t>
      </w:r>
    </w:p>
    <w:p>
      <w:pPr>
        <w:spacing w:after="160" w:line="320"/>
        <w:jc w:val="both"/>
      </w:pPr>
      <w:r>
        <w:t xml:space="preserve">Most published long-context compression methods are validated only at scales ≤10B parameters. LCA's combination of mechanisms may interact unexpectedly at frontier scales (70B+). Mitigation: scaling-law experiments are built into the Phase 1 work plan; partnership with a major compute provider (regional sovereign cloud or international hyperscaler) provides necessary GPU access; collaboration with leading Saudi research universities provides academic-grade validation.</w:t>
      </w:r>
    </w:p>
    <w:p>
      <w:pPr>
        <w:pStyle w:val="Heading3"/>
        <w:spacing w:after="120" w:before="240"/>
      </w:pPr>
      <w:r>
        <w:rPr>
          <w:b/>
          <w:bCs/>
          <w:color w:val="1A1A2E"/>
        </w:rPr>
        <w:t xml:space="preserve">R2 — Morphological pre-encoder quality bottleneck</w:t>
      </w:r>
    </w:p>
    <w:p>
      <w:pPr>
        <w:spacing w:after="160" w:line="320"/>
        <w:jc w:val="both"/>
      </w:pPr>
      <w:r>
        <w:t xml:space="preserve">The MPE depends on accurate root-pattern decomposition for Arabic. Current Arabic morphological analyzers (Farasa, MADAMIRA, CAMeL Tools) have known accuracy ceilings (88–93% for MSA, lower for dialect). Mitigation: parallel development of a learned morphological segmentation module trained on a curated dataset combining CAMeL Tools output, Quranic morphological annotations, and Arabic Treebank gold standards; we estimate the learned variant can reach 96–97% accuracy on MSA within Phase 1.</w:t>
      </w:r>
    </w:p>
    <w:p>
      <w:pPr>
        <w:pStyle w:val="Heading3"/>
        <w:spacing w:after="120" w:before="240"/>
      </w:pPr>
      <w:r>
        <w:rPr>
          <w:b/>
          <w:bCs/>
          <w:color w:val="1A1A2E"/>
        </w:rPr>
        <w:t xml:space="preserve">R3 — Geodesic recall does not scale to large topological graphs</w:t>
      </w:r>
    </w:p>
    <w:p>
      <w:pPr>
        <w:spacing w:after="160" w:line="320"/>
        <w:jc w:val="both"/>
      </w:pPr>
      <w:r>
        <w:t xml:space="preserve">As context length grows, the topological tier can grow large, making geodesic-path computation expensive. Mitigation: hierarchical graph clustering (k-means at insertion time) bounds graph size; approximate shortest-path algorithms (landmark routing) provide sub-linear query complexity; in worst case, fall back to a Mamba-style state-space recall.</w:t>
      </w:r>
    </w:p>
    <w:p>
      <w:pPr>
        <w:pStyle w:val="Heading2"/>
        <w:spacing w:after="180" w:before="360"/>
      </w:pPr>
      <w:r>
        <w:rPr>
          <w:b/>
          <w:bCs/>
          <w:color w:val="087E8B"/>
        </w:rPr>
        <w:t xml:space="preserve">9.2  Commercial Risks</w:t>
      </w:r>
    </w:p>
    <w:p>
      <w:pPr>
        <w:pStyle w:val="Heading3"/>
        <w:spacing w:after="120" w:before="240"/>
      </w:pPr>
      <w:r>
        <w:rPr>
          <w:b/>
          <w:bCs/>
          <w:color w:val="1A1A2E"/>
        </w:rPr>
        <w:t xml:space="preserve">R4 — Sovereign AI vehicle builds in-house Arabic LLM that obviates need for licensing</w:t>
      </w:r>
    </w:p>
    <w:p>
      <w:pPr>
        <w:spacing w:after="160" w:line="320"/>
        <w:jc w:val="both"/>
      </w:pPr>
      <w:r>
        <w:t xml:space="preserve">The regional sovereign AI vehicle has the capital and mandate to develop sovereign Arabic LLMs internally. Mitigation: position LCA from the start as a partner rather than competitor; structure first commercial conversations as either acquisition or strategic equity participation rather than pure licensing; ensure patent filings cover claim space the sovereign would need to navigate.</w:t>
      </w:r>
    </w:p>
    <w:p>
      <w:pPr>
        <w:pStyle w:val="Heading3"/>
        <w:spacing w:after="120" w:before="240"/>
      </w:pPr>
      <w:r>
        <w:rPr>
          <w:b/>
          <w:bCs/>
          <w:color w:val="1A1A2E"/>
        </w:rPr>
        <w:t xml:space="preserve">R5 — Foundation-model labs solve Arabic via brute-force data scaling</w:t>
      </w:r>
    </w:p>
    <w:p>
      <w:pPr>
        <w:spacing w:after="160" w:line="320"/>
        <w:jc w:val="both"/>
      </w:pPr>
      <w:r>
        <w:t xml:space="preserve">Global frontier labs may close the Arabic gap by scaling Arabic training data sharply, reducing the structural advantage of an Arabic-native architecture. Mitigation: tokenization-tax problem is structural and persists regardless of training data volume; emphasize cost-per-token efficiency in pitch materials, not just quality; build defensible patents on the architectural claims rather than relying on data moats.</w:t>
      </w:r>
    </w:p>
    <w:p>
      <w:pPr>
        <w:pStyle w:val="Heading3"/>
        <w:spacing w:after="120" w:before="240"/>
      </w:pPr>
      <w:r>
        <w:rPr>
          <w:b/>
          <w:bCs/>
          <w:color w:val="1A1A2E"/>
        </w:rPr>
        <w:t xml:space="preserve">R6 — Saudi geopolitical or fiscal disruption</w:t>
      </w:r>
    </w:p>
    <w:p>
      <w:pPr>
        <w:spacing w:after="160" w:line="320"/>
        <w:jc w:val="both"/>
      </w:pPr>
      <w:r>
        <w:t xml:space="preserve">Regional sovereign-fund fiscal position has tightened per recent reporting, and regional security events could delay sovereign AI deployment timelines. Mitigation: diversify pilot deployments across at least two GCC jurisdictions (Saudi primary, UAE secondary); maintain credible global IP licensing path independent of Saudi outcomes; structure commercial deals with milestone-based payment to limit working-capital exposure.</w:t>
      </w:r>
    </w:p>
    <w:p>
      <w:pPr>
        <w:pStyle w:val="Heading2"/>
        <w:spacing w:after="180" w:before="360"/>
      </w:pPr>
      <w:r>
        <w:rPr>
          <w:b/>
          <w:bCs/>
          <w:color w:val="087E8B"/>
        </w:rPr>
        <w:t xml:space="preserve">9.3  Execution Risks</w:t>
      </w:r>
    </w:p>
    <w:p>
      <w:pPr>
        <w:pStyle w:val="Heading3"/>
        <w:spacing w:after="120" w:before="240"/>
      </w:pPr>
      <w:r>
        <w:rPr>
          <w:b/>
          <w:bCs/>
          <w:color w:val="1A1A2E"/>
        </w:rPr>
        <w:t xml:space="preserve">R7 — Talent acquisition in Saudi remains competitive</w:t>
      </w:r>
    </w:p>
    <w:p>
      <w:pPr>
        <w:spacing w:after="160" w:line="320"/>
        <w:jc w:val="both"/>
      </w:pPr>
      <w:r>
        <w:t xml:space="preserve">With regional sovereign vehicles, national AI authorities, and global labs all hiring AI talent into Saudi, salary inflation and key-person dependency are real. Mitigation: distributed team (Saudi-anchored, with remote contributors in UAE, Egypt, Jordan, Pakistan, India); equity compensation aggressive enough to compete with sovereign packages; leading Saudi university pipeline relationships for fresh PhD talent.</w:t>
      </w:r>
    </w:p>
    <w:p>
      <w:pPr>
        <w:pStyle w:val="Heading3"/>
        <w:spacing w:after="120" w:before="240"/>
      </w:pPr>
      <w:r>
        <w:rPr>
          <w:b/>
          <w:bCs/>
          <w:color w:val="1A1A2E"/>
        </w:rPr>
        <w:t xml:space="preserve">R8 — Inventor-CEO concentration risk</w:t>
      </w:r>
    </w:p>
    <w:p>
      <w:pPr>
        <w:spacing w:after="160" w:line="320"/>
        <w:jc w:val="both"/>
      </w:pPr>
      <w:r>
        <w:t xml:space="preserve">As founder-CEO with deep technical involvement, departure or incapacity would materially impair execution. Mitigation: early hire of Technical Co-Founder / CTO with frontier-LLM track record; documentation discipline (architecture documents, training recipes, deployment runbooks all version-controlled); board governance from month 6 onward.</w:t>
      </w:r>
    </w:p>
    <w:p>
      <w:r>
        <w:br w:type="page"/>
      </w:r>
    </w:p>
    <w:p>
      <w:pPr>
        <w:pStyle w:val="Heading1"/>
        <w:spacing w:after="240" w:before="480"/>
      </w:pPr>
      <w:r>
        <w:rPr>
          <w:b/>
          <w:bCs/>
          <w:color w:val="0B3954"/>
        </w:rPr>
        <w:t xml:space="preserve">10.  18-Month Execution Roadmap</w:t>
      </w:r>
    </w:p>
    <w:p>
      <w:pPr>
        <w:spacing w:after="160" w:line="320"/>
        <w:jc w:val="both"/>
      </w:pPr>
      <w:r>
        <w:t xml:space="preserve">This roadmap is structured around four parallel workstreams: Research, Engineering, Commercial, and Corporate. Each workstream has named milestones tied to objective deliverables.</w:t>
      </w:r>
    </w:p>
    <w:p>
      <w:pPr>
        <w:pStyle w:val="Heading2"/>
        <w:spacing w:after="180" w:before="360"/>
      </w:pPr>
      <w:r>
        <w:rPr>
          <w:b/>
          <w:bCs/>
          <w:color w:val="087E8B"/>
        </w:rPr>
        <w:t xml:space="preserve">10.1  Research Workstream</w:t>
      </w:r>
    </w:p>
    <w:p>
      <w:pPr>
        <w:pStyle w:val="ListParagraph"/>
        <w:numPr>
          <w:ilvl w:val="0"/>
          <w:numId w:val="2"/>
        </w:numPr>
        <w:spacing w:after="80" w:line="300"/>
      </w:pPr>
      <w:r>
        <w:t xml:space="preserve">M1–M3: Reproduce baseline Infini-attention, DAST, and ATACompressor results to establish internal benchmarking infrastructure.</w:t>
      </w:r>
    </w:p>
    <w:p>
      <w:pPr>
        <w:pStyle w:val="ListParagraph"/>
        <w:numPr>
          <w:ilvl w:val="0"/>
          <w:numId w:val="2"/>
        </w:numPr>
        <w:spacing w:after="80" w:line="300"/>
      </w:pPr>
      <w:r>
        <w:t xml:space="preserve">M2–M4: Build Morphological Pre-Encoder prototype using Farasa + CAMeL Tools as initial decomposers; validate on Arabic Treebank gold standard.</w:t>
      </w:r>
    </w:p>
    <w:p>
      <w:pPr>
        <w:pStyle w:val="ListParagraph"/>
        <w:numPr>
          <w:ilvl w:val="0"/>
          <w:numId w:val="2"/>
        </w:numPr>
        <w:spacing w:after="80" w:line="300"/>
      </w:pPr>
      <w:r>
        <w:t xml:space="preserve">M4–M7: Train first end-to-end LCA model at 350M parameter scale; demonstrate quality parity with baseline on OALL benchmark suite at lower inference cost.</w:t>
      </w:r>
    </w:p>
    <w:p>
      <w:pPr>
        <w:pStyle w:val="ListParagraph"/>
        <w:numPr>
          <w:ilvl w:val="0"/>
          <w:numId w:val="2"/>
        </w:numPr>
        <w:spacing w:after="80" w:line="300"/>
      </w:pPr>
      <w:r>
        <w:t xml:space="preserve">M7–M10: Scale to 1.3B parameters; submit first publication to ACL 2027 or EMNLP 2026.</w:t>
      </w:r>
    </w:p>
    <w:p>
      <w:pPr>
        <w:pStyle w:val="ListParagraph"/>
        <w:numPr>
          <w:ilvl w:val="0"/>
          <w:numId w:val="2"/>
        </w:numPr>
        <w:spacing w:after="80" w:line="300"/>
      </w:pPr>
      <w:r>
        <w:t xml:space="preserve">M10–M15: Scale to 7B parameters; second publication targeting NeurIPS 2026.</w:t>
      </w:r>
    </w:p>
    <w:p>
      <w:pPr>
        <w:pStyle w:val="ListParagraph"/>
        <w:numPr>
          <w:ilvl w:val="0"/>
          <w:numId w:val="2"/>
        </w:numPr>
        <w:spacing w:after="80" w:line="300"/>
      </w:pPr>
      <w:r>
        <w:t xml:space="preserve">M15–M18: Begin 13B parameter scaling experiments; prepare technical report establishing scaling laws for the architecture.</w:t>
      </w:r>
    </w:p>
    <w:p>
      <w:pPr>
        <w:pStyle w:val="Heading2"/>
        <w:spacing w:after="180" w:before="360"/>
      </w:pPr>
      <w:r>
        <w:rPr>
          <w:b/>
          <w:bCs/>
          <w:color w:val="087E8B"/>
        </w:rPr>
        <w:t xml:space="preserve">10.2  Engineering Workstream</w:t>
      </w:r>
    </w:p>
    <w:p>
      <w:pPr>
        <w:pStyle w:val="ListParagraph"/>
        <w:numPr>
          <w:ilvl w:val="0"/>
          <w:numId w:val="2"/>
        </w:numPr>
        <w:spacing w:after="80" w:line="300"/>
      </w:pPr>
      <w:r>
        <w:t xml:space="preserve">M1–M2: Establish reproducible training infrastructure on a hyperscaler Saudi region or sovereign-affiliated compute.</w:t>
      </w:r>
    </w:p>
    <w:p>
      <w:pPr>
        <w:pStyle w:val="ListParagraph"/>
        <w:numPr>
          <w:ilvl w:val="0"/>
          <w:numId w:val="2"/>
        </w:numPr>
        <w:spacing w:after="80" w:line="300"/>
      </w:pPr>
      <w:r>
        <w:t xml:space="preserve">M3–M6: Build LCA-Serve, the inference runtime, with first-class support for Tier-0/1/2 manifold operations.</w:t>
      </w:r>
    </w:p>
    <w:p>
      <w:pPr>
        <w:pStyle w:val="ListParagraph"/>
        <w:numPr>
          <w:ilvl w:val="0"/>
          <w:numId w:val="2"/>
        </w:numPr>
        <w:spacing w:after="80" w:line="300"/>
      </w:pPr>
      <w:r>
        <w:t xml:space="preserve">M6–M9: Integrate LCA-Serve with HuggingFace Transformers ecosystem for community adoption.</w:t>
      </w:r>
    </w:p>
    <w:p>
      <w:pPr>
        <w:pStyle w:val="ListParagraph"/>
        <w:numPr>
          <w:ilvl w:val="0"/>
          <w:numId w:val="2"/>
        </w:numPr>
        <w:spacing w:after="80" w:line="300"/>
      </w:pPr>
      <w:r>
        <w:t xml:space="preserve">M9–M12: Optimize for leading GPU accelerator families and, where applicable, regional ultra-low-latency inference hardware.</w:t>
      </w:r>
    </w:p>
    <w:p>
      <w:pPr>
        <w:pStyle w:val="ListParagraph"/>
        <w:numPr>
          <w:ilvl w:val="0"/>
          <w:numId w:val="2"/>
        </w:numPr>
        <w:spacing w:after="80" w:line="300"/>
      </w:pPr>
      <w:r>
        <w:t xml:space="preserve">M12–M18: Build enterprise deployment toolkit including monitoring, A/B testing harness, and sovereign-cloud deployment templates.</w:t>
      </w:r>
    </w:p>
    <w:p>
      <w:pPr>
        <w:pStyle w:val="Heading2"/>
        <w:spacing w:after="180" w:before="360"/>
      </w:pPr>
      <w:r>
        <w:rPr>
          <w:b/>
          <w:bCs/>
          <w:color w:val="087E8B"/>
        </w:rPr>
        <w:t xml:space="preserve">10.3  Commercial Workstream</w:t>
      </w:r>
    </w:p>
    <w:p>
      <w:pPr>
        <w:pStyle w:val="ListParagraph"/>
        <w:numPr>
          <w:ilvl w:val="0"/>
          <w:numId w:val="2"/>
        </w:numPr>
        <w:spacing w:after="80" w:line="300"/>
      </w:pPr>
      <w:r>
        <w:t xml:space="preserve">M3–M6: Establish initial conversations with the regional sovereign AI vehicle's corporate development, national AI authority leadership, and the AI offices at major Saudi national champions.</w:t>
      </w:r>
    </w:p>
    <w:p>
      <w:pPr>
        <w:pStyle w:val="ListParagraph"/>
        <w:numPr>
          <w:ilvl w:val="0"/>
          <w:numId w:val="2"/>
        </w:numPr>
        <w:spacing w:after="80" w:line="300"/>
      </w:pPr>
      <w:r>
        <w:t xml:space="preserve">M6–M9: Convert at least one conversation into a signed MOU for technical evaluation.</w:t>
      </w:r>
    </w:p>
    <w:p>
      <w:pPr>
        <w:pStyle w:val="ListParagraph"/>
        <w:numPr>
          <w:ilvl w:val="0"/>
          <w:numId w:val="2"/>
        </w:numPr>
        <w:spacing w:after="80" w:line="300"/>
      </w:pPr>
      <w:r>
        <w:t xml:space="preserve">M9–M12: Sign first paid pilot (target: a sovereign-portfolio entity, $400K–$800K).</w:t>
      </w:r>
    </w:p>
    <w:p>
      <w:pPr>
        <w:pStyle w:val="ListParagraph"/>
        <w:numPr>
          <w:ilvl w:val="0"/>
          <w:numId w:val="2"/>
        </w:numPr>
        <w:spacing w:after="80" w:line="300"/>
      </w:pPr>
      <w:r>
        <w:t xml:space="preserve">M12–M15: Sign second pilot (target: government entity, $600K–$1.2M).</w:t>
      </w:r>
    </w:p>
    <w:p>
      <w:pPr>
        <w:pStyle w:val="ListParagraph"/>
        <w:numPr>
          <w:ilvl w:val="0"/>
          <w:numId w:val="2"/>
        </w:numPr>
        <w:spacing w:after="80" w:line="300"/>
      </w:pPr>
      <w:r>
        <w:t xml:space="preserve">M15–M18: Convert at least one pilot to multi-year license; begin Series A conversations.</w:t>
      </w:r>
    </w:p>
    <w:p>
      <w:pPr>
        <w:pStyle w:val="Heading2"/>
        <w:spacing w:after="180" w:before="360"/>
      </w:pPr>
      <w:r>
        <w:rPr>
          <w:b/>
          <w:bCs/>
          <w:color w:val="087E8B"/>
        </w:rPr>
        <w:t xml:space="preserve">10.4  Corporate Workstream</w:t>
      </w:r>
    </w:p>
    <w:p>
      <w:pPr>
        <w:pStyle w:val="ListParagraph"/>
        <w:numPr>
          <w:ilvl w:val="0"/>
          <w:numId w:val="2"/>
        </w:numPr>
        <w:spacing w:after="80" w:line="300"/>
      </w:pPr>
      <w:r>
        <w:t xml:space="preserve">M1–M2: Saudi entity formation under ARKANE AI umbrella; national IP registration; tax/zakat registration.</w:t>
      </w:r>
    </w:p>
    <w:p>
      <w:pPr>
        <w:pStyle w:val="ListParagraph"/>
        <w:numPr>
          <w:ilvl w:val="0"/>
          <w:numId w:val="2"/>
        </w:numPr>
        <w:spacing w:after="80" w:line="300"/>
      </w:pPr>
      <w:r>
        <w:t xml:space="preserve">M2–M4: First provisional patent filing in US; engage outside IP counsel with combined ML and Arabic-NLP expertise.</w:t>
      </w:r>
    </w:p>
    <w:p>
      <w:pPr>
        <w:pStyle w:val="ListParagraph"/>
        <w:numPr>
          <w:ilvl w:val="0"/>
          <w:numId w:val="2"/>
        </w:numPr>
        <w:spacing w:after="80" w:line="300"/>
      </w:pPr>
      <w:r>
        <w:t xml:space="preserve">M4–M6: Establish technical advisory board with at least one figure from a leading Saudi AI research institution, one from a regional GCC AI research university, and one from a US/EU frontier lab.</w:t>
      </w:r>
    </w:p>
    <w:p>
      <w:pPr>
        <w:pStyle w:val="ListParagraph"/>
        <w:numPr>
          <w:ilvl w:val="0"/>
          <w:numId w:val="2"/>
        </w:numPr>
        <w:spacing w:after="80" w:line="300"/>
      </w:pPr>
      <w:r>
        <w:t xml:space="preserve">M6–M9: First seed round close ($5M target).</w:t>
      </w:r>
    </w:p>
    <w:p>
      <w:pPr>
        <w:pStyle w:val="ListParagraph"/>
        <w:numPr>
          <w:ilvl w:val="0"/>
          <w:numId w:val="2"/>
        </w:numPr>
        <w:spacing w:after="80" w:line="300"/>
      </w:pPr>
      <w:r>
        <w:t xml:space="preserve">M9–M12: Full PCT filing; engage a GCC-side IP firm for regional patent strategy.</w:t>
      </w:r>
    </w:p>
    <w:p>
      <w:pPr>
        <w:pStyle w:val="ListParagraph"/>
        <w:numPr>
          <w:ilvl w:val="0"/>
          <w:numId w:val="2"/>
        </w:numPr>
        <w:spacing w:after="80" w:line="300"/>
      </w:pPr>
      <w:r>
        <w:t xml:space="preserve">M12–M18: Begin Series A preparation; financial audit; board governance formalization.</w:t>
      </w:r>
    </w:p>
    <w:p>
      <w:r>
        <w:br w:type="page"/>
      </w:r>
    </w:p>
    <w:p>
      <w:pPr>
        <w:pStyle w:val="Heading1"/>
        <w:spacing w:after="240" w:before="480"/>
      </w:pPr>
      <w:r>
        <w:rPr>
          <w:b/>
          <w:bCs/>
          <w:color w:val="0B3954"/>
        </w:rPr>
        <w:t xml:space="preserve">11.  Team Architecture and Hiring Plan</w:t>
      </w:r>
    </w:p>
    <w:p>
      <w:pPr>
        <w:pStyle w:val="Heading2"/>
        <w:spacing w:after="180" w:before="360"/>
      </w:pPr>
      <w:r>
        <w:rPr>
          <w:b/>
          <w:bCs/>
          <w:color w:val="087E8B"/>
        </w:rPr>
        <w:t xml:space="preserve">11.1  Founding Team (Months 0–3)</w:t>
      </w:r>
    </w:p>
    <w:p>
      <w:pPr>
        <w:spacing w:after="160" w:line="320"/>
        <w:jc w:val="both"/>
      </w:pPr>
      <w:r>
        <w:t xml:space="preserve">The founding team is structured to combine deep technical leadership, commercial competence in the Saudi market, and operational discipline. Roles:</w:t>
      </w:r>
    </w:p>
    <w:p>
      <w:pPr>
        <w:pStyle w:val="Heading3"/>
        <w:spacing w:after="120" w:before="240"/>
      </w:pPr>
      <w:r>
        <w:rPr>
          <w:b/>
          <w:bCs/>
          <w:color w:val="1A1A2E"/>
        </w:rPr>
        <w:t xml:space="preserve">Founder &amp; CEO — ARKANE AI</w:t>
      </w:r>
    </w:p>
    <w:p>
      <w:pPr>
        <w:spacing w:after="160" w:line="320"/>
        <w:jc w:val="both"/>
      </w:pPr>
      <w:r>
        <w:t xml:space="preserve">Founder of ARKANE AI. Responsibilities: vision, capital allocation, government affairs, and commercial leadership of the LCA program.</w:t>
      </w:r>
    </w:p>
    <w:p>
      <w:pPr>
        <w:pStyle w:val="Heading3"/>
        <w:spacing w:after="120" w:before="240"/>
      </w:pPr>
      <w:r>
        <w:rPr>
          <w:b/>
          <w:bCs/>
          <w:color w:val="1A1A2E"/>
        </w:rPr>
        <w:t xml:space="preserve">Technical Co-Founder / Chief Research Officer — TO BE HIRED</w:t>
      </w:r>
    </w:p>
    <w:p>
      <w:pPr>
        <w:spacing w:after="160" w:line="320"/>
        <w:jc w:val="both"/>
      </w:pPr>
      <w:r>
        <w:t xml:space="preserve">Critical first hire. Profile: PhD in ML/NLP from a top-tier program; 5+ years building transformer-class models at scale; bonus: prior frontier-lab experience or strong Arabic NLP background. Compensation target: $300K cash + 8–14% equity. Recruitment pipeline: leading Saudi and GCC AI research universities, returning Saudi PhD graduates from top international programs.</w:t>
      </w:r>
    </w:p>
    <w:p>
      <w:pPr>
        <w:pStyle w:val="Heading3"/>
        <w:spacing w:after="120" w:before="240"/>
      </w:pPr>
      <w:r>
        <w:rPr>
          <w:b/>
          <w:bCs/>
          <w:color w:val="1A1A2E"/>
        </w:rPr>
        <w:t xml:space="preserve">Founding Engineer — TO BE HIRED</w:t>
      </w:r>
    </w:p>
    <w:p>
      <w:pPr>
        <w:spacing w:after="160" w:line="320"/>
        <w:jc w:val="both"/>
      </w:pPr>
      <w:r>
        <w:t xml:space="preserve">Profile: Strong systems engineering background; experience with distributed training (PyTorch FSDP, Megatron, JAX/Pallas); production inference deployment. Compensation: $220K + 3–5% equity.</w:t>
      </w:r>
    </w:p>
    <w:p>
      <w:pPr>
        <w:pStyle w:val="Heading2"/>
        <w:spacing w:after="180" w:before="360"/>
      </w:pPr>
      <w:r>
        <w:rPr>
          <w:b/>
          <w:bCs/>
          <w:color w:val="087E8B"/>
        </w:rPr>
        <w:t xml:space="preserve">11.2  Phase 1 Build-Out (Months 3–9)</w:t>
      </w:r>
    </w:p>
    <w:p>
      <w:pPr>
        <w:spacing w:after="160" w:line="320"/>
        <w:jc w:val="both"/>
      </w:pPr>
      <w:r>
        <w:t xml:space="preserve">Five additional hires distributed across research and engineering:</w:t>
      </w:r>
    </w:p>
    <w:p>
      <w:pPr>
        <w:pStyle w:val="ListParagraph"/>
        <w:numPr>
          <w:ilvl w:val="0"/>
          <w:numId w:val="2"/>
        </w:numPr>
        <w:spacing w:after="80" w:line="300"/>
      </w:pPr>
      <w:r>
        <w:t xml:space="preserve">Senior Research Scientist (Arabic NLP specialist) — Sourced from leading GCC Arabic-NLP research institutions or returning Arab diaspora.</w:t>
      </w:r>
    </w:p>
    <w:p>
      <w:pPr>
        <w:pStyle w:val="ListParagraph"/>
        <w:numPr>
          <w:ilvl w:val="0"/>
          <w:numId w:val="2"/>
        </w:numPr>
        <w:spacing w:after="80" w:line="300"/>
      </w:pPr>
      <w:r>
        <w:t xml:space="preserve">Senior Research Scientist (Long-context / efficiency) — Sourced internationally; willing to relocate to Riyadh or work remotely from EU/US time zones.</w:t>
      </w:r>
    </w:p>
    <w:p>
      <w:pPr>
        <w:pStyle w:val="ListParagraph"/>
        <w:numPr>
          <w:ilvl w:val="0"/>
          <w:numId w:val="2"/>
        </w:numPr>
        <w:spacing w:after="80" w:line="300"/>
      </w:pPr>
      <w:r>
        <w:t xml:space="preserve">ML Infrastructure Engineer — Sourced from major Saudi technology firms or international relocations.</w:t>
      </w:r>
    </w:p>
    <w:p>
      <w:pPr>
        <w:pStyle w:val="ListParagraph"/>
        <w:numPr>
          <w:ilvl w:val="0"/>
          <w:numId w:val="2"/>
        </w:numPr>
        <w:spacing w:after="80" w:line="300"/>
      </w:pPr>
      <w:r>
        <w:t xml:space="preserve">Applied Research Engineer (Tooling) — Junior-mid level; sourced from leading Saudi AI master's programs and CS departments.</w:t>
      </w:r>
    </w:p>
    <w:p>
      <w:pPr>
        <w:pStyle w:val="ListParagraph"/>
        <w:numPr>
          <w:ilvl w:val="0"/>
          <w:numId w:val="2"/>
        </w:numPr>
        <w:spacing w:after="80" w:line="300"/>
      </w:pPr>
      <w:r>
        <w:t xml:space="preserve">Operations / Chief of Staff — Sourced from top-tier Saudi consulting firms or regional sovereign-portfolio operations.</w:t>
      </w:r>
    </w:p>
    <w:p>
      <w:pPr>
        <w:pStyle w:val="Heading2"/>
        <w:spacing w:after="180" w:before="360"/>
      </w:pPr>
      <w:r>
        <w:rPr>
          <w:b/>
          <w:bCs/>
          <w:color w:val="087E8B"/>
        </w:rPr>
        <w:t xml:space="preserve">11.3  Phase 2 Build-Out (Months 9–18)</w:t>
      </w:r>
    </w:p>
    <w:p>
      <w:pPr>
        <w:spacing w:after="160" w:line="320"/>
        <w:jc w:val="both"/>
      </w:pPr>
      <w:r>
        <w:t xml:space="preserve">Eight additional hires emphasizing commercial readiness:</w:t>
      </w:r>
    </w:p>
    <w:p>
      <w:pPr>
        <w:pStyle w:val="ListParagraph"/>
        <w:numPr>
          <w:ilvl w:val="0"/>
          <w:numId w:val="2"/>
        </w:numPr>
        <w:spacing w:after="80" w:line="300"/>
      </w:pPr>
      <w:r>
        <w:t xml:space="preserve">VP Sales (Saudi-based) — From a peer Saudi technology firm with proven government and enterprise track record.</w:t>
      </w:r>
    </w:p>
    <w:p>
      <w:pPr>
        <w:pStyle w:val="ListParagraph"/>
        <w:numPr>
          <w:ilvl w:val="0"/>
          <w:numId w:val="2"/>
        </w:numPr>
        <w:spacing w:after="80" w:line="300"/>
      </w:pPr>
      <w:r>
        <w:t xml:space="preserve">Two Solution Architects — One Saudi-based, one regional GCC; deep ML deployment background.</w:t>
      </w:r>
    </w:p>
    <w:p>
      <w:pPr>
        <w:pStyle w:val="ListParagraph"/>
        <w:numPr>
          <w:ilvl w:val="0"/>
          <w:numId w:val="2"/>
        </w:numPr>
        <w:spacing w:after="80" w:line="300"/>
      </w:pPr>
      <w:r>
        <w:t xml:space="preserve">Government Affairs Lead — Former national AI authority, ministry, or sovereign-fund staff with active KSA government relationships.</w:t>
      </w:r>
    </w:p>
    <w:p>
      <w:pPr>
        <w:pStyle w:val="ListParagraph"/>
        <w:numPr>
          <w:ilvl w:val="0"/>
          <w:numId w:val="2"/>
        </w:numPr>
        <w:spacing w:after="80" w:line="300"/>
      </w:pPr>
      <w:r>
        <w:t xml:space="preserve">Two additional Research Scientists — Continued research scaling.</w:t>
      </w:r>
    </w:p>
    <w:p>
      <w:pPr>
        <w:pStyle w:val="ListParagraph"/>
        <w:numPr>
          <w:ilvl w:val="0"/>
          <w:numId w:val="2"/>
        </w:numPr>
        <w:spacing w:after="80" w:line="300"/>
      </w:pPr>
      <w:r>
        <w:t xml:space="preserve">Two additional Engineers — One inference optimization, one enterprise integrations.</w:t>
      </w:r>
    </w:p>
    <w:p>
      <w:pPr>
        <w:pStyle w:val="Heading2"/>
        <w:spacing w:after="180" w:before="360"/>
      </w:pPr>
      <w:r>
        <w:rPr>
          <w:b/>
          <w:bCs/>
          <w:color w:val="087E8B"/>
        </w:rPr>
        <w:t xml:space="preserve">11.4  Advisory Board</w:t>
      </w:r>
    </w:p>
    <w:p>
      <w:pPr>
        <w:spacing w:after="160" w:line="320"/>
        <w:jc w:val="both"/>
      </w:pPr>
      <w:r>
        <w:t xml:space="preserve">Target six advisors covering: (a) one frontier-lab technical lead, (b) one Saudi government insider, (c) one Saudi business executive, (d) one Islamic / linguistic studies authority, (e) one venture-finance figure, (f) one international AI policy figure. Compensation: 0.1–0.3% equity each over 4-year vest.</w:t>
      </w:r>
    </w:p>
    <w:p>
      <w:r>
        <w:br w:type="page"/>
      </w:r>
    </w:p>
    <w:p>
      <w:pPr>
        <w:pStyle w:val="Heading1"/>
        <w:spacing w:after="240" w:before="480"/>
      </w:pPr>
      <w:r>
        <w:rPr>
          <w:b/>
          <w:bCs/>
          <w:color w:val="0B3954"/>
        </w:rPr>
        <w:t xml:space="preserve">12.  Conclusion and Investment Thesis</w:t>
      </w:r>
    </w:p>
    <w:p>
      <w:pPr>
        <w:spacing w:after="160" w:line="320"/>
        <w:jc w:val="both"/>
      </w:pPr>
      <w:r>
        <w:t xml:space="preserve">Liquid Context Architecture sits at the intersection of three converging forces: the technical maturity of long-context compression research; the unmet structural need for an Arabic-native foundation model architecture; and the unprecedented Saudi capital commitment to sovereign AI through the regional 2026–2030 strategy.</w:t>
      </w:r>
    </w:p>
    <w:p>
      <w:pPr>
        <w:spacing w:after="160" w:line="320"/>
        <w:jc w:val="both"/>
      </w:pPr>
      <w:r>
        <w:t xml:space="preserve">The architecture itself is grounded in serious engineering. Each of its components — the Morphological Pre-Encoder, the Multi-Resolution Context Manifold, the Geodesic Recall Operator, the Adaptive Compression Controller — has clear precedent in published research, with a defined and patentable composition that does not exist in any single deployed system today. The risks are real but mapped, with concrete mitigations.</w:t>
      </w:r>
    </w:p>
    <w:p>
      <w:pPr>
        <w:spacing w:after="160" w:line="320"/>
        <w:jc w:val="both"/>
      </w:pPr>
      <w:r>
        <w:t xml:space="preserve">The commercial path is concrete. There is exactly one obvious anchor segment (the regional sovereign AI vehicles), exactly one obvious technical adjacency (the foundation-model labs that pay Arabic tokenization tax daily), and exactly one obvious window (the 18–36 month timeline before first-generation sovereign models lock in architectural choices). Each of these alignments would, on its own, justify a focused founding effort; together they constitute a strategic configuration that is unlikely to recur.</w:t>
      </w:r>
    </w:p>
    <w:p>
      <w:pPr>
        <w:spacing w:after="160" w:line="320"/>
        <w:jc w:val="both"/>
      </w:pPr>
      <w:r>
        <w:t xml:space="preserve">The investment ask is calibrated to deliver scientific credibility, IP protection, and at least two paying enterprise pilots within 18 months — sufficient milestone density to support a $200M–$400M Series A round, with credible paths to $1B+ in years 3–5.</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B" w:sz="4"/>
              <w:left w:val="single" w:color="C49A2B" w:sz="4"/>
              <w:bottom w:val="single" w:color="C49A2B" w:sz="4"/>
              <w:right w:val="single" w:color="C49A2B" w:sz="4"/>
            </w:tcBorders>
            <w:shd w:fill="F4F6F8" w:val="clear"/>
            <w:tcMar>
              <w:top w:type="dxa" w:w="200"/>
              <w:left w:type="dxa" w:w="240"/>
              <w:bottom w:type="dxa" w:w="200"/>
              <w:right w:type="dxa" w:w="240"/>
            </w:tcMar>
          </w:tcPr>
          <w:p>
            <w:pPr>
              <w:spacing w:after="120"/>
            </w:pPr>
            <w:r>
              <w:rPr>
                <w:b/>
                <w:bCs/>
                <w:color w:val="C49A2B"/>
                <w:sz w:val="24"/>
                <w:szCs w:val="24"/>
              </w:rPr>
              <w:t xml:space="preserve">Closing Position</w:t>
            </w:r>
          </w:p>
          <w:p>
            <w:pPr>
              <w:spacing w:line="300"/>
              <w:jc w:val="both"/>
            </w:pPr>
            <w:r>
              <w:rPr>
                <w:sz w:val="22"/>
                <w:szCs w:val="22"/>
              </w:rPr>
              <w:t xml:space="preserve">Every Arabic prompt sent to a global LLM today pays a hidden tax. As the Gulf ramps to 3-6 GW of compute and the GCC AI economy crosses $50B annually, this tax becomes one of the largest pure inefficiencies in the global AI stack. LCA is the architecture designed to eliminate it, in the geography most motivated to deploy it. The window is now.</w:t>
            </w:r>
          </w:p>
        </w:tc>
      </w:tr>
    </w:tbl>
    <w:p>
      <w:pPr>
        <w:spacing w:after="200"/>
      </w:pPr>
      <w:r>
        <w:t xml:space="preserve"/>
      </w:r>
    </w:p>
    <w:p>
      <w:pPr>
        <w:spacing w:after="240" w:before="480"/>
        <w:jc w:val="center"/>
      </w:pPr>
      <w:r>
        <w:rPr>
          <w:i/>
          <w:iCs/>
          <w:color w:val="5C6B73"/>
          <w:sz w:val="22"/>
          <w:szCs w:val="22"/>
        </w:rPr>
        <w:t xml:space="preserve">—  END OF DOCUMENT  —</w:t>
      </w:r>
    </w:p>
    <w:p>
      <w:pPr>
        <w:jc w:val="center"/>
      </w:pPr>
      <w:r>
        <w:rPr>
          <w:color w:val="5C6B73"/>
          <w:sz w:val="18"/>
          <w:szCs w:val="18"/>
        </w:rPr>
        <w:t xml:space="preserve">ARKANE AI · Confidential · 2026</w:t>
      </w:r>
    </w:p>
    <w:p>
      <w:pPr>
        <w:jc w:val="center"/>
      </w:pPr>
      <w:r>
        <w:rPr>
          <w:color w:val="5C6B73"/>
          <w:sz w:val="18"/>
          <w:szCs w:val="18"/>
        </w:rPr>
        <w:t xml:space="preserve">ARKANE AI · Abha, KSA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3"/>
        <w:sz w:val="18"/>
        <w:szCs w:val="18"/>
      </w:rPr>
      <w:t xml:space="preserve">Page </w:t>
    </w:r>
    <w:r>
      <w:rPr>
        <w:color w:val="5C6B73"/>
        <w:sz w:val="18"/>
        <w:szCs w:val="18"/>
      </w:rPr>
      <w:fldChar w:fldCharType="begin"/>
      <w:instrText xml:space="preserve">PAGE</w:instrText>
      <w:fldChar w:fldCharType="separate"/>
      <w:fldChar w:fldCharType="end"/>
    </w:r>
    <w:r>
      <w:rPr>
        <w:color w:val="5C6B73"/>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6B73"/>
        <w:sz w:val="16"/>
        <w:szCs w:val="16"/>
      </w:rPr>
      <w:t xml:space="preserve">LCA · Research &amp; Feasibility · ARKANE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B3954"/>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87E8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 Context Architecture - Research &amp; Feasibility Study</dc:title>
  <dc:creator>ARKANE AI</dc:creator>
  <cp:lastModifiedBy>Un-named</cp:lastModifiedBy>
  <cp:revision>1</cp:revision>
  <dcterms:created xsi:type="dcterms:W3CDTF">2026-05-13T00:10:20.366Z</dcterms:created>
  <dcterms:modified xsi:type="dcterms:W3CDTF">2026-05-13T00:10:20.380Z</dcterms:modified>
</cp:coreProperties>
</file>

<file path=docProps/custom.xml><?xml version="1.0" encoding="utf-8"?>
<Properties xmlns="http://schemas.openxmlformats.org/officeDocument/2006/custom-properties" xmlns:vt="http://schemas.openxmlformats.org/officeDocument/2006/docPropsVTypes"/>
</file>