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0A11B4A7" w:rsidR="00DF3E9E" w:rsidRPr="007954B2" w:rsidRDefault="00B84EB4" w:rsidP="00DF3E9E">
      <w:pPr>
        <w:pStyle w:val="FrontMatterTitlePageDate-Information"/>
      </w:pPr>
      <w:r>
        <w:t>July 2017</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3FA18753" w:rsidR="00D629F7" w:rsidRDefault="00D629F7" w:rsidP="00B84EB4">
      <w:pPr>
        <w:pStyle w:val="normal-body"/>
        <w:ind w:firstLine="220"/>
        <w:rPr>
          <w:b/>
        </w:rPr>
      </w:pPr>
      <w:r>
        <w:rPr>
          <w:b/>
        </w:rPr>
        <w:t>3.5 Set-up a New Case</w:t>
      </w:r>
    </w:p>
    <w:p w14:paraId="466C3106" w14:textId="77777777" w:rsidR="00B84EB4" w:rsidRDefault="00B84EB4" w:rsidP="00B84EB4">
      <w:pPr>
        <w:pStyle w:val="normal-body"/>
        <w:ind w:firstLine="220"/>
        <w:rPr>
          <w:b/>
        </w:rPr>
      </w:pPr>
    </w:p>
    <w:p w14:paraId="76CBB2FF" w14:textId="32D15451"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 w14:paraId="588BAA7B" w14:textId="77777777" w:rsidR="00DF3E9E" w:rsidRDefault="00DF3E9E" w:rsidP="00DF3E9E"/>
    <w:p w14:paraId="01181D8F" w14:textId="77777777" w:rsidR="00DF3E9E" w:rsidRDefault="00DF3E9E" w:rsidP="00DF3E9E"/>
    <w:p w14:paraId="1532A781" w14:textId="77777777" w:rsidR="00DF3E9E" w:rsidRDefault="00DF3E9E" w:rsidP="00DF3E9E"/>
    <w:p w14:paraId="5350CE50" w14:textId="77777777" w:rsidR="00DF3E9E" w:rsidRDefault="00DF3E9E" w:rsidP="00DF3E9E"/>
    <w:p w14:paraId="5E07BF38" w14:textId="77777777" w:rsidR="00DF3E9E" w:rsidRDefault="00DF3E9E" w:rsidP="00DF3E9E"/>
    <w:p w14:paraId="6A3FBBEE" w14:textId="77777777" w:rsidR="00DF3E9E" w:rsidRDefault="00DF3E9E" w:rsidP="00DF3E9E"/>
    <w:p w14:paraId="2A198B94" w14:textId="77777777" w:rsidR="00DF3E9E" w:rsidRDefault="00DF3E9E" w:rsidP="00DF3E9E"/>
    <w:p w14:paraId="310C78BF" w14:textId="77777777" w:rsidR="00DF3E9E" w:rsidRDefault="00DF3E9E" w:rsidP="00DF3E9E"/>
    <w:p w14:paraId="4680F1E8" w14:textId="77777777" w:rsidR="00DF3E9E" w:rsidRDefault="00DF3E9E" w:rsidP="00DF3E9E"/>
    <w:p w14:paraId="5BCD25CD" w14:textId="77777777" w:rsidR="00DF3E9E" w:rsidRDefault="00DF3E9E" w:rsidP="00DF3E9E"/>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B84EB4" w:rsidRDefault="00DF3E9E" w:rsidP="00DF3E9E">
      <w:pPr>
        <w:pStyle w:val="normal-body"/>
        <w:rPr>
          <w:b/>
        </w:rPr>
      </w:pPr>
      <w:r w:rsidRPr="00B84EB4">
        <w:rPr>
          <w:b/>
        </w:rPr>
        <w:t>1. Introdu</w:t>
      </w:r>
      <w:r w:rsidRPr="00CA3310">
        <w:rPr>
          <w:b/>
        </w:rPr>
        <w:t>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Default="00DF3E9E" w:rsidP="00DF3E9E">
      <w:pPr>
        <w:rPr>
          <w:rFonts w:ascii="Palatino Linotype" w:hAnsi="Palatino Linotype"/>
          <w:b/>
        </w:rPr>
      </w:pPr>
      <w:r w:rsidRPr="005B361E">
        <w:rPr>
          <w:rFonts w:ascii="Palatino Linotype" w:hAnsi="Palatino Linotype"/>
          <w:b/>
        </w:rPr>
        <w:t xml:space="preserve">2.1 Observation Data Sets </w:t>
      </w:r>
    </w:p>
    <w:p w14:paraId="57B6DE8B" w14:textId="77777777" w:rsidR="00F15341" w:rsidRPr="005B361E" w:rsidRDefault="00F15341" w:rsidP="00DF3E9E">
      <w:pPr>
        <w:rPr>
          <w:rFonts w:ascii="Palatino Linotype" w:hAnsi="Palatino Linotype"/>
          <w:b/>
        </w:rPr>
      </w:pPr>
    </w:p>
    <w:p w14:paraId="62275EC8" w14:textId="77777777" w:rsidR="00F15341" w:rsidRDefault="00F15341" w:rsidP="00F15341">
      <w:pPr>
        <w:pStyle w:val="normal-body"/>
      </w:pPr>
      <w:r>
        <w:t>The observational data used in this study are primarily from that collected at the DOE’s ARM Climate Research Facility SGP site with its central facility located at Lamont, Oklahoma (36.6°N, 97.5°W). In order to compare with grid-box mean variables output from climate models, the majority of the observational fields are from the ARM continuous forcing evaluation data sets [Xie et al., 2004] which attempts to determine the spatial average for a region of approximately 3° latitude-longitude centered on the central facility. The long-term continuous forcing data sets are available from 1999 to 2011 that allow us to build representative climatologies. In this data set, the vertical profiles of the atmospheric state variables (temperature and specific humidity) are from the National Oceanic and Atmospheric Administration (NOAA) rapid update cycle (RUC) analysis, but are adjusted to conserve the column integrated mass, dry static energy, and moisture through a constrained variational analysis approach developed by Zhang and Lin [1997] and Zhang et al. [2001] using observed surface and Top-of-the-Atmosphere (TOA) fluxes as the constraints. The surface quantities include both radiation and turbulence fluxes, which are first interpolated into 0.5° × 0.5° grids within the ARM SGP domain that covers a 3° × 3° area (See Figure 1 from Tang et al., 2016)) before the domain mean is calculated.</w:t>
      </w:r>
    </w:p>
    <w:p w14:paraId="1B6C18F1" w14:textId="77777777" w:rsidR="00F15341" w:rsidRDefault="00F15341" w:rsidP="00F15341">
      <w:pPr>
        <w:pStyle w:val="normal-body"/>
      </w:pPr>
    </w:p>
    <w:p w14:paraId="1D0599D0" w14:textId="77777777" w:rsidR="00F15341" w:rsidRDefault="00F15341" w:rsidP="00F15341">
      <w:pPr>
        <w:pStyle w:val="normal-body"/>
      </w:pPr>
      <w:r>
        <w:t>Table 1 summarizes all data sets used and provides additional information on data sources and estimated uncertainties. From the continuous forcing product, the surface screen-level temperature and humidity are based on 9 Surface Meteorological Observation Stations (SMOS), 127 Oklahoma and 13 Kansas mesonet stations (OKM and KAM). Note that the number of stations varies with time. The precipitation rate is obtained from the Arkansas-Red Basin River Forecast Center (ABRFC) precipitation product, which provides hourly gridded (4 km x 4km) precipitation field by combining both WSR-88D Nexrad radar precipitation estimates and rain gauge reports, with the missing periods supplemented by the stational data [Breidenbach et al., 1998, Fulton et al., 1998]. The column water vapor available in continuous forcing is derived from the microwave radiometer retrieval from the single ARM central facility station.</w:t>
      </w:r>
    </w:p>
    <w:p w14:paraId="7AEA863E" w14:textId="77777777" w:rsidR="00F15341" w:rsidRDefault="00F15341" w:rsidP="00F15341">
      <w:pPr>
        <w:pStyle w:val="normal-body"/>
      </w:pPr>
    </w:p>
    <w:p w14:paraId="122CF5E2" w14:textId="1D846F03" w:rsidR="00F15341" w:rsidRDefault="00F15341" w:rsidP="00F15341">
      <w:pPr>
        <w:pStyle w:val="normal-body"/>
      </w:pPr>
      <w:r>
        <w:t xml:space="preserve">The derived all-sky radiative fluxes: including downwelling/upwelling shortwave and longwave radiative fluxes in the continuous forcing datasets are based on 14 radiometers in the Solar and Infrared Observation Stations (SIROS). The Data Quality Assessment for ARM Radiation Data (QCRAD) methodology is applied to use climatological analyses of the surface radiation measurements to control the quality of the data [Long and Shi, 2006]. </w:t>
      </w:r>
    </w:p>
    <w:p w14:paraId="61E18E3B" w14:textId="77777777" w:rsidR="00F15341" w:rsidRDefault="00F15341" w:rsidP="00F15341">
      <w:pPr>
        <w:pStyle w:val="normal-body"/>
      </w:pPr>
    </w:p>
    <w:p w14:paraId="251A50F1" w14:textId="77777777" w:rsidR="00F15341" w:rsidRDefault="00F15341" w:rsidP="00F15341">
      <w:pPr>
        <w:pStyle w:val="normal-body"/>
      </w:pPr>
      <w:r>
        <w:t>The surface sensible heat and latent heat fluxes are measured at ARM’s Energy Balance Bowen Ratio (EBBR) stations since 1993 and Quality Controlled Eddy Correlation fluxes (QCECOR) stations since 2003 [Berg and Lamb, 2016]. The vertical fluxes of sensible and latent heat produced by the EBBR systems are estimated from the vertical temperature and humidity gradients. The Bulk Aerodynamic technique is applied to the EBBR data streams (BAEBBR) to address sunrise and sunset spikes in the fluxes data [Cook, 2011a: EBBR handbook]. The ECOR technique estimates the vertical fluxes by correlating the vertical wind component with temperature (sensible heat flux) and humidity (latent heat flux) [Cook, 2011b: ECOR handbook]. The EBBR stations are often deployed at stable land, such as pasture and grassland, while QCECOR stations are usually at disturbed land such as cropland and wooded land. The multiyear monthly climatology of surface latent and sensible heat fluxes is constructed by averaging over the measurements from available EBBR and QCECOR stations during the period from 1999 to 2011. Measurements from up to 19 EBBR and 13 QCECOR stations are used to calculate the domain mean.</w:t>
      </w:r>
    </w:p>
    <w:p w14:paraId="7D9FE96A" w14:textId="77777777" w:rsidR="00F15341" w:rsidRDefault="00F15341" w:rsidP="00F15341">
      <w:pPr>
        <w:pStyle w:val="normal-body"/>
      </w:pPr>
    </w:p>
    <w:p w14:paraId="7ACA8CBA" w14:textId="77777777" w:rsidR="00F15341" w:rsidRDefault="00F15341" w:rsidP="00F15341">
      <w:pPr>
        <w:pStyle w:val="normal-body"/>
      </w:pPr>
      <w:r>
        <w:t xml:space="preserve">Soil moisture data are from the Soil Water and Temperature Systems (SWATS) [Bond, 2005: SWATS handbook]. Two profiles of sensors are installed one meter apart from each other that perform measurement at eight different depths. To calculate the soil moisture variable equivalent to the model output variable (mrsos: soil moisture integrated over uppermost 10 cm layer), the volumetric soil moisture measured by two sensors for top 5 cm and 15 cm depths are averaged for each site. Data from a total of 22 sites are used for generating the domain mean climatology from 1999-2011. </w:t>
      </w:r>
    </w:p>
    <w:p w14:paraId="4785BA46" w14:textId="77777777" w:rsidR="00F15341" w:rsidRDefault="00F15341" w:rsidP="00F15341">
      <w:pPr>
        <w:pStyle w:val="normal-body"/>
      </w:pPr>
    </w:p>
    <w:p w14:paraId="7047EF43" w14:textId="77777777" w:rsidR="00F15341" w:rsidRDefault="00F15341" w:rsidP="00F15341">
      <w:pPr>
        <w:pStyle w:val="normal-body"/>
      </w:pPr>
      <w:r>
        <w:t>The Aerosol Optical Depths (AODs) are from MultiFilter Rotating Shadowband Radiometer (MFRSR) deployed at ARM sites. A review of the utility of the narrowband radiometer can be found in Michalsky and Long [2016] and McComiskey and Ferrare [2016]. To compare with model output of AOD output at 550 nm (od550aer), the monthly mean AOD500 is extrapolated to AOD550 following,</w:t>
      </w:r>
    </w:p>
    <w:p w14:paraId="4ED02752" w14:textId="77777777" w:rsidR="00F15341" w:rsidRPr="00BA7D56" w:rsidRDefault="00F15341" w:rsidP="00F15341">
      <w:pPr>
        <w:widowControl w:val="0"/>
        <w:autoSpaceDE w:val="0"/>
        <w:autoSpaceDN w:val="0"/>
        <w:adjustRightInd w:val="0"/>
        <w:spacing w:line="480" w:lineRule="auto"/>
        <w:jc w:val="center"/>
        <w:rPr>
          <w:color w:val="000000"/>
        </w:rPr>
      </w:pPr>
      <w:r w:rsidRPr="00BA7D56">
        <w:rPr>
          <w:noProof/>
          <w:color w:val="000000"/>
          <w:position w:val="-12"/>
        </w:rPr>
        <w:drawing>
          <wp:inline distT="0" distB="0" distL="0" distR="0" wp14:anchorId="228160EA" wp14:editId="586FA89A">
            <wp:extent cx="2046605" cy="2419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605" cy="241935"/>
                    </a:xfrm>
                    <a:prstGeom prst="rect">
                      <a:avLst/>
                    </a:prstGeom>
                    <a:noFill/>
                    <a:ln>
                      <a:noFill/>
                    </a:ln>
                  </pic:spPr>
                </pic:pic>
              </a:graphicData>
            </a:graphic>
          </wp:inline>
        </w:drawing>
      </w:r>
      <w:r w:rsidRPr="00BA7D56">
        <w:rPr>
          <w:color w:val="000000"/>
        </w:rPr>
        <w:tab/>
        <w:t xml:space="preserve">                              (1)</w:t>
      </w:r>
    </w:p>
    <w:p w14:paraId="6EFEBC73" w14:textId="4EA4139B" w:rsidR="00F15341" w:rsidRDefault="00F15341" w:rsidP="00F15341">
      <w:pPr>
        <w:pStyle w:val="normal-body"/>
      </w:pPr>
      <w:r>
        <w:t xml:space="preserve">where the Ångström exponent, α is estimated using the AODs measured at the wavelengths 415nm and 615 nm. We also note that the AOD climatology obtained from the central facility can well represent the domain mean climatology calculated by averaging all available MFRSR stations.  </w:t>
      </w:r>
    </w:p>
    <w:p w14:paraId="3D9081E9" w14:textId="77777777" w:rsidR="00F15341" w:rsidRDefault="00F15341" w:rsidP="00F15341">
      <w:pPr>
        <w:pStyle w:val="normal-body"/>
      </w:pPr>
    </w:p>
    <w:p w14:paraId="60758D2C" w14:textId="366FF84A" w:rsidR="00F15341" w:rsidRDefault="00F15341" w:rsidP="00F15341">
      <w:pPr>
        <w:pStyle w:val="normal-body"/>
      </w:pPr>
      <w:r>
        <w:t xml:space="preserve">Other </w:t>
      </w:r>
      <w:r w:rsidR="00C772A7" w:rsidRPr="005B361E">
        <w:t>quantities</w:t>
      </w:r>
      <w:r>
        <w:t xml:space="preserve"> such as</w:t>
      </w:r>
      <w:r w:rsidR="00C772A7" w:rsidRPr="005B361E">
        <w:t xml:space="preserve">, the </w:t>
      </w:r>
      <w:r w:rsidR="00C772A7">
        <w:t xml:space="preserve">cloud fraction vertical profiles provided </w:t>
      </w:r>
      <w:r w:rsidR="00CB0E7C">
        <w:t xml:space="preserve">by ARSCL Value-Added product </w:t>
      </w:r>
      <w:r w:rsidR="00C772A7">
        <w:t>is also included</w:t>
      </w:r>
      <w:r>
        <w:t xml:space="preserve">. Retrieved properties such as liquid water path and ice water path climatology are generated from ACRED data product. The multiyear monthly climatology is constructed for all observed variables analyzed in this paper. The climatology of the observational datasets is formed for the period from 1999 to 2011, except for that of the variables from </w:t>
      </w:r>
      <w:r w:rsidR="00CB0E7C">
        <w:t>ACRED</w:t>
      </w:r>
      <w:r>
        <w:t xml:space="preserve"> product which uses </w:t>
      </w:r>
      <w:r w:rsidR="00CB0E7C">
        <w:t>data available from 2002 to 2008</w:t>
      </w:r>
      <w:r>
        <w:t>.</w:t>
      </w:r>
    </w:p>
    <w:p w14:paraId="3278DEAA" w14:textId="5E797F81" w:rsidR="00C772A7" w:rsidRPr="005B361E" w:rsidRDefault="00C772A7" w:rsidP="00C772A7">
      <w:pPr>
        <w:pStyle w:val="normal-body"/>
      </w:pPr>
    </w:p>
    <w:p w14:paraId="6202F64C" w14:textId="77777777" w:rsidR="00C772A7" w:rsidRPr="005B361E" w:rsidRDefault="00C772A7" w:rsidP="00C772A7">
      <w:pPr>
        <w:widowControl w:val="0"/>
        <w:autoSpaceDE w:val="0"/>
        <w:autoSpaceDN w:val="0"/>
        <w:adjustRightInd w:val="0"/>
        <w:rPr>
          <w:rFonts w:ascii="Palatino" w:hAnsi="Palatino"/>
          <w:sz w:val="20"/>
          <w:szCs w:val="20"/>
        </w:rPr>
      </w:pPr>
    </w:p>
    <w:p w14:paraId="78500FBE" w14:textId="26AFB9F2" w:rsidR="00C772A7" w:rsidRPr="005B361E" w:rsidRDefault="00C772A7" w:rsidP="00C772A7">
      <w:pPr>
        <w:pStyle w:val="normal-body"/>
      </w:pPr>
      <w:r w:rsidRPr="005B361E">
        <w:rPr>
          <w:rFonts w:ascii="Palatino" w:hAnsi="Palatino"/>
          <w:sz w:val="20"/>
          <w:szCs w:val="20"/>
        </w:rPr>
        <w:t>Table 1. Observed quantities used in the evaluation</w:t>
      </w:r>
    </w:p>
    <w:p w14:paraId="40B124EF" w14:textId="77777777" w:rsidR="00DF3E9E" w:rsidRPr="005B361E" w:rsidRDefault="00DF3E9E" w:rsidP="00DF3E9E">
      <w:pPr>
        <w:pStyle w:val="normal-body"/>
      </w:pPr>
    </w:p>
    <w:p w14:paraId="40FAF215" w14:textId="6A632359" w:rsidR="00DF3E9E" w:rsidRPr="005B361E" w:rsidRDefault="00DF3E9E" w:rsidP="00DF3E9E">
      <w:pPr>
        <w:widowControl w:val="0"/>
        <w:autoSpaceDE w:val="0"/>
        <w:autoSpaceDN w:val="0"/>
        <w:adjustRightInd w:val="0"/>
        <w:rPr>
          <w:rFonts w:ascii="Palatino" w:hAnsi="Palatino"/>
          <w:sz w:val="20"/>
          <w:szCs w:val="20"/>
        </w:rPr>
      </w:pPr>
    </w:p>
    <w:tbl>
      <w:tblPr>
        <w:tblStyle w:val="TableGrid"/>
        <w:tblW w:w="10525" w:type="dxa"/>
        <w:jc w:val="center"/>
        <w:tblLayout w:type="fixed"/>
        <w:tblLook w:val="04A0" w:firstRow="1" w:lastRow="0" w:firstColumn="1" w:lastColumn="0" w:noHBand="0" w:noVBand="1"/>
      </w:tblPr>
      <w:tblGrid>
        <w:gridCol w:w="2515"/>
        <w:gridCol w:w="1260"/>
        <w:gridCol w:w="3330"/>
        <w:gridCol w:w="1710"/>
        <w:gridCol w:w="1710"/>
      </w:tblGrid>
      <w:tr w:rsidR="00CA3310" w:rsidRPr="00A81E30" w14:paraId="4D7A8CDE" w14:textId="77777777" w:rsidTr="00C772A7">
        <w:trPr>
          <w:jc w:val="center"/>
        </w:trPr>
        <w:tc>
          <w:tcPr>
            <w:tcW w:w="2515" w:type="dxa"/>
          </w:tcPr>
          <w:p w14:paraId="78E03BCE" w14:textId="77777777" w:rsidR="00CA3310" w:rsidRPr="00A81E30" w:rsidRDefault="00CA3310" w:rsidP="00C772A7">
            <w:pPr>
              <w:widowControl w:val="0"/>
              <w:adjustRightInd w:val="0"/>
              <w:spacing w:after="240"/>
              <w:ind w:left="-108"/>
              <w:jc w:val="center"/>
            </w:pPr>
            <w:r w:rsidRPr="00A81E30">
              <w:t>Quantit</w:t>
            </w:r>
            <w:r>
              <w:t>ies</w:t>
            </w:r>
          </w:p>
        </w:tc>
        <w:tc>
          <w:tcPr>
            <w:tcW w:w="1260" w:type="dxa"/>
          </w:tcPr>
          <w:p w14:paraId="4D633DA1" w14:textId="77777777" w:rsidR="00CA3310" w:rsidRPr="00A81E30" w:rsidRDefault="00CA3310" w:rsidP="00C772A7">
            <w:pPr>
              <w:widowControl w:val="0"/>
              <w:adjustRightInd w:val="0"/>
              <w:spacing w:after="240"/>
              <w:ind w:left="-522"/>
              <w:jc w:val="center"/>
            </w:pPr>
            <w:r>
              <w:t xml:space="preserve">          </w:t>
            </w:r>
            <w:r w:rsidRPr="00A81E30">
              <w:t>Data Product</w:t>
            </w:r>
            <w:r>
              <w:t>s</w:t>
            </w:r>
          </w:p>
        </w:tc>
        <w:tc>
          <w:tcPr>
            <w:tcW w:w="3330" w:type="dxa"/>
          </w:tcPr>
          <w:p w14:paraId="734023A0" w14:textId="77777777" w:rsidR="00CA3310" w:rsidRPr="00A81E30" w:rsidRDefault="00CA3310" w:rsidP="00C772A7">
            <w:pPr>
              <w:widowControl w:val="0"/>
              <w:adjustRightInd w:val="0"/>
              <w:spacing w:after="240"/>
              <w:jc w:val="center"/>
            </w:pPr>
            <w:r w:rsidRPr="00A81E30">
              <w:t>Data Source/ Instruments</w:t>
            </w:r>
          </w:p>
        </w:tc>
        <w:tc>
          <w:tcPr>
            <w:tcW w:w="1710" w:type="dxa"/>
          </w:tcPr>
          <w:p w14:paraId="7EA39EAB" w14:textId="77777777" w:rsidR="00CA3310" w:rsidRDefault="00CA3310" w:rsidP="00C772A7">
            <w:pPr>
              <w:widowControl w:val="0"/>
              <w:adjustRightInd w:val="0"/>
              <w:spacing w:after="240"/>
              <w:jc w:val="center"/>
            </w:pPr>
            <w:r>
              <w:t>Time resolution</w:t>
            </w:r>
          </w:p>
        </w:tc>
        <w:tc>
          <w:tcPr>
            <w:tcW w:w="1710" w:type="dxa"/>
          </w:tcPr>
          <w:p w14:paraId="660AF58A" w14:textId="77777777" w:rsidR="00CA3310" w:rsidRPr="00A81E30" w:rsidRDefault="00CA3310" w:rsidP="00C772A7">
            <w:pPr>
              <w:widowControl w:val="0"/>
              <w:adjustRightInd w:val="0"/>
              <w:spacing w:after="240"/>
              <w:jc w:val="center"/>
            </w:pPr>
            <w:r>
              <w:t>Spatial info</w:t>
            </w:r>
          </w:p>
        </w:tc>
      </w:tr>
      <w:tr w:rsidR="00CA3310" w:rsidRPr="00A81E30" w14:paraId="64F510DF" w14:textId="77777777" w:rsidTr="00C772A7">
        <w:trPr>
          <w:trHeight w:val="854"/>
          <w:jc w:val="center"/>
        </w:trPr>
        <w:tc>
          <w:tcPr>
            <w:tcW w:w="2515" w:type="dxa"/>
          </w:tcPr>
          <w:p w14:paraId="717B0367" w14:textId="77777777" w:rsidR="00CA3310" w:rsidRPr="00A81E30" w:rsidRDefault="00CA3310" w:rsidP="00C772A7">
            <w:pPr>
              <w:widowControl w:val="0"/>
              <w:adjustRightInd w:val="0"/>
              <w:spacing w:after="240"/>
              <w:jc w:val="center"/>
              <w:rPr>
                <w:sz w:val="19"/>
                <w:szCs w:val="19"/>
              </w:rPr>
            </w:pPr>
            <w:r w:rsidRPr="00A81E30">
              <w:rPr>
                <w:sz w:val="16"/>
                <w:szCs w:val="16"/>
              </w:rPr>
              <w:t>Surface Screen-Level Temperature/ Humidity</w:t>
            </w:r>
          </w:p>
        </w:tc>
        <w:tc>
          <w:tcPr>
            <w:tcW w:w="1260" w:type="dxa"/>
          </w:tcPr>
          <w:p w14:paraId="173E6FB2"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514FBB15" w14:textId="77777777" w:rsidR="00CA3310" w:rsidRPr="00A81E30" w:rsidRDefault="00CA3310" w:rsidP="00C772A7">
            <w:pPr>
              <w:widowControl w:val="0"/>
              <w:adjustRightInd w:val="0"/>
              <w:spacing w:after="240"/>
              <w:jc w:val="center"/>
              <w:rPr>
                <w:b/>
                <w:sz w:val="16"/>
                <w:szCs w:val="16"/>
              </w:rPr>
            </w:pPr>
            <w:r w:rsidRPr="00A81E30">
              <w:rPr>
                <w:b/>
                <w:sz w:val="16"/>
                <w:szCs w:val="16"/>
              </w:rPr>
              <w:t>Surface Meteorological Observation System (SMOS), Oklahoma and Kansas mesonet stations (OKM and KAM)</w:t>
            </w:r>
          </w:p>
        </w:tc>
        <w:tc>
          <w:tcPr>
            <w:tcW w:w="1710" w:type="dxa"/>
          </w:tcPr>
          <w:p w14:paraId="7AC8F00A" w14:textId="77777777"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09ADA08E" w14:textId="77777777" w:rsidR="00CA3310" w:rsidRPr="00A81E30" w:rsidRDefault="00CA3310" w:rsidP="00C772A7">
            <w:pPr>
              <w:widowControl w:val="0"/>
              <w:adjustRightInd w:val="0"/>
              <w:spacing w:after="240"/>
              <w:rPr>
                <w:b/>
                <w:sz w:val="16"/>
                <w:szCs w:val="16"/>
              </w:rPr>
            </w:pPr>
            <w:r>
              <w:rPr>
                <w:b/>
                <w:sz w:val="16"/>
                <w:szCs w:val="16"/>
              </w:rPr>
              <w:t>sgp domain averaged</w:t>
            </w:r>
          </w:p>
        </w:tc>
      </w:tr>
      <w:tr w:rsidR="00CA3310" w:rsidRPr="00A81E30" w14:paraId="1A0997CE" w14:textId="77777777" w:rsidTr="00C772A7">
        <w:trPr>
          <w:jc w:val="center"/>
        </w:trPr>
        <w:tc>
          <w:tcPr>
            <w:tcW w:w="2515" w:type="dxa"/>
          </w:tcPr>
          <w:p w14:paraId="28951813" w14:textId="77777777" w:rsidR="00CA3310" w:rsidRPr="00A81E30" w:rsidRDefault="00CA3310" w:rsidP="00C772A7">
            <w:pPr>
              <w:widowControl w:val="0"/>
              <w:adjustRightInd w:val="0"/>
              <w:spacing w:after="240"/>
              <w:jc w:val="center"/>
              <w:rPr>
                <w:sz w:val="16"/>
                <w:szCs w:val="16"/>
              </w:rPr>
            </w:pPr>
            <w:r w:rsidRPr="00A81E30">
              <w:rPr>
                <w:sz w:val="16"/>
                <w:szCs w:val="16"/>
              </w:rPr>
              <w:t>Temperature/Humidity profile</w:t>
            </w:r>
            <w:r>
              <w:rPr>
                <w:sz w:val="16"/>
                <w:szCs w:val="16"/>
              </w:rPr>
              <w:t>/wind speed/large scale tendencies</w:t>
            </w:r>
          </w:p>
        </w:tc>
        <w:tc>
          <w:tcPr>
            <w:tcW w:w="1260" w:type="dxa"/>
          </w:tcPr>
          <w:p w14:paraId="7AC95B4E"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19C0A757" w14:textId="77777777" w:rsidR="00CA3310" w:rsidRPr="00A81E30" w:rsidRDefault="00CA3310" w:rsidP="00C772A7">
            <w:pPr>
              <w:widowControl w:val="0"/>
              <w:adjustRightInd w:val="0"/>
              <w:jc w:val="center"/>
              <w:rPr>
                <w:b/>
                <w:sz w:val="16"/>
                <w:szCs w:val="16"/>
              </w:rPr>
            </w:pPr>
            <w:r w:rsidRPr="00A81E30">
              <w:rPr>
                <w:b/>
                <w:sz w:val="16"/>
                <w:szCs w:val="16"/>
              </w:rPr>
              <w:t>NOAA/ NCEP Rapid Update Cycle (RUC) analysis data</w:t>
            </w:r>
          </w:p>
        </w:tc>
        <w:tc>
          <w:tcPr>
            <w:tcW w:w="1710" w:type="dxa"/>
          </w:tcPr>
          <w:p w14:paraId="0EE06C95" w14:textId="77777777" w:rsidR="00CA3310" w:rsidRDefault="00CA3310" w:rsidP="00C772A7">
            <w:pPr>
              <w:widowControl w:val="0"/>
              <w:adjustRightInd w:val="0"/>
              <w:jc w:val="center"/>
              <w:rPr>
                <w:b/>
                <w:sz w:val="16"/>
                <w:szCs w:val="16"/>
              </w:rPr>
            </w:pPr>
            <w:r>
              <w:rPr>
                <w:b/>
                <w:sz w:val="16"/>
                <w:szCs w:val="16"/>
              </w:rPr>
              <w:t>Mo, da, hr</w:t>
            </w:r>
          </w:p>
        </w:tc>
        <w:tc>
          <w:tcPr>
            <w:tcW w:w="1710" w:type="dxa"/>
          </w:tcPr>
          <w:p w14:paraId="52B2378A"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2FD6369B" w14:textId="77777777" w:rsidTr="00C772A7">
        <w:trPr>
          <w:jc w:val="center"/>
        </w:trPr>
        <w:tc>
          <w:tcPr>
            <w:tcW w:w="2515" w:type="dxa"/>
          </w:tcPr>
          <w:p w14:paraId="7D11782C" w14:textId="77777777" w:rsidR="00CA3310" w:rsidRPr="00A81E30" w:rsidRDefault="00CA3310" w:rsidP="00C772A7">
            <w:pPr>
              <w:widowControl w:val="0"/>
              <w:adjustRightInd w:val="0"/>
              <w:spacing w:after="240"/>
              <w:jc w:val="center"/>
              <w:rPr>
                <w:sz w:val="19"/>
                <w:szCs w:val="19"/>
              </w:rPr>
            </w:pPr>
            <w:r w:rsidRPr="00A81E30">
              <w:rPr>
                <w:sz w:val="16"/>
                <w:szCs w:val="16"/>
              </w:rPr>
              <w:t>Surface Precipitation</w:t>
            </w:r>
          </w:p>
        </w:tc>
        <w:tc>
          <w:tcPr>
            <w:tcW w:w="1260" w:type="dxa"/>
          </w:tcPr>
          <w:p w14:paraId="223C34FC"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7AC96AE7" w14:textId="77777777" w:rsidR="00CA3310" w:rsidRPr="00A81E30" w:rsidRDefault="00CA3310" w:rsidP="00C772A7">
            <w:pPr>
              <w:widowControl w:val="0"/>
              <w:adjustRightInd w:val="0"/>
              <w:jc w:val="center"/>
              <w:rPr>
                <w:b/>
                <w:sz w:val="16"/>
                <w:szCs w:val="16"/>
              </w:rPr>
            </w:pPr>
            <w:r w:rsidRPr="00A81E30">
              <w:rPr>
                <w:b/>
                <w:sz w:val="16"/>
                <w:szCs w:val="16"/>
              </w:rPr>
              <w:t>Arkansas-Red Basin River Forecast Center (ABRFC)</w:t>
            </w:r>
          </w:p>
          <w:p w14:paraId="1C172B70" w14:textId="77777777" w:rsidR="00CA3310" w:rsidRPr="00A81E30" w:rsidRDefault="00CA3310" w:rsidP="00C772A7">
            <w:pPr>
              <w:widowControl w:val="0"/>
              <w:adjustRightInd w:val="0"/>
              <w:jc w:val="center"/>
              <w:rPr>
                <w:b/>
                <w:sz w:val="16"/>
                <w:szCs w:val="16"/>
              </w:rPr>
            </w:pPr>
            <w:r w:rsidRPr="00A81E30">
              <w:rPr>
                <w:b/>
                <w:sz w:val="16"/>
                <w:szCs w:val="16"/>
              </w:rPr>
              <w:t xml:space="preserve">Nexrad radar precipitation estimates w/ rain gauge </w:t>
            </w:r>
          </w:p>
        </w:tc>
        <w:tc>
          <w:tcPr>
            <w:tcW w:w="1710" w:type="dxa"/>
          </w:tcPr>
          <w:p w14:paraId="3FEA238E" w14:textId="6A131F1F" w:rsidR="00CA3310" w:rsidRDefault="00CA3310" w:rsidP="00C772A7">
            <w:pPr>
              <w:widowControl w:val="0"/>
              <w:adjustRightInd w:val="0"/>
              <w:jc w:val="center"/>
              <w:rPr>
                <w:b/>
                <w:sz w:val="16"/>
                <w:szCs w:val="16"/>
              </w:rPr>
            </w:pPr>
            <w:r>
              <w:rPr>
                <w:b/>
                <w:sz w:val="16"/>
                <w:szCs w:val="16"/>
              </w:rPr>
              <w:t>mo, da, hr</w:t>
            </w:r>
          </w:p>
        </w:tc>
        <w:tc>
          <w:tcPr>
            <w:tcW w:w="1710" w:type="dxa"/>
          </w:tcPr>
          <w:p w14:paraId="1462DD73" w14:textId="77777777" w:rsidR="00CA3310" w:rsidRPr="00A81E30" w:rsidRDefault="00CA3310" w:rsidP="00C772A7">
            <w:pPr>
              <w:widowControl w:val="0"/>
              <w:adjustRightInd w:val="0"/>
              <w:rPr>
                <w:b/>
                <w:sz w:val="16"/>
                <w:szCs w:val="16"/>
              </w:rPr>
            </w:pPr>
            <w:r>
              <w:rPr>
                <w:b/>
                <w:sz w:val="16"/>
                <w:szCs w:val="16"/>
              </w:rPr>
              <w:t>sgp  domain averaged</w:t>
            </w:r>
          </w:p>
        </w:tc>
      </w:tr>
      <w:tr w:rsidR="00CA3310" w:rsidRPr="00A81E30" w14:paraId="576FD332" w14:textId="77777777" w:rsidTr="00C772A7">
        <w:trPr>
          <w:jc w:val="center"/>
        </w:trPr>
        <w:tc>
          <w:tcPr>
            <w:tcW w:w="2515" w:type="dxa"/>
          </w:tcPr>
          <w:p w14:paraId="47F9AA21" w14:textId="77777777" w:rsidR="00CA3310" w:rsidRPr="00A81E30" w:rsidRDefault="00CA3310" w:rsidP="00C772A7">
            <w:pPr>
              <w:widowControl w:val="0"/>
              <w:adjustRightInd w:val="0"/>
              <w:spacing w:after="240"/>
              <w:jc w:val="center"/>
              <w:rPr>
                <w:sz w:val="16"/>
                <w:szCs w:val="16"/>
              </w:rPr>
            </w:pPr>
            <w:r w:rsidRPr="00A81E30">
              <w:rPr>
                <w:sz w:val="16"/>
                <w:szCs w:val="16"/>
              </w:rPr>
              <w:t>Precipitable Water</w:t>
            </w:r>
          </w:p>
        </w:tc>
        <w:tc>
          <w:tcPr>
            <w:tcW w:w="1260" w:type="dxa"/>
          </w:tcPr>
          <w:p w14:paraId="50009B5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42533869" w14:textId="77777777" w:rsidR="00CA3310" w:rsidRPr="00A81E30" w:rsidRDefault="00CA3310" w:rsidP="00C772A7">
            <w:pPr>
              <w:widowControl w:val="0"/>
              <w:adjustRightInd w:val="0"/>
              <w:jc w:val="center"/>
              <w:rPr>
                <w:b/>
                <w:sz w:val="16"/>
                <w:szCs w:val="16"/>
              </w:rPr>
            </w:pPr>
            <w:r w:rsidRPr="00A81E30">
              <w:rPr>
                <w:b/>
                <w:sz w:val="16"/>
                <w:szCs w:val="16"/>
              </w:rPr>
              <w:t>Microwave Radiometer (MWR)</w:t>
            </w:r>
          </w:p>
        </w:tc>
        <w:tc>
          <w:tcPr>
            <w:tcW w:w="1710" w:type="dxa"/>
          </w:tcPr>
          <w:p w14:paraId="0DA7E0A6" w14:textId="724B4DD5" w:rsidR="00CA3310" w:rsidRDefault="00CA3310" w:rsidP="00C772A7">
            <w:pPr>
              <w:widowControl w:val="0"/>
              <w:adjustRightInd w:val="0"/>
              <w:jc w:val="center"/>
              <w:rPr>
                <w:b/>
                <w:sz w:val="16"/>
                <w:szCs w:val="16"/>
              </w:rPr>
            </w:pPr>
            <w:r>
              <w:rPr>
                <w:b/>
                <w:sz w:val="16"/>
                <w:szCs w:val="16"/>
              </w:rPr>
              <w:t>mo, da, hr</w:t>
            </w:r>
          </w:p>
        </w:tc>
        <w:tc>
          <w:tcPr>
            <w:tcW w:w="1710" w:type="dxa"/>
          </w:tcPr>
          <w:p w14:paraId="7C62053C"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54772B35" w14:textId="77777777" w:rsidTr="00C772A7">
        <w:trPr>
          <w:jc w:val="center"/>
        </w:trPr>
        <w:tc>
          <w:tcPr>
            <w:tcW w:w="2515" w:type="dxa"/>
          </w:tcPr>
          <w:p w14:paraId="7805FD80" w14:textId="77777777" w:rsidR="00CA3310" w:rsidRPr="00A81E30" w:rsidRDefault="00CA3310" w:rsidP="00C772A7">
            <w:pPr>
              <w:widowControl w:val="0"/>
              <w:adjustRightInd w:val="0"/>
              <w:spacing w:after="240"/>
              <w:jc w:val="center"/>
              <w:rPr>
                <w:sz w:val="16"/>
                <w:szCs w:val="16"/>
              </w:rPr>
            </w:pPr>
            <w:r w:rsidRPr="00A81E30">
              <w:rPr>
                <w:sz w:val="16"/>
                <w:szCs w:val="16"/>
              </w:rPr>
              <w:t>Surface All Sky Radiative Fluxes</w:t>
            </w:r>
          </w:p>
        </w:tc>
        <w:tc>
          <w:tcPr>
            <w:tcW w:w="1260" w:type="dxa"/>
          </w:tcPr>
          <w:p w14:paraId="18DB1DA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290C3BFF" w14:textId="77777777" w:rsidR="00CA3310" w:rsidRPr="00A81E30" w:rsidRDefault="00CA3310" w:rsidP="00C772A7">
            <w:pPr>
              <w:widowControl w:val="0"/>
              <w:adjustRightInd w:val="0"/>
              <w:jc w:val="center"/>
              <w:rPr>
                <w:b/>
                <w:sz w:val="16"/>
                <w:szCs w:val="16"/>
              </w:rPr>
            </w:pPr>
            <w:r w:rsidRPr="00A81E30">
              <w:rPr>
                <w:b/>
                <w:sz w:val="16"/>
                <w:szCs w:val="16"/>
              </w:rPr>
              <w:t xml:space="preserve">Data Quality Assessment for ARM Radiation Data (QCRAD) </w:t>
            </w:r>
          </w:p>
        </w:tc>
        <w:tc>
          <w:tcPr>
            <w:tcW w:w="1710" w:type="dxa"/>
          </w:tcPr>
          <w:p w14:paraId="55667A4E" w14:textId="15477DD9" w:rsidR="00CA3310" w:rsidRDefault="00CA3310" w:rsidP="00C772A7">
            <w:pPr>
              <w:widowControl w:val="0"/>
              <w:adjustRightInd w:val="0"/>
              <w:jc w:val="center"/>
              <w:rPr>
                <w:b/>
                <w:sz w:val="16"/>
                <w:szCs w:val="16"/>
              </w:rPr>
            </w:pPr>
            <w:r>
              <w:rPr>
                <w:b/>
                <w:sz w:val="16"/>
                <w:szCs w:val="16"/>
              </w:rPr>
              <w:t>mo, da, hr</w:t>
            </w:r>
          </w:p>
        </w:tc>
        <w:tc>
          <w:tcPr>
            <w:tcW w:w="1710" w:type="dxa"/>
          </w:tcPr>
          <w:p w14:paraId="576EE5EA" w14:textId="77777777" w:rsidR="00CA3310" w:rsidRPr="00A81E30" w:rsidRDefault="00CA3310" w:rsidP="00C772A7">
            <w:pPr>
              <w:widowControl w:val="0"/>
              <w:adjustRightInd w:val="0"/>
              <w:jc w:val="center"/>
              <w:rPr>
                <w:b/>
                <w:sz w:val="16"/>
                <w:szCs w:val="16"/>
              </w:rPr>
            </w:pPr>
            <w:r>
              <w:rPr>
                <w:b/>
                <w:sz w:val="16"/>
                <w:szCs w:val="16"/>
              </w:rPr>
              <w:t>sgp domain averaged</w:t>
            </w:r>
          </w:p>
        </w:tc>
      </w:tr>
      <w:tr w:rsidR="00CA3310" w:rsidRPr="00A81E30" w14:paraId="2C089082" w14:textId="77777777" w:rsidTr="00C772A7">
        <w:trPr>
          <w:trHeight w:val="665"/>
          <w:jc w:val="center"/>
        </w:trPr>
        <w:tc>
          <w:tcPr>
            <w:tcW w:w="2515" w:type="dxa"/>
          </w:tcPr>
          <w:p w14:paraId="7AC16AFD" w14:textId="77777777" w:rsidR="00CA3310" w:rsidRPr="00A81E30" w:rsidRDefault="00CA3310" w:rsidP="00C772A7">
            <w:pPr>
              <w:widowControl w:val="0"/>
              <w:adjustRightInd w:val="0"/>
              <w:spacing w:after="240"/>
              <w:jc w:val="center"/>
              <w:rPr>
                <w:sz w:val="16"/>
                <w:szCs w:val="16"/>
              </w:rPr>
            </w:pPr>
            <w:r w:rsidRPr="00A81E30">
              <w:rPr>
                <w:sz w:val="16"/>
                <w:szCs w:val="16"/>
              </w:rPr>
              <w:t>Aerosol Optical Depth 550nm</w:t>
            </w:r>
          </w:p>
        </w:tc>
        <w:tc>
          <w:tcPr>
            <w:tcW w:w="1260" w:type="dxa"/>
          </w:tcPr>
          <w:p w14:paraId="69326AD6" w14:textId="77777777" w:rsidR="00CA3310" w:rsidRPr="00A81E30" w:rsidRDefault="00CA3310" w:rsidP="00C772A7">
            <w:pPr>
              <w:widowControl w:val="0"/>
              <w:adjustRightInd w:val="0"/>
              <w:spacing w:after="240"/>
              <w:jc w:val="center"/>
              <w:rPr>
                <w:b/>
                <w:sz w:val="16"/>
                <w:szCs w:val="16"/>
              </w:rPr>
            </w:pPr>
            <w:r w:rsidRPr="00A81E30">
              <w:rPr>
                <w:b/>
                <w:sz w:val="16"/>
                <w:szCs w:val="16"/>
              </w:rPr>
              <w:t>MFRSRAOD1MICH</w:t>
            </w:r>
          </w:p>
        </w:tc>
        <w:tc>
          <w:tcPr>
            <w:tcW w:w="3330" w:type="dxa"/>
          </w:tcPr>
          <w:p w14:paraId="4E39888E" w14:textId="77777777" w:rsidR="00CA3310" w:rsidRPr="00A81E30" w:rsidRDefault="00CA3310" w:rsidP="00C772A7">
            <w:pPr>
              <w:widowControl w:val="0"/>
              <w:adjustRightInd w:val="0"/>
              <w:jc w:val="center"/>
              <w:rPr>
                <w:b/>
                <w:sz w:val="16"/>
                <w:szCs w:val="16"/>
              </w:rPr>
            </w:pPr>
            <w:r w:rsidRPr="00A81E30">
              <w:rPr>
                <w:b/>
                <w:sz w:val="16"/>
                <w:szCs w:val="16"/>
              </w:rPr>
              <w:t>Multifilter Rotating Shadowband Radiometer (MFRSR)</w:t>
            </w:r>
          </w:p>
        </w:tc>
        <w:tc>
          <w:tcPr>
            <w:tcW w:w="1710" w:type="dxa"/>
          </w:tcPr>
          <w:p w14:paraId="1038903F" w14:textId="4FB5BDDD" w:rsidR="00CA3310" w:rsidRDefault="00CA3310" w:rsidP="00C772A7">
            <w:pPr>
              <w:widowControl w:val="0"/>
              <w:adjustRightInd w:val="0"/>
              <w:jc w:val="center"/>
              <w:rPr>
                <w:b/>
                <w:sz w:val="16"/>
                <w:szCs w:val="16"/>
              </w:rPr>
            </w:pPr>
            <w:r>
              <w:rPr>
                <w:b/>
                <w:sz w:val="16"/>
                <w:szCs w:val="16"/>
              </w:rPr>
              <w:t>mo</w:t>
            </w:r>
          </w:p>
        </w:tc>
        <w:tc>
          <w:tcPr>
            <w:tcW w:w="1710" w:type="dxa"/>
          </w:tcPr>
          <w:p w14:paraId="65028080" w14:textId="77777777" w:rsidR="00CA3310" w:rsidRPr="00A81E30" w:rsidRDefault="00CA3310" w:rsidP="00C772A7">
            <w:pPr>
              <w:widowControl w:val="0"/>
              <w:adjustRightInd w:val="0"/>
              <w:rPr>
                <w:b/>
                <w:sz w:val="16"/>
                <w:szCs w:val="16"/>
              </w:rPr>
            </w:pPr>
            <w:r>
              <w:rPr>
                <w:b/>
                <w:sz w:val="16"/>
                <w:szCs w:val="16"/>
              </w:rPr>
              <w:t>sgp Site C1 and E13 averaged</w:t>
            </w:r>
          </w:p>
        </w:tc>
      </w:tr>
      <w:tr w:rsidR="00CA3310" w:rsidRPr="00A81E30" w14:paraId="7877D993" w14:textId="77777777" w:rsidTr="00C772A7">
        <w:trPr>
          <w:jc w:val="center"/>
        </w:trPr>
        <w:tc>
          <w:tcPr>
            <w:tcW w:w="2515" w:type="dxa"/>
            <w:vMerge w:val="restart"/>
          </w:tcPr>
          <w:p w14:paraId="5F9C952E" w14:textId="77777777" w:rsidR="00CA3310" w:rsidRPr="00A81E30" w:rsidRDefault="00CA3310" w:rsidP="00C772A7">
            <w:pPr>
              <w:widowControl w:val="0"/>
              <w:adjustRightInd w:val="0"/>
              <w:spacing w:after="240"/>
              <w:jc w:val="center"/>
              <w:rPr>
                <w:sz w:val="19"/>
                <w:szCs w:val="19"/>
              </w:rPr>
            </w:pPr>
            <w:r w:rsidRPr="00A81E30">
              <w:rPr>
                <w:sz w:val="16"/>
                <w:szCs w:val="16"/>
              </w:rPr>
              <w:t>Surface Latent/Sensible Heat</w:t>
            </w:r>
          </w:p>
        </w:tc>
        <w:tc>
          <w:tcPr>
            <w:tcW w:w="1260" w:type="dxa"/>
          </w:tcPr>
          <w:p w14:paraId="1513EA45" w14:textId="77777777" w:rsidR="00CA3310" w:rsidRPr="00A81E30" w:rsidRDefault="00CA3310" w:rsidP="00C772A7">
            <w:pPr>
              <w:widowControl w:val="0"/>
              <w:adjustRightInd w:val="0"/>
              <w:spacing w:after="240"/>
              <w:jc w:val="center"/>
              <w:rPr>
                <w:b/>
                <w:sz w:val="19"/>
                <w:szCs w:val="19"/>
              </w:rPr>
            </w:pPr>
            <w:r>
              <w:rPr>
                <w:b/>
                <w:sz w:val="16"/>
                <w:szCs w:val="16"/>
              </w:rPr>
              <w:t>BAEBBR</w:t>
            </w:r>
          </w:p>
        </w:tc>
        <w:tc>
          <w:tcPr>
            <w:tcW w:w="3330" w:type="dxa"/>
          </w:tcPr>
          <w:p w14:paraId="380F0367" w14:textId="77777777" w:rsidR="00CA3310" w:rsidRPr="00A81E30" w:rsidRDefault="00CA3310" w:rsidP="00C772A7">
            <w:pPr>
              <w:widowControl w:val="0"/>
              <w:adjustRightInd w:val="0"/>
              <w:jc w:val="center"/>
              <w:rPr>
                <w:b/>
                <w:sz w:val="16"/>
                <w:szCs w:val="16"/>
              </w:rPr>
            </w:pPr>
            <w:r w:rsidRPr="00A81E30">
              <w:rPr>
                <w:b/>
                <w:sz w:val="16"/>
                <w:szCs w:val="16"/>
              </w:rPr>
              <w:t xml:space="preserve">Best-Estimate Fluxes From EBBR Measurements and Bulk Aerodynamics Calculations (BAEBBR) </w:t>
            </w:r>
          </w:p>
        </w:tc>
        <w:tc>
          <w:tcPr>
            <w:tcW w:w="1710" w:type="dxa"/>
          </w:tcPr>
          <w:p w14:paraId="330251F2" w14:textId="131F9BC8" w:rsidR="00CA3310" w:rsidRDefault="00CA3310" w:rsidP="00C772A7">
            <w:pPr>
              <w:widowControl w:val="0"/>
              <w:adjustRightInd w:val="0"/>
              <w:jc w:val="center"/>
              <w:rPr>
                <w:b/>
                <w:sz w:val="16"/>
                <w:szCs w:val="16"/>
              </w:rPr>
            </w:pPr>
            <w:r>
              <w:rPr>
                <w:b/>
                <w:sz w:val="16"/>
                <w:szCs w:val="16"/>
              </w:rPr>
              <w:t>mo</w:t>
            </w:r>
          </w:p>
        </w:tc>
        <w:tc>
          <w:tcPr>
            <w:tcW w:w="1710" w:type="dxa"/>
          </w:tcPr>
          <w:p w14:paraId="7B0E8E59"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2D0E7BA" w14:textId="77777777" w:rsidTr="00C772A7">
        <w:trPr>
          <w:jc w:val="center"/>
        </w:trPr>
        <w:tc>
          <w:tcPr>
            <w:tcW w:w="2515" w:type="dxa"/>
            <w:vMerge/>
          </w:tcPr>
          <w:p w14:paraId="28E2D650" w14:textId="77777777" w:rsidR="00CA3310" w:rsidRPr="00A81E30" w:rsidRDefault="00CA3310" w:rsidP="00C772A7">
            <w:pPr>
              <w:widowControl w:val="0"/>
              <w:adjustRightInd w:val="0"/>
              <w:spacing w:after="240"/>
              <w:jc w:val="center"/>
              <w:rPr>
                <w:sz w:val="16"/>
                <w:szCs w:val="16"/>
              </w:rPr>
            </w:pPr>
          </w:p>
        </w:tc>
        <w:tc>
          <w:tcPr>
            <w:tcW w:w="1260" w:type="dxa"/>
          </w:tcPr>
          <w:p w14:paraId="214482EC" w14:textId="77777777" w:rsidR="00CA3310" w:rsidRPr="00A81E30" w:rsidRDefault="00CA3310" w:rsidP="00C772A7">
            <w:pPr>
              <w:widowControl w:val="0"/>
              <w:adjustRightInd w:val="0"/>
              <w:spacing w:after="240"/>
              <w:jc w:val="center"/>
              <w:rPr>
                <w:b/>
                <w:sz w:val="16"/>
                <w:szCs w:val="16"/>
              </w:rPr>
            </w:pPr>
            <w:r w:rsidRPr="00A81E30">
              <w:rPr>
                <w:b/>
                <w:sz w:val="16"/>
                <w:szCs w:val="16"/>
              </w:rPr>
              <w:t>QCECOR</w:t>
            </w:r>
          </w:p>
        </w:tc>
        <w:tc>
          <w:tcPr>
            <w:tcW w:w="3330" w:type="dxa"/>
          </w:tcPr>
          <w:p w14:paraId="5C5F52A0" w14:textId="77777777" w:rsidR="00CA3310" w:rsidRPr="00A81E30" w:rsidRDefault="00CA3310" w:rsidP="00C772A7">
            <w:pPr>
              <w:widowControl w:val="0"/>
              <w:adjustRightInd w:val="0"/>
              <w:jc w:val="center"/>
              <w:rPr>
                <w:b/>
                <w:sz w:val="16"/>
                <w:szCs w:val="16"/>
              </w:rPr>
            </w:pPr>
            <w:r w:rsidRPr="00A81E30">
              <w:rPr>
                <w:b/>
                <w:sz w:val="16"/>
                <w:szCs w:val="16"/>
              </w:rPr>
              <w:t xml:space="preserve">Quality Controlled Eddy Correlation Flux Measurement </w:t>
            </w:r>
          </w:p>
        </w:tc>
        <w:tc>
          <w:tcPr>
            <w:tcW w:w="1710" w:type="dxa"/>
          </w:tcPr>
          <w:p w14:paraId="4FF1BB7C" w14:textId="049DB0C4" w:rsidR="00CA3310" w:rsidRDefault="00CA3310" w:rsidP="00C772A7">
            <w:pPr>
              <w:widowControl w:val="0"/>
              <w:adjustRightInd w:val="0"/>
              <w:jc w:val="center"/>
              <w:rPr>
                <w:b/>
                <w:sz w:val="16"/>
                <w:szCs w:val="16"/>
              </w:rPr>
            </w:pPr>
            <w:r>
              <w:rPr>
                <w:b/>
                <w:sz w:val="16"/>
                <w:szCs w:val="16"/>
              </w:rPr>
              <w:t>mo</w:t>
            </w:r>
          </w:p>
        </w:tc>
        <w:tc>
          <w:tcPr>
            <w:tcW w:w="1710" w:type="dxa"/>
          </w:tcPr>
          <w:p w14:paraId="07B26B74" w14:textId="77777777" w:rsidR="00CA3310" w:rsidRPr="00A81E30" w:rsidRDefault="00CA3310" w:rsidP="00C772A7">
            <w:pPr>
              <w:widowControl w:val="0"/>
              <w:adjustRightInd w:val="0"/>
              <w:rPr>
                <w:b/>
                <w:sz w:val="16"/>
                <w:szCs w:val="16"/>
              </w:rPr>
            </w:pPr>
            <w:r>
              <w:rPr>
                <w:b/>
                <w:sz w:val="16"/>
                <w:szCs w:val="16"/>
              </w:rPr>
              <w:t xml:space="preserve">  sgp domain averaged</w:t>
            </w:r>
          </w:p>
        </w:tc>
      </w:tr>
      <w:tr w:rsidR="00CA3310" w:rsidRPr="00A81E30" w14:paraId="6520311B" w14:textId="77777777" w:rsidTr="00C772A7">
        <w:trPr>
          <w:jc w:val="center"/>
        </w:trPr>
        <w:tc>
          <w:tcPr>
            <w:tcW w:w="2515" w:type="dxa"/>
          </w:tcPr>
          <w:p w14:paraId="0356B951" w14:textId="77777777" w:rsidR="00CA3310" w:rsidRPr="002E495A" w:rsidRDefault="00CA3310" w:rsidP="00C772A7">
            <w:pPr>
              <w:widowControl w:val="0"/>
              <w:adjustRightInd w:val="0"/>
              <w:spacing w:after="240"/>
              <w:jc w:val="center"/>
              <w:rPr>
                <w:sz w:val="16"/>
                <w:szCs w:val="16"/>
              </w:rPr>
            </w:pPr>
            <w:r w:rsidRPr="00A81E30">
              <w:rPr>
                <w:sz w:val="16"/>
                <w:szCs w:val="16"/>
              </w:rPr>
              <w:t>Surface Soil Moisture Content</w:t>
            </w:r>
            <w:r>
              <w:rPr>
                <w:sz w:val="16"/>
                <w:szCs w:val="16"/>
              </w:rPr>
              <w:t xml:space="preserve"> (10 cm)</w:t>
            </w:r>
          </w:p>
        </w:tc>
        <w:tc>
          <w:tcPr>
            <w:tcW w:w="1260" w:type="dxa"/>
          </w:tcPr>
          <w:p w14:paraId="31101DBC" w14:textId="77777777" w:rsidR="00CA3310" w:rsidRPr="00A81E30" w:rsidRDefault="00CA3310" w:rsidP="00C772A7">
            <w:pPr>
              <w:widowControl w:val="0"/>
              <w:adjustRightInd w:val="0"/>
              <w:spacing w:after="240"/>
              <w:jc w:val="center"/>
              <w:rPr>
                <w:b/>
                <w:sz w:val="16"/>
                <w:szCs w:val="16"/>
              </w:rPr>
            </w:pPr>
            <w:r w:rsidRPr="00A81E30">
              <w:rPr>
                <w:b/>
                <w:sz w:val="16"/>
                <w:szCs w:val="16"/>
              </w:rPr>
              <w:t>SWATS</w:t>
            </w:r>
          </w:p>
        </w:tc>
        <w:tc>
          <w:tcPr>
            <w:tcW w:w="3330" w:type="dxa"/>
          </w:tcPr>
          <w:p w14:paraId="52518FCF" w14:textId="77777777" w:rsidR="00CA3310" w:rsidRPr="00A81E30" w:rsidRDefault="00CA3310" w:rsidP="00C772A7">
            <w:pPr>
              <w:widowControl w:val="0"/>
              <w:adjustRightInd w:val="0"/>
              <w:spacing w:after="240"/>
              <w:jc w:val="center"/>
              <w:rPr>
                <w:b/>
                <w:sz w:val="16"/>
                <w:szCs w:val="16"/>
              </w:rPr>
            </w:pPr>
            <w:r w:rsidRPr="00A81E30">
              <w:rPr>
                <w:b/>
                <w:sz w:val="16"/>
                <w:szCs w:val="16"/>
              </w:rPr>
              <w:t>Soil Water and Temperature System (SWATS)</w:t>
            </w:r>
          </w:p>
        </w:tc>
        <w:tc>
          <w:tcPr>
            <w:tcW w:w="1710" w:type="dxa"/>
          </w:tcPr>
          <w:p w14:paraId="1E06E23A" w14:textId="31D123F7" w:rsidR="00CA3310" w:rsidRDefault="00CA3310" w:rsidP="00C772A7">
            <w:pPr>
              <w:widowControl w:val="0"/>
              <w:adjustRightInd w:val="0"/>
              <w:spacing w:after="240"/>
              <w:jc w:val="center"/>
              <w:rPr>
                <w:b/>
                <w:sz w:val="16"/>
                <w:szCs w:val="16"/>
              </w:rPr>
            </w:pPr>
            <w:r>
              <w:rPr>
                <w:b/>
                <w:sz w:val="16"/>
                <w:szCs w:val="16"/>
              </w:rPr>
              <w:t>mo</w:t>
            </w:r>
          </w:p>
        </w:tc>
        <w:tc>
          <w:tcPr>
            <w:tcW w:w="1710" w:type="dxa"/>
          </w:tcPr>
          <w:p w14:paraId="09217F60" w14:textId="378B8937" w:rsidR="00CA3310" w:rsidRPr="00A81E30" w:rsidRDefault="00CA3310" w:rsidP="00C772A7">
            <w:pPr>
              <w:widowControl w:val="0"/>
              <w:adjustRightInd w:val="0"/>
              <w:spacing w:after="240"/>
              <w:jc w:val="center"/>
              <w:rPr>
                <w:b/>
                <w:sz w:val="16"/>
                <w:szCs w:val="16"/>
              </w:rPr>
            </w:pPr>
            <w:r>
              <w:rPr>
                <w:b/>
                <w:sz w:val="16"/>
                <w:szCs w:val="16"/>
              </w:rPr>
              <w:t xml:space="preserve">  sgp domain averaged</w:t>
            </w:r>
          </w:p>
        </w:tc>
      </w:tr>
      <w:tr w:rsidR="00CA3310" w:rsidRPr="00A81E30" w14:paraId="5B69310B" w14:textId="77777777" w:rsidTr="00C772A7">
        <w:trPr>
          <w:jc w:val="center"/>
        </w:trPr>
        <w:tc>
          <w:tcPr>
            <w:tcW w:w="2515" w:type="dxa"/>
          </w:tcPr>
          <w:p w14:paraId="1F08D198" w14:textId="77777777" w:rsidR="00CA3310" w:rsidRPr="00A81E30" w:rsidRDefault="00CA3310" w:rsidP="00C772A7">
            <w:pPr>
              <w:widowControl w:val="0"/>
              <w:adjustRightInd w:val="0"/>
              <w:spacing w:after="240"/>
              <w:jc w:val="center"/>
              <w:rPr>
                <w:sz w:val="16"/>
                <w:szCs w:val="16"/>
              </w:rPr>
            </w:pPr>
            <w:r>
              <w:rPr>
                <w:sz w:val="16"/>
                <w:szCs w:val="16"/>
              </w:rPr>
              <w:t>Cloud Fraction</w:t>
            </w:r>
          </w:p>
        </w:tc>
        <w:tc>
          <w:tcPr>
            <w:tcW w:w="1260" w:type="dxa"/>
          </w:tcPr>
          <w:p w14:paraId="305D8691" w14:textId="77777777" w:rsidR="00CA3310" w:rsidRPr="00353C13" w:rsidRDefault="00CA3310" w:rsidP="00C772A7">
            <w:pPr>
              <w:widowControl w:val="0"/>
              <w:adjustRightInd w:val="0"/>
              <w:spacing w:after="240"/>
              <w:jc w:val="center"/>
              <w:rPr>
                <w:b/>
                <w:color w:val="000000" w:themeColor="text1"/>
                <w:sz w:val="16"/>
                <w:szCs w:val="16"/>
              </w:rPr>
            </w:pPr>
            <w:r w:rsidRPr="00353C13">
              <w:rPr>
                <w:b/>
                <w:color w:val="000000" w:themeColor="text1"/>
                <w:sz w:val="16"/>
                <w:szCs w:val="16"/>
              </w:rPr>
              <w:t>ARSCL</w:t>
            </w:r>
          </w:p>
        </w:tc>
        <w:tc>
          <w:tcPr>
            <w:tcW w:w="3330" w:type="dxa"/>
          </w:tcPr>
          <w:p w14:paraId="0F00340F" w14:textId="4F4CEB1C" w:rsidR="00CA3310" w:rsidRPr="00A81E30" w:rsidRDefault="00CA3310" w:rsidP="00C772A7">
            <w:pPr>
              <w:widowControl w:val="0"/>
              <w:adjustRightInd w:val="0"/>
              <w:spacing w:after="240"/>
              <w:jc w:val="center"/>
              <w:rPr>
                <w:b/>
                <w:sz w:val="16"/>
                <w:szCs w:val="16"/>
              </w:rPr>
            </w:pPr>
            <w:r w:rsidRPr="00353C13">
              <w:rPr>
                <w:b/>
                <w:sz w:val="16"/>
                <w:szCs w:val="16"/>
              </w:rPr>
              <w:t>Active Remote Sensing of Clouds</w:t>
            </w:r>
            <w:r>
              <w:rPr>
                <w:b/>
                <w:sz w:val="16"/>
                <w:szCs w:val="16"/>
              </w:rPr>
              <w:t xml:space="preserve"> </w:t>
            </w:r>
          </w:p>
        </w:tc>
        <w:tc>
          <w:tcPr>
            <w:tcW w:w="1710" w:type="dxa"/>
          </w:tcPr>
          <w:p w14:paraId="15D9CC96" w14:textId="352CAFB5"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5F8A659D" w14:textId="77777777" w:rsidR="00CA3310" w:rsidRPr="00353C13" w:rsidRDefault="00CA3310" w:rsidP="00C772A7">
            <w:pPr>
              <w:widowControl w:val="0"/>
              <w:adjustRightInd w:val="0"/>
              <w:spacing w:after="240"/>
              <w:rPr>
                <w:b/>
                <w:sz w:val="16"/>
                <w:szCs w:val="16"/>
              </w:rPr>
            </w:pPr>
            <w:r>
              <w:rPr>
                <w:b/>
                <w:sz w:val="16"/>
                <w:szCs w:val="16"/>
              </w:rPr>
              <w:t xml:space="preserve">          sgp Site C1</w:t>
            </w:r>
          </w:p>
        </w:tc>
      </w:tr>
      <w:tr w:rsidR="00CA3310" w:rsidRPr="00A81E30" w14:paraId="460057A7" w14:textId="77777777" w:rsidTr="00C772A7">
        <w:trPr>
          <w:jc w:val="center"/>
        </w:trPr>
        <w:tc>
          <w:tcPr>
            <w:tcW w:w="2515" w:type="dxa"/>
          </w:tcPr>
          <w:p w14:paraId="6D8B5A3F" w14:textId="77777777" w:rsidR="00CA3310" w:rsidRDefault="00CA3310" w:rsidP="00C772A7">
            <w:pPr>
              <w:widowControl w:val="0"/>
              <w:adjustRightInd w:val="0"/>
              <w:spacing w:after="240"/>
              <w:jc w:val="center"/>
              <w:rPr>
                <w:sz w:val="16"/>
                <w:szCs w:val="16"/>
              </w:rPr>
            </w:pPr>
            <w:r>
              <w:rPr>
                <w:sz w:val="16"/>
                <w:szCs w:val="16"/>
              </w:rPr>
              <w:t>Ice Water Content/Liquid Water Content</w:t>
            </w:r>
          </w:p>
        </w:tc>
        <w:tc>
          <w:tcPr>
            <w:tcW w:w="1260" w:type="dxa"/>
          </w:tcPr>
          <w:p w14:paraId="16120845" w14:textId="77777777" w:rsidR="00CA3310" w:rsidRPr="00353C13" w:rsidRDefault="00CA3310" w:rsidP="00C772A7">
            <w:pPr>
              <w:widowControl w:val="0"/>
              <w:adjustRightInd w:val="0"/>
              <w:spacing w:after="240"/>
              <w:jc w:val="center"/>
              <w:rPr>
                <w:b/>
                <w:color w:val="000000" w:themeColor="text1"/>
                <w:sz w:val="16"/>
                <w:szCs w:val="16"/>
              </w:rPr>
            </w:pPr>
            <w:r>
              <w:rPr>
                <w:b/>
                <w:color w:val="000000" w:themeColor="text1"/>
                <w:sz w:val="16"/>
                <w:szCs w:val="16"/>
              </w:rPr>
              <w:t>ACRED</w:t>
            </w:r>
          </w:p>
        </w:tc>
        <w:tc>
          <w:tcPr>
            <w:tcW w:w="3330" w:type="dxa"/>
          </w:tcPr>
          <w:p w14:paraId="4CD3E967" w14:textId="761D56F2" w:rsidR="00CA3310" w:rsidRPr="00353C13" w:rsidRDefault="00CA3310" w:rsidP="00C772A7">
            <w:pPr>
              <w:widowControl w:val="0"/>
              <w:adjustRightInd w:val="0"/>
              <w:spacing w:after="240"/>
              <w:jc w:val="center"/>
              <w:rPr>
                <w:b/>
                <w:sz w:val="16"/>
                <w:szCs w:val="16"/>
              </w:rPr>
            </w:pPr>
            <w:r w:rsidRPr="00B13ECB">
              <w:rPr>
                <w:b/>
                <w:sz w:val="16"/>
                <w:szCs w:val="16"/>
              </w:rPr>
              <w:t>ARM Cloud Retrieval Ensemble Dataset</w:t>
            </w:r>
            <w:r w:rsidR="00F15341">
              <w:rPr>
                <w:b/>
                <w:sz w:val="16"/>
                <w:szCs w:val="16"/>
              </w:rPr>
              <w:t xml:space="preserve"> </w:t>
            </w:r>
            <w:r>
              <w:rPr>
                <w:b/>
                <w:sz w:val="16"/>
                <w:szCs w:val="16"/>
              </w:rPr>
              <w:t>[MACE and MICROBASE]</w:t>
            </w:r>
          </w:p>
        </w:tc>
        <w:tc>
          <w:tcPr>
            <w:tcW w:w="1710" w:type="dxa"/>
          </w:tcPr>
          <w:p w14:paraId="78ADDFF1" w14:textId="58D4668F" w:rsidR="00CA3310" w:rsidRDefault="00CA3310" w:rsidP="00C772A7">
            <w:pPr>
              <w:widowControl w:val="0"/>
              <w:adjustRightInd w:val="0"/>
              <w:spacing w:after="240"/>
              <w:jc w:val="center"/>
              <w:rPr>
                <w:b/>
                <w:sz w:val="16"/>
                <w:szCs w:val="16"/>
              </w:rPr>
            </w:pPr>
            <w:r>
              <w:rPr>
                <w:b/>
                <w:sz w:val="16"/>
                <w:szCs w:val="16"/>
              </w:rPr>
              <w:t>mo, da, hr</w:t>
            </w:r>
          </w:p>
        </w:tc>
        <w:tc>
          <w:tcPr>
            <w:tcW w:w="1710" w:type="dxa"/>
          </w:tcPr>
          <w:p w14:paraId="4175245A" w14:textId="77777777" w:rsidR="00CA3310" w:rsidRPr="00B13ECB" w:rsidRDefault="00CA3310" w:rsidP="00C772A7">
            <w:pPr>
              <w:widowControl w:val="0"/>
              <w:adjustRightInd w:val="0"/>
              <w:spacing w:after="240"/>
              <w:jc w:val="center"/>
              <w:rPr>
                <w:b/>
                <w:sz w:val="16"/>
                <w:szCs w:val="16"/>
              </w:rPr>
            </w:pPr>
            <w:r>
              <w:rPr>
                <w:b/>
                <w:sz w:val="16"/>
                <w:szCs w:val="16"/>
              </w:rPr>
              <w:t>sgp Site C1</w:t>
            </w:r>
          </w:p>
        </w:tc>
      </w:tr>
    </w:tbl>
    <w:p w14:paraId="7625E2DF" w14:textId="77777777" w:rsidR="00DF3E9E" w:rsidRPr="005B361E" w:rsidRDefault="00DF3E9E" w:rsidP="00DF3E9E">
      <w:pPr>
        <w:widowControl w:val="0"/>
        <w:autoSpaceDE w:val="0"/>
        <w:autoSpaceDN w:val="0"/>
        <w:adjustRightInd w:val="0"/>
        <w:rPr>
          <w:rFonts w:ascii="Palatino" w:hAnsi="Palatino"/>
          <w:sz w:val="20"/>
          <w:szCs w:val="20"/>
        </w:rPr>
      </w:pPr>
    </w:p>
    <w:p w14:paraId="0869FF23" w14:textId="70EA7239" w:rsidR="00DF3E9E" w:rsidRPr="00FF70C8" w:rsidRDefault="00C772A7" w:rsidP="00DF3E9E">
      <w:pPr>
        <w:widowControl w:val="0"/>
        <w:autoSpaceDE w:val="0"/>
        <w:autoSpaceDN w:val="0"/>
        <w:adjustRightInd w:val="0"/>
        <w:spacing w:after="240"/>
        <w:rPr>
          <w:rFonts w:ascii="Palatino" w:hAnsi="Palatino"/>
          <w:bCs/>
          <w:sz w:val="19"/>
          <w:szCs w:val="19"/>
        </w:rPr>
      </w:pPr>
      <w:r>
        <w:rPr>
          <w:rFonts w:ascii="Palatino" w:hAnsi="Palatino"/>
          <w:bCs/>
          <w:sz w:val="19"/>
          <w:szCs w:val="19"/>
        </w:rPr>
        <w:t>m</w:t>
      </w:r>
      <w:r w:rsidR="00CA3310">
        <w:rPr>
          <w:rFonts w:ascii="Palatino" w:hAnsi="Palatino"/>
          <w:bCs/>
          <w:sz w:val="19"/>
          <w:szCs w:val="19"/>
        </w:rPr>
        <w:t>o, da, hr</w:t>
      </w:r>
      <w:r w:rsidR="00DF3E9E" w:rsidRPr="00FF70C8">
        <w:rPr>
          <w:rFonts w:ascii="Palatino" w:hAnsi="Palatino"/>
          <w:bCs/>
          <w:sz w:val="19"/>
          <w:szCs w:val="19"/>
        </w:rPr>
        <w:t xml:space="preserve">: </w:t>
      </w:r>
      <w:r>
        <w:rPr>
          <w:rFonts w:ascii="Palatino" w:hAnsi="Palatino"/>
          <w:bCs/>
          <w:sz w:val="19"/>
          <w:szCs w:val="19"/>
        </w:rPr>
        <w:t>data are processed into monthly mean, daily mean and hourly mean.</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ACCESS1.0</w:t>
            </w:r>
          </w:p>
          <w:p w14:paraId="534BA9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w:t>
            </w:r>
          </w:p>
          <w:p w14:paraId="1A0299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FGOALS-g2</w:t>
            </w:r>
          </w:p>
          <w:p w14:paraId="18997B8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GFDL-HIRAM-C360</w:t>
            </w:r>
          </w:p>
          <w:p w14:paraId="01FE853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IPSL-CM5A-LR</w:t>
            </w:r>
          </w:p>
          <w:p w14:paraId="3063B04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IPSL-CM5B-LR</w:t>
            </w:r>
          </w:p>
          <w:p w14:paraId="7B6DE82F"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MPI-ESM-MR</w:t>
            </w:r>
          </w:p>
          <w:p w14:paraId="7D8B064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4B4C25BA" w:rsidR="00DF3E9E" w:rsidRPr="0051447D" w:rsidRDefault="00DF3E9E" w:rsidP="009F30F2">
      <w:pPr>
        <w:rPr>
          <w:rFonts w:ascii="Palatino Linotype" w:hAnsi="Palatino Linotype" w:cstheme="minorBidi"/>
        </w:rPr>
      </w:pPr>
      <w:r w:rsidRPr="00B15127">
        <w:rPr>
          <w:rFonts w:ascii="Palatino Linotype" w:hAnsi="Palatino Linotype" w:cstheme="minorBidi"/>
        </w:rPr>
        <w:t xml:space="preserve"> As an evaluation data product, the availability of the variables </w:t>
      </w:r>
      <w:r>
        <w:rPr>
          <w:rFonts w:ascii="Palatino Linotype" w:hAnsi="Palatino Linotype" w:cstheme="minorBidi"/>
        </w:rPr>
        <w:t xml:space="preserve">has to </w:t>
      </w:r>
      <w:r w:rsidRPr="00B15127">
        <w:rPr>
          <w:rFonts w:ascii="Palatino Linotype" w:hAnsi="Palatino Linotype" w:cstheme="minorBidi"/>
        </w:rPr>
        <w:t xml:space="preserve">depend on the input data streams; therefore it is recommended that scientific applications be cautious for </w:t>
      </w:r>
      <w:r>
        <w:rPr>
          <w:rFonts w:ascii="Palatino Linotype" w:hAnsi="Palatino Linotype" w:cstheme="minorBidi"/>
        </w:rPr>
        <w:t xml:space="preserve">the measurement uncertainty stems from the choice of input data streams. For instance, </w:t>
      </w:r>
      <w:r w:rsidR="00302E76" w:rsidRPr="00302E76">
        <w:rPr>
          <w:rFonts w:ascii="Palatino Linotype" w:hAnsi="Palatino Linotype" w:cstheme="minorBidi"/>
        </w:rPr>
        <w:t>large differe</w:t>
      </w:r>
      <w:r w:rsidR="00302E76">
        <w:rPr>
          <w:rFonts w:ascii="Palatino Linotype" w:hAnsi="Palatino Linotype" w:cstheme="minorBidi"/>
        </w:rPr>
        <w:t xml:space="preserve">nces are found in current cloud </w:t>
      </w:r>
      <w:r w:rsidR="00302E76" w:rsidRPr="00302E76">
        <w:rPr>
          <w:rFonts w:ascii="Palatino Linotype" w:hAnsi="Palatino Linotype" w:cstheme="minorBidi"/>
        </w:rPr>
        <w:t xml:space="preserve">products </w:t>
      </w:r>
      <w:r w:rsidR="00302E76">
        <w:rPr>
          <w:rFonts w:ascii="Palatino Linotype" w:hAnsi="Palatino Linotype" w:cstheme="minorBidi"/>
        </w:rPr>
        <w:t>(</w:t>
      </w:r>
      <w:r w:rsidR="0051447D">
        <w:rPr>
          <w:rFonts w:ascii="Palatino Linotype" w:hAnsi="Palatino Linotype" w:cstheme="minorBidi"/>
        </w:rPr>
        <w:t xml:space="preserve">i.e. </w:t>
      </w:r>
      <w:r w:rsidR="00302E76">
        <w:rPr>
          <w:rFonts w:ascii="Palatino Linotype" w:hAnsi="Palatino Linotype" w:cstheme="minorBidi"/>
        </w:rPr>
        <w:t xml:space="preserve">ice water content and liquid water </w:t>
      </w:r>
      <w:r w:rsidR="00C74124">
        <w:rPr>
          <w:rFonts w:ascii="Palatino Linotype" w:hAnsi="Palatino Linotype" w:cstheme="minorBidi"/>
        </w:rPr>
        <w:t>content</w:t>
      </w:r>
      <w:r w:rsidR="00302E76">
        <w:rPr>
          <w:rFonts w:ascii="Palatino Linotype" w:hAnsi="Palatino Linotype" w:cstheme="minorBidi"/>
        </w:rPr>
        <w:t>)</w:t>
      </w:r>
      <w:r w:rsidR="0051447D">
        <w:rPr>
          <w:rFonts w:ascii="Palatino Linotype" w:hAnsi="Palatino Linotype" w:cstheme="minorBidi"/>
        </w:rPr>
        <w:t xml:space="preserve"> </w:t>
      </w:r>
      <w:r w:rsidR="00302E76" w:rsidRPr="00302E76">
        <w:rPr>
          <w:rFonts w:ascii="Palatino Linotype" w:hAnsi="Palatino Linotype" w:cstheme="minorBidi"/>
        </w:rPr>
        <w:t>retrieved from ground-based remote sensing measurements using various retrieval</w:t>
      </w:r>
      <w:r w:rsidR="0051447D">
        <w:rPr>
          <w:rFonts w:ascii="Palatino Linotype" w:hAnsi="Palatino Linotype" w:cstheme="minorBidi"/>
        </w:rPr>
        <w:t xml:space="preserve"> </w:t>
      </w:r>
      <w:r w:rsidR="00302E76" w:rsidRPr="00302E76">
        <w:rPr>
          <w:rFonts w:ascii="Palatino Linotype" w:hAnsi="Palatino Linotype" w:cstheme="minorBidi"/>
        </w:rPr>
        <w:t>algorithms</w:t>
      </w:r>
      <w:r w:rsidR="0051447D">
        <w:rPr>
          <w:rFonts w:ascii="Palatino Linotype" w:hAnsi="Palatino Linotype" w:cstheme="minorBidi"/>
        </w:rPr>
        <w:t xml:space="preserve"> (MACE versus MICROBASE)</w:t>
      </w:r>
      <w:r w:rsidR="00C74124">
        <w:rPr>
          <w:rFonts w:ascii="Palatino Linotype" w:hAnsi="Palatino Linotype" w:cstheme="minorBidi"/>
        </w:rPr>
        <w:t xml:space="preserve"> [Zhao et al. 2012]</w:t>
      </w:r>
      <w:r w:rsidR="00302E76" w:rsidRPr="00302E76">
        <w:rPr>
          <w:rFonts w:ascii="Palatino Linotype" w:hAnsi="Palatino Linotype" w:cstheme="minorBidi"/>
        </w:rPr>
        <w:t>.</w:t>
      </w:r>
      <w:r w:rsidR="009F30F2">
        <w:rPr>
          <w:rFonts w:ascii="Palatino Linotype" w:hAnsi="Palatino Linotype" w:cstheme="minorBidi"/>
        </w:rPr>
        <w:t xml:space="preserve"> Further validation of current retrieval theories and </w:t>
      </w:r>
      <w:r w:rsidR="009F30F2" w:rsidRPr="009F30F2">
        <w:rPr>
          <w:rFonts w:ascii="Palatino Linotype" w:hAnsi="Palatino Linotype" w:cstheme="minorBidi"/>
        </w:rPr>
        <w:t xml:space="preserve">assumptions </w:t>
      </w:r>
      <w:r w:rsidR="009F30F2">
        <w:rPr>
          <w:rFonts w:ascii="Palatino Linotype" w:hAnsi="Palatino Linotype" w:cstheme="minorBidi"/>
        </w:rPr>
        <w:t>are needed in order to guide the use of these data products.</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0" w:name="_Ref294367791"/>
      <w:bookmarkStart w:id="1"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0"/>
      <w:bookmarkEnd w:id="1"/>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7D7AB9B2" w14:textId="3808531A" w:rsidR="00256C30" w:rsidRPr="00256C30" w:rsidRDefault="00DF3E9E" w:rsidP="00256C30">
      <w:pPr>
        <w:shd w:val="clear" w:color="auto" w:fill="EEECE1" w:themeFill="background2"/>
        <w:rPr>
          <w:rFonts w:ascii="Palatino Linotype" w:hAnsi="Palatino Linotype"/>
        </w:rPr>
      </w:pPr>
      <w:r w:rsidRPr="00F94BD2">
        <w:rPr>
          <w:rFonts w:ascii="Palatino Linotype" w:hAnsi="Palatino Linotype"/>
        </w:rPr>
        <w:t>a</w:t>
      </w:r>
      <w:r w:rsidR="00256C30" w:rsidRPr="00256C30">
        <w:t xml:space="preserve"> </w:t>
      </w:r>
      <w:r w:rsidR="00256C30" w:rsidRPr="00256C30">
        <w:rPr>
          <w:rFonts w:ascii="Palatino Linotype" w:hAnsi="Palatino Linotype"/>
        </w:rPr>
        <w:t>|____arm_diags</w:t>
      </w:r>
    </w:p>
    <w:p w14:paraId="6832D5F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|____.DS_Store</w:t>
      </w:r>
    </w:p>
    <w:p w14:paraId="0146C7E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|______init__.py</w:t>
      </w:r>
    </w:p>
    <w:p w14:paraId="136F0591"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|____arm_driver.py</w:t>
      </w:r>
    </w:p>
    <w:p w14:paraId="253544B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|____arm_parameter.py</w:t>
      </w:r>
    </w:p>
    <w:p w14:paraId="07994E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|____arm_parser.py</w:t>
      </w:r>
    </w:p>
    <w:p w14:paraId="1F6FC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|____basicparameter.py</w:t>
      </w:r>
    </w:p>
    <w:p w14:paraId="1DFA9C9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|____cmip</w:t>
      </w:r>
    </w:p>
    <w:p w14:paraId="3255E6F8"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|____diags_all.json</w:t>
      </w:r>
    </w:p>
    <w:p w14:paraId="248A8A5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|____examples</w:t>
      </w:r>
    </w:p>
    <w:p w14:paraId="71E98C9F"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|____diags_set1.json</w:t>
      </w:r>
    </w:p>
    <w:p w14:paraId="27C498A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|____diags_set2.json</w:t>
      </w:r>
    </w:p>
    <w:p w14:paraId="3C2000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|____diags_set3.json</w:t>
      </w:r>
    </w:p>
    <w:p w14:paraId="32C8A7C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|____diags_set4.json</w:t>
      </w:r>
    </w:p>
    <w:p w14:paraId="56DA4135"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|____diags_set6.json</w:t>
      </w:r>
    </w:p>
    <w:p w14:paraId="0E04710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|____diags_sets.json</w:t>
      </w:r>
    </w:p>
    <w:p w14:paraId="5B70430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|____misc</w:t>
      </w:r>
    </w:p>
    <w:p w14:paraId="7CC738B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|____ARM_logo.png</w:t>
      </w:r>
    </w:p>
    <w:p w14:paraId="01D74C3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|____model</w:t>
      </w:r>
    </w:p>
    <w:p w14:paraId="3B930F4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|____observation</w:t>
      </w:r>
    </w:p>
    <w:p w14:paraId="13BDEC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|____src</w:t>
      </w:r>
    </w:p>
    <w:p w14:paraId="783885DC"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|______init__.py</w:t>
      </w:r>
    </w:p>
    <w:p w14:paraId="2B7449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|____annual_cycle.py</w:t>
      </w:r>
    </w:p>
    <w:p w14:paraId="273D215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|____annual_cycle_zt.py</w:t>
      </w:r>
    </w:p>
    <w:p w14:paraId="6F34C5F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|____create_htmls.py</w:t>
      </w:r>
    </w:p>
    <w:p w14:paraId="569C94B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|____diurnal_cycle.py</w:t>
      </w:r>
    </w:p>
    <w:p w14:paraId="5002ED0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|____pdf_daily.py</w:t>
      </w:r>
    </w:p>
    <w:p w14:paraId="1B4CF62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|____seasonal_mean.py</w:t>
      </w:r>
    </w:p>
    <w:p w14:paraId="728ADA6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|____taylor_diagram.py</w:t>
      </w:r>
    </w:p>
    <w:p w14:paraId="53E984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|____varid_dict.py</w:t>
      </w:r>
    </w:p>
    <w:p w14:paraId="4097746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|____arm_diags.egg-info</w:t>
      </w:r>
    </w:p>
    <w:p w14:paraId="0D585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|____dependency_links.txt</w:t>
      </w:r>
    </w:p>
    <w:p w14:paraId="10D6D16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|____not-zip-safe</w:t>
      </w:r>
    </w:p>
    <w:p w14:paraId="1C2CF5D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|____PKG-INFO</w:t>
      </w:r>
    </w:p>
    <w:p w14:paraId="03E068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|____SOURCES.txt</w:t>
      </w:r>
    </w:p>
    <w:p w14:paraId="53278B1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|____top_level.txt</w:t>
      </w:r>
    </w:p>
    <w:p w14:paraId="13621C5F" w14:textId="2F10F15D" w:rsidR="00DF3E9E" w:rsidRDefault="00256C30" w:rsidP="00256C30">
      <w:pPr>
        <w:shd w:val="clear" w:color="auto" w:fill="EEECE1" w:themeFill="background2"/>
        <w:rPr>
          <w:rFonts w:ascii="Palatino Linotype" w:hAnsi="Palatino Linotype"/>
        </w:rPr>
      </w:pPr>
      <w:r w:rsidRPr="00256C30">
        <w:rPr>
          <w:rFonts w:ascii="Palatino Linotype" w:hAnsi="Palatino Linotype"/>
        </w:rPr>
        <w:t>|____ARM_gcm_diag_pkg_TechReport_v1.docx</w:t>
      </w: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5CCA1F93" w14:textId="4B16ED58" w:rsidR="00DF3E9E" w:rsidRDefault="00DF3E9E" w:rsidP="008E2E0D">
      <w:pPr>
        <w:ind w:firstLine="220"/>
        <w:rPr>
          <w:rFonts w:ascii="Palatino Linotype" w:hAnsi="Palatino Linotype"/>
        </w:rPr>
      </w:pPr>
      <w:r>
        <w:rPr>
          <w:rFonts w:ascii="Palatino Linotype" w:hAnsi="Palatino Linotype"/>
          <w:b/>
        </w:rPr>
        <w:t>3.3</w:t>
      </w:r>
      <w:r w:rsidRPr="009C439B">
        <w:rPr>
          <w:rFonts w:ascii="Palatino Linotype" w:hAnsi="Palatino Linotype"/>
          <w:b/>
        </w:rPr>
        <w:t xml:space="preserve"> </w:t>
      </w:r>
      <w:r>
        <w:rPr>
          <w:rFonts w:ascii="Palatino Linotype" w:hAnsi="Palatino Linotype"/>
          <w:b/>
        </w:rPr>
        <w:t xml:space="preserve">Set-up a </w:t>
      </w:r>
      <w:r w:rsidR="00254B7A">
        <w:rPr>
          <w:rFonts w:ascii="Palatino Linotype" w:hAnsi="Palatino Linotype"/>
          <w:b/>
        </w:rPr>
        <w:t>test case</w:t>
      </w:r>
      <w:r>
        <w:rPr>
          <w:rFonts w:ascii="Palatino Linotype" w:hAnsi="Palatino Linotype"/>
        </w:rPr>
        <w:t xml:space="preserve"> </w:t>
      </w:r>
    </w:p>
    <w:p w14:paraId="1877E849" w14:textId="77777777" w:rsidR="008E2E0D" w:rsidRDefault="008E2E0D" w:rsidP="008E2E0D">
      <w:pPr>
        <w:rPr>
          <w:rFonts w:ascii="Palatino Linotype" w:hAnsi="Palatino Linotype"/>
        </w:rPr>
      </w:pPr>
    </w:p>
    <w:p w14:paraId="499C24FB" w14:textId="1BFCAE42" w:rsidR="008E2E0D" w:rsidRDefault="008E2E0D" w:rsidP="008E2E0D">
      <w:pPr>
        <w:rPr>
          <w:rFonts w:ascii="Palatino Linotype" w:hAnsi="Palatino Linotype"/>
        </w:rPr>
      </w:pPr>
      <w:r>
        <w:rPr>
          <w:rFonts w:ascii="Palatino Linotype" w:hAnsi="Palatino Linotype"/>
        </w:rPr>
        <w:t>First</w:t>
      </w:r>
      <w:r w:rsidR="006D2E6D">
        <w:rPr>
          <w:rFonts w:ascii="Palatino Linotype" w:hAnsi="Palatino Linotype"/>
        </w:rPr>
        <w:t xml:space="preserve"> to create a</w:t>
      </w:r>
      <w:r w:rsidR="00971460">
        <w:rPr>
          <w:rFonts w:ascii="Palatino Linotype" w:hAnsi="Palatino Linotype"/>
        </w:rPr>
        <w:t xml:space="preserve"> conda enviroment:</w:t>
      </w:r>
    </w:p>
    <w:p w14:paraId="0BE97234" w14:textId="34C8D30D" w:rsidR="00971460" w:rsidRDefault="001D737F" w:rsidP="00971460">
      <w:pPr>
        <w:shd w:val="clear" w:color="auto" w:fill="EEECE1" w:themeFill="background2"/>
        <w:rPr>
          <w:rFonts w:ascii="Palatino Linotype" w:hAnsi="Palatino Linotype"/>
        </w:rPr>
      </w:pPr>
      <w:r>
        <w:rPr>
          <w:rFonts w:ascii="Palatino Linotype" w:hAnsi="Palatino Linotype"/>
        </w:rPr>
        <w:t>$conda create</w:t>
      </w:r>
      <w:r w:rsidR="00971460" w:rsidRPr="00971460">
        <w:rPr>
          <w:rFonts w:ascii="Palatino Linotype" w:hAnsi="Palatino Linotype"/>
        </w:rPr>
        <w:t xml:space="preserve"> </w:t>
      </w:r>
      <w:r>
        <w:rPr>
          <w:rFonts w:ascii="Palatino Linotype" w:hAnsi="Palatino Linotype"/>
        </w:rPr>
        <w:t xml:space="preserve">-n </w:t>
      </w:r>
      <w:r w:rsidR="00EA1F24">
        <w:rPr>
          <w:rFonts w:ascii="Palatino Linotype" w:hAnsi="Palatino Linotype"/>
        </w:rPr>
        <w:t xml:space="preserve">arm_diags_env </w:t>
      </w:r>
      <w:r w:rsidR="00971460" w:rsidRPr="00971460">
        <w:rPr>
          <w:rFonts w:ascii="Palatino Linotype" w:hAnsi="Palatino Linotype"/>
        </w:rPr>
        <w:t xml:space="preserve">cdp cdutil genutil cdms2 </w:t>
      </w:r>
      <w:proofErr w:type="spellStart"/>
      <w:r w:rsidR="00971460" w:rsidRPr="00971460">
        <w:rPr>
          <w:rFonts w:ascii="Palatino Linotype" w:hAnsi="Palatino Linotype"/>
        </w:rPr>
        <w:t>numpy</w:t>
      </w:r>
      <w:proofErr w:type="spellEnd"/>
      <w:r w:rsidR="00971460" w:rsidRPr="00971460">
        <w:rPr>
          <w:rFonts w:ascii="Palatino Linotype" w:hAnsi="Palatino Linotype"/>
        </w:rPr>
        <w:t xml:space="preserve"> </w:t>
      </w:r>
      <w:proofErr w:type="spellStart"/>
      <w:r w:rsidR="004B7A44">
        <w:rPr>
          <w:rFonts w:ascii="Palatino Linotype" w:hAnsi="Palatino Linotype"/>
        </w:rPr>
        <w:t>matplotlib</w:t>
      </w:r>
      <w:proofErr w:type="spellEnd"/>
      <w:r w:rsidR="004B7A44">
        <w:rPr>
          <w:rFonts w:ascii="Palatino Linotype" w:hAnsi="Palatino Linotype"/>
        </w:rPr>
        <w:t xml:space="preserve"> </w:t>
      </w:r>
      <w:proofErr w:type="spellStart"/>
      <w:r w:rsidR="002D6094">
        <w:rPr>
          <w:rFonts w:ascii="Palatino Linotype" w:hAnsi="Palatino Linotype"/>
        </w:rPr>
        <w:t>scipy</w:t>
      </w:r>
      <w:proofErr w:type="spellEnd"/>
      <w:r w:rsidR="002D6094">
        <w:rPr>
          <w:rFonts w:ascii="Palatino Linotype" w:hAnsi="Palatino Linotype"/>
        </w:rPr>
        <w:t xml:space="preserve"> </w:t>
      </w:r>
      <w:r w:rsidR="00971460" w:rsidRPr="00971460">
        <w:rPr>
          <w:rFonts w:ascii="Palatino Linotype" w:hAnsi="Palatino Linotype"/>
        </w:rPr>
        <w:t xml:space="preserve">-c </w:t>
      </w:r>
      <w:proofErr w:type="spellStart"/>
      <w:r w:rsidR="00971460" w:rsidRPr="00971460">
        <w:rPr>
          <w:rFonts w:ascii="Palatino Linotype" w:hAnsi="Palatino Linotype"/>
        </w:rPr>
        <w:t>conda</w:t>
      </w:r>
      <w:proofErr w:type="spellEnd"/>
      <w:r w:rsidR="00971460" w:rsidRPr="00971460">
        <w:rPr>
          <w:rFonts w:ascii="Palatino Linotype" w:hAnsi="Palatino Linotype"/>
        </w:rPr>
        <w:t xml:space="preserve">-forge -c </w:t>
      </w:r>
      <w:proofErr w:type="spellStart"/>
      <w:r w:rsidR="00971460" w:rsidRPr="00971460">
        <w:rPr>
          <w:rFonts w:ascii="Palatino Linotype" w:hAnsi="Palatino Linotype"/>
        </w:rPr>
        <w:t>uvcdat</w:t>
      </w:r>
      <w:proofErr w:type="spellEnd"/>
    </w:p>
    <w:p w14:paraId="163F9EF9" w14:textId="3EC57ABE" w:rsidR="001D737F" w:rsidRPr="00971460" w:rsidRDefault="001D737F" w:rsidP="00971460">
      <w:pPr>
        <w:shd w:val="clear" w:color="auto" w:fill="EEECE1" w:themeFill="background2"/>
        <w:rPr>
          <w:rFonts w:ascii="Palatino Linotype" w:hAnsi="Palatino Linotype"/>
        </w:rPr>
      </w:pPr>
      <w:r>
        <w:rPr>
          <w:rFonts w:ascii="Palatino Linotype" w:hAnsi="Palatino Linotype"/>
        </w:rPr>
        <w:t>$source activate arm_diags_env</w:t>
      </w:r>
    </w:p>
    <w:p w14:paraId="30D6D6D3" w14:textId="07862C8C" w:rsidR="00971460" w:rsidRDefault="006D2E6D" w:rsidP="008E2E0D">
      <w:pPr>
        <w:rPr>
          <w:rFonts w:ascii="Palatino Linotype" w:hAnsi="Palatino Linotype"/>
        </w:rPr>
      </w:pPr>
      <w:r>
        <w:rPr>
          <w:rFonts w:ascii="Palatino Linotype" w:hAnsi="Palatino Linotype"/>
        </w:rPr>
        <w:t xml:space="preserve"> </w:t>
      </w:r>
    </w:p>
    <w:p w14:paraId="65D06A2D" w14:textId="5E5CC0DC" w:rsidR="006D2E6D" w:rsidRDefault="006D2E6D" w:rsidP="008E2E0D">
      <w:pPr>
        <w:rPr>
          <w:rFonts w:ascii="Palatino Linotype" w:hAnsi="Palatino Linotype"/>
        </w:rPr>
      </w:pPr>
      <w:r>
        <w:rPr>
          <w:rFonts w:ascii="Palatino Linotype" w:hAnsi="Palatino Linotype"/>
        </w:rPr>
        <w:t>To install the package, cd &lt;Your directory&gt;/, type following:</w:t>
      </w:r>
    </w:p>
    <w:p w14:paraId="4167B56D" w14:textId="163B7B86" w:rsidR="006D2E6D" w:rsidRDefault="006D2E6D" w:rsidP="006D2E6D">
      <w:pPr>
        <w:shd w:val="clear" w:color="auto" w:fill="EEECE1" w:themeFill="background2"/>
        <w:rPr>
          <w:rFonts w:ascii="Palatino Linotype" w:hAnsi="Palatino Linotype"/>
        </w:rPr>
      </w:pPr>
      <w:r>
        <w:rPr>
          <w:rFonts w:ascii="Palatino Linotype" w:hAnsi="Palatino Linotype"/>
        </w:rPr>
        <w:t>$python setup.py install</w:t>
      </w:r>
    </w:p>
    <w:p w14:paraId="3DDA0037" w14:textId="77777777" w:rsidR="006D2E6D" w:rsidRPr="008E2E0D" w:rsidRDefault="006D2E6D" w:rsidP="008E2E0D">
      <w:pPr>
        <w:rPr>
          <w:rFonts w:ascii="Palatino Linotype" w:hAnsi="Palatino Linotype"/>
        </w:rPr>
      </w:pPr>
    </w:p>
    <w:p w14:paraId="71634220" w14:textId="77777777" w:rsidR="00254B7A" w:rsidRDefault="00DF3E9E" w:rsidP="00DF3E9E">
      <w:pPr>
        <w:rPr>
          <w:rFonts w:ascii="Palatino Linotype" w:hAnsi="Palatino Linotype"/>
        </w:rPr>
      </w:pPr>
      <w:r>
        <w:rPr>
          <w:rFonts w:ascii="Palatino Linotype" w:hAnsi="Palatino Linotype"/>
        </w:rPr>
        <w:t xml:space="preserve">A working </w:t>
      </w:r>
      <w:r w:rsidR="00254B7A">
        <w:rPr>
          <w:rFonts w:ascii="Palatino Linotype" w:hAnsi="Palatino Linotype"/>
        </w:rPr>
        <w:t>test case</w:t>
      </w:r>
      <w:r>
        <w:rPr>
          <w:rFonts w:ascii="Palatino Linotype" w:hAnsi="Palatino Linotype"/>
        </w:rPr>
        <w:t xml:space="preserve"> has been set up for the users to run the package </w:t>
      </w:r>
      <w:r w:rsidRPr="008175E9">
        <w:rPr>
          <w:rFonts w:ascii="Palatino Linotype" w:hAnsi="Palatino Linotype"/>
        </w:rPr>
        <w:t>out-of-the-box</w:t>
      </w:r>
      <w:r>
        <w:rPr>
          <w:rFonts w:ascii="Palatino Linotype" w:hAnsi="Palatino Linotype"/>
        </w:rPr>
        <w:t>. In th</w:t>
      </w:r>
      <w:r w:rsidR="00254B7A">
        <w:rPr>
          <w:rFonts w:ascii="Palatino Linotype" w:hAnsi="Palatino Linotype"/>
        </w:rPr>
        <w:t>is case, all the observation, CMIP data, test data should be downloaded</w:t>
      </w:r>
      <w:r>
        <w:rPr>
          <w:rFonts w:ascii="Palatino Linotype" w:hAnsi="Palatino Linotype"/>
        </w:rPr>
        <w:t xml:space="preserve"> placed under directoris: </w:t>
      </w:r>
    </w:p>
    <w:p w14:paraId="220C40BA" w14:textId="75AC8738" w:rsidR="00254B7A" w:rsidRDefault="000E4678" w:rsidP="00DF3E9E">
      <w:pPr>
        <w:rPr>
          <w:rFonts w:ascii="Palatino Linotype" w:hAnsi="Palatino Linotype"/>
        </w:rPr>
      </w:pPr>
      <w:r>
        <w:rPr>
          <w:rFonts w:ascii="Palatino Linotype" w:hAnsi="Palatino Linotype"/>
        </w:rPr>
        <w:t>&lt;Your directory&gt;</w:t>
      </w:r>
      <w:r w:rsidR="00DF3E9E">
        <w:rPr>
          <w:rFonts w:ascii="Palatino Linotype" w:hAnsi="Palatino Linotype"/>
        </w:rPr>
        <w:t>/</w:t>
      </w:r>
      <w:r w:rsidR="00254B7A">
        <w:rPr>
          <w:rFonts w:ascii="Palatino Linotype" w:hAnsi="Palatino Linotype"/>
        </w:rPr>
        <w:t>arm_diags</w:t>
      </w:r>
      <w:r w:rsidR="00DF3E9E">
        <w:rPr>
          <w:rFonts w:ascii="Palatino Linotype" w:hAnsi="Palatino Linotype"/>
        </w:rPr>
        <w:t>/observation</w:t>
      </w:r>
    </w:p>
    <w:p w14:paraId="0C146843" w14:textId="77777777" w:rsidR="00254B7A" w:rsidRDefault="00DF3E9E" w:rsidP="00DF3E9E">
      <w:pPr>
        <w:rPr>
          <w:rFonts w:ascii="Palatino Linotype" w:hAnsi="Palatino Linotype"/>
        </w:rPr>
      </w:pPr>
      <w:r>
        <w:rPr>
          <w:rFonts w:ascii="Palatino Linotype" w:hAnsi="Palatino Linotype"/>
        </w:rPr>
        <w:t xml:space="preserve"> </w:t>
      </w:r>
      <w:r w:rsidR="000E4678">
        <w:rPr>
          <w:rFonts w:ascii="Palatino Linotype" w:hAnsi="Palatino Linotype"/>
        </w:rPr>
        <w:t>&lt;Your directory&gt;</w:t>
      </w:r>
      <w:r>
        <w:rPr>
          <w:rFonts w:ascii="Palatino Linotype" w:hAnsi="Palatino Linotype"/>
        </w:rPr>
        <w:t>/</w:t>
      </w:r>
      <w:r w:rsidR="00254B7A" w:rsidRPr="00254B7A">
        <w:rPr>
          <w:rFonts w:ascii="Palatino Linotype" w:hAnsi="Palatino Linotype"/>
        </w:rPr>
        <w:t xml:space="preserve"> </w:t>
      </w:r>
      <w:r w:rsidR="00254B7A">
        <w:rPr>
          <w:rFonts w:ascii="Palatino Linotype" w:hAnsi="Palatino Linotype"/>
        </w:rPr>
        <w:t xml:space="preserve">arm_diags </w:t>
      </w:r>
      <w:r>
        <w:rPr>
          <w:rFonts w:ascii="Palatino Linotype" w:hAnsi="Palatino Linotype"/>
        </w:rPr>
        <w:t>/cmip</w:t>
      </w:r>
    </w:p>
    <w:p w14:paraId="512A383F" w14:textId="3FB26023" w:rsidR="00DF3E9E" w:rsidRDefault="00254B7A" w:rsidP="00DF3E9E">
      <w:pPr>
        <w:rPr>
          <w:rFonts w:ascii="Palatino Linotype" w:hAnsi="Palatino Linotype"/>
        </w:rPr>
      </w:pPr>
      <w:r>
        <w:rPr>
          <w:rFonts w:ascii="Palatino Linotype" w:hAnsi="Palatino Linotype"/>
        </w:rPr>
        <w:t xml:space="preserve"> &lt;Your directory&gt;/</w:t>
      </w:r>
      <w:r w:rsidRPr="00254B7A">
        <w:rPr>
          <w:rFonts w:ascii="Palatino Linotype" w:hAnsi="Palatino Linotype"/>
        </w:rPr>
        <w:t xml:space="preserve"> </w:t>
      </w:r>
      <w:r>
        <w:rPr>
          <w:rFonts w:ascii="Palatino Linotype" w:hAnsi="Palatino Linotype"/>
        </w:rPr>
        <w:t>arm_diags /model</w:t>
      </w:r>
      <w:r w:rsidR="00DF3E9E">
        <w:rPr>
          <w:rFonts w:ascii="Palatino Linotype" w:hAnsi="Palatino Linotype"/>
        </w:rPr>
        <w:t>, respectively</w:t>
      </w:r>
      <w:r>
        <w:rPr>
          <w:rFonts w:ascii="Palatino Linotype" w:hAnsi="Palatino Linotype"/>
        </w:rPr>
        <w:t>.</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7018E7A6"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python </w:t>
      </w:r>
      <w:r w:rsidR="00962C39" w:rsidRPr="00962C39">
        <w:rPr>
          <w:rFonts w:ascii="Palatino Linotype" w:hAnsi="Palatino Linotype"/>
        </w:rPr>
        <w:t>arm_driver.py</w:t>
      </w:r>
      <w:r w:rsidR="00962C39">
        <w:rPr>
          <w:rFonts w:ascii="Palatino Linotype" w:hAnsi="Palatino Linotype"/>
        </w:rPr>
        <w:t xml:space="preserve"> -p </w:t>
      </w:r>
      <w:r w:rsidR="003614B4" w:rsidRPr="003614B4">
        <w:rPr>
          <w:rFonts w:ascii="Palatino Linotype" w:hAnsi="Palatino Linotype"/>
        </w:rPr>
        <w:t>basicparameter.py</w:t>
      </w:r>
      <w:bookmarkStart w:id="2" w:name="_GoBack"/>
      <w:bookmarkEnd w:id="2"/>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1866AD95"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r w:rsidR="00962C39">
        <w:rPr>
          <w:rFonts w:ascii="Palatino Linotype" w:hAnsi="Palatino Linotype"/>
        </w:rPr>
        <w:t>arm_diags/case_name</w:t>
      </w:r>
      <w:r>
        <w:rPr>
          <w:rFonts w:ascii="Palatino Linotype" w:hAnsi="Palatino Linotype"/>
        </w:rPr>
        <w:t>/html/ARM_diag.html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6B101770" w:rsidR="00DF3E9E" w:rsidRPr="00B35E62" w:rsidRDefault="00DF3E9E" w:rsidP="00DF3E9E">
      <w:pPr>
        <w:shd w:val="clear" w:color="auto" w:fill="EEECE1" w:themeFill="background2"/>
        <w:rPr>
          <w:rFonts w:ascii="Palatino Linotype" w:hAnsi="Palatino Linotype"/>
        </w:rPr>
      </w:pPr>
      <w:r>
        <w:rPr>
          <w:rFonts w:ascii="Palatino Linotype" w:hAnsi="Palatino Linotype"/>
        </w:rPr>
        <w:t xml:space="preserve">$xdg-open </w:t>
      </w:r>
      <w:r w:rsidR="000E4678">
        <w:rPr>
          <w:rFonts w:ascii="Palatino Linotype" w:hAnsi="Palatino Linotype"/>
        </w:rPr>
        <w:t>&lt;Your directory&gt;</w:t>
      </w:r>
      <w:r>
        <w:rPr>
          <w:rFonts w:ascii="Palatino Linotype" w:hAnsi="Palatino Linotype"/>
        </w:rPr>
        <w:t>/</w:t>
      </w:r>
      <w:r w:rsidR="00962C39" w:rsidRPr="00962C39">
        <w:rPr>
          <w:rFonts w:ascii="Palatino Linotype" w:hAnsi="Palatino Linotype"/>
        </w:rPr>
        <w:t xml:space="preserve"> </w:t>
      </w:r>
      <w:r w:rsidR="00962C39">
        <w:rPr>
          <w:rFonts w:ascii="Palatino Linotype" w:hAnsi="Palatino Linotype"/>
        </w:rPr>
        <w:t>arm_diags/case_name</w:t>
      </w:r>
      <w:r>
        <w:rPr>
          <w:rFonts w:ascii="Palatino Linotype" w:hAnsi="Palatino Linotype"/>
        </w:rPr>
        <w:t>/html/ARM_diag.html</w:t>
      </w:r>
    </w:p>
    <w:p w14:paraId="5BC5970F" w14:textId="77777777" w:rsidR="00DF3E9E" w:rsidRDefault="00DF3E9E" w:rsidP="00DF3E9E">
      <w:pPr>
        <w:rPr>
          <w:rFonts w:ascii="Palatino Linotype" w:hAnsi="Palatino Linotype"/>
        </w:rPr>
      </w:pPr>
    </w:p>
    <w:p w14:paraId="6D395EB3" w14:textId="0851DC4C" w:rsidR="007856F1" w:rsidRDefault="007856F1" w:rsidP="00DF3E9E">
      <w:pPr>
        <w:rPr>
          <w:rFonts w:ascii="Palatino Linotype" w:hAnsi="Palatino Linotype"/>
        </w:rPr>
      </w:pPr>
      <w:r>
        <w:rPr>
          <w:rFonts w:ascii="Palatino Linotype" w:hAnsi="Palatino Linotype"/>
        </w:rPr>
        <w:t>For setting up customized runs</w:t>
      </w:r>
      <w:r w:rsidR="002633CE">
        <w:rPr>
          <w:rFonts w:ascii="Palatino Linotype" w:hAnsi="Palatino Linotype"/>
        </w:rPr>
        <w:t xml:space="preserve"> and creating</w:t>
      </w:r>
      <w:r w:rsidR="000A7753">
        <w:rPr>
          <w:rFonts w:ascii="Palatino Linotype" w:hAnsi="Palatino Linotype"/>
        </w:rPr>
        <w:t xml:space="preserve"> new cases</w:t>
      </w:r>
      <w:r>
        <w:rPr>
          <w:rFonts w:ascii="Palatino Linotype" w:hAnsi="Palatino Linotype"/>
        </w:rPr>
        <w:t>, check details at:</w:t>
      </w:r>
    </w:p>
    <w:p w14:paraId="75E5A1DD" w14:textId="77777777" w:rsidR="007856F1" w:rsidRDefault="007856F1" w:rsidP="00DF3E9E">
      <w:pPr>
        <w:rPr>
          <w:rFonts w:ascii="Palatino Linotype" w:hAnsi="Palatino Linotype"/>
        </w:rPr>
      </w:pPr>
      <w:r w:rsidRPr="007856F1">
        <w:rPr>
          <w:rFonts w:ascii="Palatino Linotype" w:hAnsi="Palatino Linotype"/>
        </w:rPr>
        <w:t>https://github.com/ARM-DOE/arm-gcm-diagnostics/tree/master/arm_diags</w:t>
      </w:r>
    </w:p>
    <w:p w14:paraId="367D8F1E" w14:textId="057F8A8F" w:rsidR="007856F1" w:rsidRPr="008175E9" w:rsidRDefault="007856F1" w:rsidP="00DF3E9E">
      <w:pPr>
        <w:rPr>
          <w:rFonts w:ascii="Palatino Linotype" w:hAnsi="Palatino Linotype"/>
        </w:rPr>
      </w:pPr>
      <w:r>
        <w:rPr>
          <w:rFonts w:ascii="Palatino Linotype" w:hAnsi="Palatino Linotype"/>
        </w:rPr>
        <w:t xml:space="preserve"> </w:t>
      </w: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3E588AC5" w14:textId="77777777" w:rsidR="006D2E6D" w:rsidRDefault="006D2E6D" w:rsidP="00DF3E9E">
      <w:pPr>
        <w:rPr>
          <w:rFonts w:ascii="Palatino Linotype" w:hAnsi="Palatino Linotype"/>
          <w:b/>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512DB4BC" w14:textId="5C1D8680" w:rsidR="0039186D" w:rsidRDefault="0039186D" w:rsidP="00DF3E9E">
      <w:pPr>
        <w:pStyle w:val="References"/>
        <w:tabs>
          <w:tab w:val="left" w:pos="8640"/>
        </w:tabs>
        <w:ind w:right="0"/>
        <w:rPr>
          <w:noProof w:val="0"/>
        </w:rPr>
      </w:pPr>
      <w:r w:rsidRPr="0039186D">
        <w:rPr>
          <w:noProof w:val="0"/>
        </w:rPr>
        <w:t>Berg, L. K., and Lamb, P. J. (2016). Surface Properties and Interactions: Coupling the Land and Atmosphere within the ARM Program. The Atmospheric Radiation Measurement (ARM) Program: The First 20 Years, Meteor. Monogr., No. 57, Amer. Meteor. Soc., doi: http://dx.doi.org/10.1175/AMSMONOGRAPHS-D-15-0044.1</w:t>
      </w:r>
    </w:p>
    <w:p w14:paraId="0DE550CC" w14:textId="5C6FDC41" w:rsidR="00E63F09" w:rsidRDefault="00E63F09" w:rsidP="00DF3E9E">
      <w:pPr>
        <w:pStyle w:val="References"/>
        <w:tabs>
          <w:tab w:val="left" w:pos="8640"/>
        </w:tabs>
        <w:ind w:right="0"/>
        <w:rPr>
          <w:noProof w:val="0"/>
        </w:rPr>
      </w:pPr>
      <w:r w:rsidRPr="00E63F09">
        <w:rPr>
          <w:noProof w:val="0"/>
        </w:rPr>
        <w:t>Bond, D. (2005), Soil Water and Temperature System (SWATS) Handbook, ARM Technical Report TR-063, U.S. Department of Energy,Washington, D. C.</w:t>
      </w:r>
    </w:p>
    <w:p w14:paraId="67315693" w14:textId="4A61A41F" w:rsidR="00902B09" w:rsidRDefault="00902B09" w:rsidP="00DF3E9E">
      <w:pPr>
        <w:pStyle w:val="References"/>
        <w:tabs>
          <w:tab w:val="left" w:pos="8640"/>
        </w:tabs>
        <w:ind w:right="0"/>
        <w:rPr>
          <w:noProof w:val="0"/>
        </w:rPr>
      </w:pPr>
      <w:r w:rsidRPr="00902B09">
        <w:rPr>
          <w:noProof w:val="0"/>
        </w:rPr>
        <w:t>Breidenbach, D. J. Seo, Richard Fulton. 1998. Stage II and III Post Processing of NEXRAD Precipitation Estimates in the Modernized Weather Service. AMS 78th Annual Meeting Phoenix, Arizona, January 1998.</w:t>
      </w: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Default="00DF3E9E" w:rsidP="00DF3E9E">
      <w:pPr>
        <w:pStyle w:val="References"/>
        <w:tabs>
          <w:tab w:val="left" w:pos="8640"/>
        </w:tabs>
        <w:ind w:right="0"/>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83C5832" w14:textId="054CD432" w:rsidR="00902B09" w:rsidRPr="00CD550B" w:rsidRDefault="00902B09" w:rsidP="00DF3E9E">
      <w:pPr>
        <w:pStyle w:val="References"/>
        <w:tabs>
          <w:tab w:val="left" w:pos="8640"/>
        </w:tabs>
        <w:ind w:right="0"/>
        <w:rPr>
          <w:noProof w:val="0"/>
        </w:rPr>
      </w:pPr>
      <w:r w:rsidRPr="00902B09">
        <w:rPr>
          <w:noProof w:val="0"/>
        </w:rPr>
        <w:t>Fulton, R.A., J.P. Breidenbach, D.J. Seo, D.A. Miller, and T. O’Bannon (1998), The WSR-88D Rainfall Algorithm. Wea. Forecasting, 13, 377–395.</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317C76A6" w14:textId="1AA8F4B6" w:rsidR="00E63F09" w:rsidRDefault="00E63F09" w:rsidP="00DF3E9E">
      <w:pPr>
        <w:pStyle w:val="References"/>
        <w:tabs>
          <w:tab w:val="left" w:pos="8640"/>
        </w:tabs>
        <w:ind w:right="0"/>
      </w:pPr>
      <w:r w:rsidRPr="00E63F09">
        <w:t>McComiskey, A. and Ferrare, R.A., 2016. Aerosol physical and optical properties and processes in the ARM Program. The Atmospheric Radiation Measurement (ARM) Program: The First 20 Years, Meteor. Monogr., No. 57, Amer. Meteor. Soc., http://dx.doi.org/10.1175/AMSMONOGRAPHS-D-15-0028.1</w:t>
      </w:r>
    </w:p>
    <w:p w14:paraId="3C5ADD16" w14:textId="4C5F78AC" w:rsidR="00E63F09" w:rsidRDefault="00E63F09" w:rsidP="00DF3E9E">
      <w:pPr>
        <w:pStyle w:val="References"/>
        <w:tabs>
          <w:tab w:val="left" w:pos="8640"/>
        </w:tabs>
        <w:ind w:right="0"/>
      </w:pPr>
      <w:r w:rsidRPr="00E63F09">
        <w:t>Michalsky, J. J., and C. N. Long, 2016: ARM solar and infrared broadband and filter radiometry. The Atmospheric Radiation Measurement (ARM) Program: The First 20 Years, Meteor. Monogr., No. 57, Amer. Meteor. Soc., doi:10.1175/AMSMONOGRAPHS-D-15-0031.1.</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415D4758" w14:textId="501A441E" w:rsidR="00902B09" w:rsidRDefault="00902B09" w:rsidP="00DF3E9E">
      <w:pPr>
        <w:pStyle w:val="References"/>
        <w:tabs>
          <w:tab w:val="left" w:pos="8640"/>
        </w:tabs>
        <w:ind w:right="0"/>
      </w:pPr>
      <w:r w:rsidRPr="00902B09">
        <w:t>Tang, S., M. Zhang, and S. Xie (2016), An ensemble constrained variational analysis of atmospheric forcing data and its application to evaluate clouds in CAM5, Journal of Geophysical Research: Atmospheres, 121(1), 33-48, doi: 10.1002/2015JD024167.</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3996A84E" w14:textId="00283AC1" w:rsidR="00902B09" w:rsidRDefault="00902B09" w:rsidP="00DF3E9E">
      <w:pPr>
        <w:pStyle w:val="References"/>
        <w:tabs>
          <w:tab w:val="left" w:pos="8640"/>
        </w:tabs>
        <w:ind w:right="0"/>
      </w:pPr>
      <w:r w:rsidRPr="00902B09">
        <w:t>Zhang, M., and J. Lin (1997), Constrained variational analysis of sounding data based on column-integrated budgets of mass, heat, moisture, and momentum: Approach and application to ARM measurements, J. Atmos. Sci., 54(11), 1503–1524.</w:t>
      </w:r>
    </w:p>
    <w:p w14:paraId="599B1F92" w14:textId="77777777" w:rsidR="00DF3E9E" w:rsidRDefault="00DF3E9E" w:rsidP="00DF3E9E">
      <w:pPr>
        <w:rPr>
          <w:rFonts w:ascii="Palatino Linotype" w:hAnsi="Palatino Linotype"/>
          <w:b/>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0F7C742E" w14:textId="5F53ED35" w:rsidR="003C5C45" w:rsidRPr="009A2730" w:rsidRDefault="003C5C45" w:rsidP="00DF3E9E">
      <w:pPr>
        <w:rPr>
          <w:noProof/>
          <w:sz w:val="17"/>
          <w:szCs w:val="17"/>
        </w:rPr>
      </w:pPr>
      <w:r w:rsidRPr="003C5C45">
        <w:rPr>
          <w:rFonts w:hint="eastAsia"/>
          <w:noProof/>
          <w:sz w:val="17"/>
          <w:szCs w:val="17"/>
        </w:rPr>
        <w:t>Zhao, C., Xie, S., Klein, S. A., Protat, A., Shupe, M. D., McFarlane, S. A., ... &amp; Hogan, R. J. (2012). Toward understanding of differences in current cloud retrievals of ARM ground</w:t>
      </w:r>
      <w:r w:rsidRPr="003C5C45">
        <w:rPr>
          <w:rFonts w:hint="eastAsia"/>
          <w:noProof/>
          <w:sz w:val="17"/>
          <w:szCs w:val="17"/>
        </w:rPr>
        <w:t>‐</w:t>
      </w:r>
      <w:r w:rsidRPr="003C5C45">
        <w:rPr>
          <w:rFonts w:hint="eastAsia"/>
          <w:noProof/>
          <w:sz w:val="17"/>
          <w:szCs w:val="17"/>
        </w:rPr>
        <w:t>based measurements. Journal of Geophysical Research: Atmospheres, 117(D10)</w:t>
      </w:r>
      <w:r w:rsidRPr="003C5C45">
        <w:rPr>
          <w:noProof/>
          <w:sz w:val="17"/>
          <w:szCs w:val="17"/>
        </w:rPr>
        <w:t>.</w:t>
      </w:r>
    </w:p>
    <w:p w14:paraId="2F170ED0" w14:textId="77777777" w:rsidR="00DF3E9E" w:rsidRPr="00696A59" w:rsidRDefault="00DF3E9E" w:rsidP="00DF3E9E"/>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D9207" w14:textId="77777777" w:rsidR="00FE5102" w:rsidRDefault="00FE5102" w:rsidP="00DF3E9E">
      <w:r>
        <w:separator/>
      </w:r>
    </w:p>
  </w:endnote>
  <w:endnote w:type="continuationSeparator" w:id="0">
    <w:p w14:paraId="0DE7ED49" w14:textId="77777777" w:rsidR="00FE5102" w:rsidRDefault="00FE5102"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4AA93" w14:textId="77777777" w:rsidR="00FE5102" w:rsidRDefault="00FE5102" w:rsidP="00DF3E9E">
      <w:r>
        <w:separator/>
      </w:r>
    </w:p>
  </w:footnote>
  <w:footnote w:type="continuationSeparator" w:id="0">
    <w:p w14:paraId="0160180F" w14:textId="77777777" w:rsidR="00FE5102" w:rsidRDefault="00FE5102"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t>DOE/SC-ARM</w:t>
    </w:r>
    <w:r>
      <w:t>/</w:t>
    </w:r>
    <w:r w:rsidRPr="009F5747">
      <w:t>TR-</w:t>
    </w:r>
    <w: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A7753"/>
    <w:rsid w:val="000B2395"/>
    <w:rsid w:val="000E4678"/>
    <w:rsid w:val="001D737F"/>
    <w:rsid w:val="002015B2"/>
    <w:rsid w:val="00254B7A"/>
    <w:rsid w:val="00256C30"/>
    <w:rsid w:val="002633CE"/>
    <w:rsid w:val="002D6094"/>
    <w:rsid w:val="00302E76"/>
    <w:rsid w:val="0030477E"/>
    <w:rsid w:val="003614B4"/>
    <w:rsid w:val="003829DF"/>
    <w:rsid w:val="0039186D"/>
    <w:rsid w:val="003B0761"/>
    <w:rsid w:val="003C5C45"/>
    <w:rsid w:val="003F0CE7"/>
    <w:rsid w:val="003F1126"/>
    <w:rsid w:val="00410C0A"/>
    <w:rsid w:val="00463FB8"/>
    <w:rsid w:val="00475B52"/>
    <w:rsid w:val="004B1512"/>
    <w:rsid w:val="004B7A44"/>
    <w:rsid w:val="004D0E43"/>
    <w:rsid w:val="0051447D"/>
    <w:rsid w:val="00534DF7"/>
    <w:rsid w:val="00583AE5"/>
    <w:rsid w:val="00667E45"/>
    <w:rsid w:val="006D2E6D"/>
    <w:rsid w:val="00732F0C"/>
    <w:rsid w:val="007856F1"/>
    <w:rsid w:val="008A5E0C"/>
    <w:rsid w:val="008E2E0D"/>
    <w:rsid w:val="00902B09"/>
    <w:rsid w:val="00962C39"/>
    <w:rsid w:val="00971460"/>
    <w:rsid w:val="009F30F2"/>
    <w:rsid w:val="00A75EBA"/>
    <w:rsid w:val="00B84EB4"/>
    <w:rsid w:val="00BA65CE"/>
    <w:rsid w:val="00C037CA"/>
    <w:rsid w:val="00C74124"/>
    <w:rsid w:val="00C772A7"/>
    <w:rsid w:val="00CA3310"/>
    <w:rsid w:val="00CB0E7C"/>
    <w:rsid w:val="00CF646A"/>
    <w:rsid w:val="00D312EB"/>
    <w:rsid w:val="00D629F7"/>
    <w:rsid w:val="00DF3E9E"/>
    <w:rsid w:val="00E10429"/>
    <w:rsid w:val="00E32A92"/>
    <w:rsid w:val="00E63F09"/>
    <w:rsid w:val="00EA1F24"/>
    <w:rsid w:val="00ED00CD"/>
    <w:rsid w:val="00F15341"/>
    <w:rsid w:val="00F42373"/>
    <w:rsid w:val="00FC13AB"/>
    <w:rsid w:val="00FE51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460"/>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tabs>
        <w:tab w:val="left" w:pos="360"/>
        <w:tab w:val="left" w:pos="720"/>
        <w:tab w:val="left" w:pos="1080"/>
      </w:tabs>
      <w:spacing w:before="240" w:line="264" w:lineRule="auto"/>
    </w:pPr>
    <w:rPr>
      <w:rFonts w:eastAsia="Times New Roman"/>
      <w:sz w:val="22"/>
      <w:szCs w:val="22"/>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tabs>
        <w:tab w:val="left" w:pos="360"/>
        <w:tab w:val="left" w:pos="720"/>
        <w:tab w:val="left" w:pos="1080"/>
      </w:tabs>
      <w:jc w:val="center"/>
    </w:pPr>
    <w:rPr>
      <w:rFonts w:eastAsia="Times New Roman"/>
      <w:sz w:val="22"/>
      <w:szCs w:val="22"/>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pPr>
      <w:tabs>
        <w:tab w:val="left" w:pos="360"/>
        <w:tab w:val="left" w:pos="720"/>
        <w:tab w:val="left" w:pos="1080"/>
      </w:tabs>
    </w:pPr>
    <w:rPr>
      <w:rFonts w:eastAsia="Times New Roman"/>
      <w:sz w:val="22"/>
      <w:szCs w:val="22"/>
      <w:lang w:eastAsia="en-US"/>
    </w:rPr>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3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left" w:pos="461"/>
        <w:tab w:val="right" w:leader="dot" w:pos="8784"/>
        <w:tab w:val="right" w:pos="9360"/>
      </w:tabs>
      <w:spacing w:before="80"/>
      <w:ind w:left="446" w:right="720" w:hanging="446"/>
    </w:pPr>
    <w:rPr>
      <w:rFonts w:eastAsia="Times New Roman"/>
      <w:noProof/>
      <w:sz w:val="22"/>
      <w:szCs w:val="22"/>
      <w:lang w:eastAsia="en-US"/>
    </w:rPr>
  </w:style>
  <w:style w:type="paragraph" w:styleId="TOC1">
    <w:name w:val="toc 1"/>
    <w:basedOn w:val="Normal"/>
    <w:next w:val="Normal"/>
    <w:autoRedefine/>
    <w:uiPriority w:val="39"/>
    <w:rsid w:val="00DF3E9E"/>
    <w:pPr>
      <w:spacing w:before="120"/>
    </w:pPr>
    <w:rPr>
      <w:rFonts w:asciiTheme="minorHAnsi" w:eastAsia="Times New Roman" w:hAnsiTheme="minorHAnsi"/>
      <w:b/>
      <w:lang w:eastAsia="en-US"/>
    </w:rPr>
  </w:style>
  <w:style w:type="paragraph" w:customStyle="1" w:styleId="FrontMatterTitlePageAuthorNames">
    <w:name w:val="FrontMatter_TitlePage_AuthorNames"/>
    <w:basedOn w:val="Normal"/>
    <w:uiPriority w:val="99"/>
    <w:qFormat/>
    <w:rsid w:val="00DF3E9E"/>
    <w:pPr>
      <w:tabs>
        <w:tab w:val="left" w:pos="4320"/>
      </w:tabs>
      <w:ind w:left="2160"/>
    </w:pPr>
    <w:rPr>
      <w:rFonts w:eastAsia="Times New Roman"/>
      <w:lang w:eastAsia="en-US"/>
    </w:rPr>
  </w:style>
  <w:style w:type="paragraph" w:customStyle="1" w:styleId="FrontMatterTitlePageDate-Information">
    <w:name w:val="FrontMatter_TitlePage_Date-Information"/>
    <w:basedOn w:val="Normal"/>
    <w:uiPriority w:val="99"/>
    <w:qFormat/>
    <w:rsid w:val="00DF3E9E"/>
    <w:pPr>
      <w:tabs>
        <w:tab w:val="left" w:pos="2160"/>
      </w:tabs>
      <w:ind w:left="2160"/>
    </w:pPr>
    <w:rPr>
      <w:rFonts w:eastAsia="Times New Roman"/>
      <w:lang w:eastAsia="en-US"/>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ind w:left="720"/>
      <w:contextualSpacing/>
    </w:pPr>
    <w:rPr>
      <w:rFonts w:ascii="Cambria" w:eastAsia="Cambria" w:hAnsi="Cambria"/>
      <w:lang w:eastAsia="en-US"/>
    </w:rPr>
  </w:style>
  <w:style w:type="paragraph" w:customStyle="1" w:styleId="normal-body">
    <w:name w:val="normal-body"/>
    <w:basedOn w:val="Normal"/>
    <w:qFormat/>
    <w:rsid w:val="00DF3E9E"/>
    <w:pPr>
      <w:spacing w:after="120"/>
      <w:jc w:val="both"/>
    </w:pPr>
    <w:rPr>
      <w:rFonts w:ascii="Palatino Linotype" w:hAnsi="Palatino Linotype" w:cstheme="minorBidi"/>
      <w:sz w:val="22"/>
      <w:szCs w:val="22"/>
      <w:lang w:eastAsia="en-US"/>
    </w:rPr>
  </w:style>
  <w:style w:type="paragraph" w:customStyle="1" w:styleId="References">
    <w:name w:val="References"/>
    <w:basedOn w:val="Normal"/>
    <w:rsid w:val="00DF3E9E"/>
    <w:pPr>
      <w:tabs>
        <w:tab w:val="left" w:pos="216"/>
        <w:tab w:val="left" w:pos="950"/>
      </w:tabs>
      <w:autoSpaceDE w:val="0"/>
      <w:autoSpaceDN w:val="0"/>
      <w:spacing w:line="180" w:lineRule="exact"/>
      <w:ind w:left="216" w:right="4610" w:hanging="216"/>
      <w:jc w:val="both"/>
    </w:pPr>
    <w:rPr>
      <w:rFonts w:eastAsia="Times New Roman"/>
      <w:noProof/>
      <w:sz w:val="17"/>
      <w:szCs w:val="17"/>
      <w:lang w:eastAsia="en-US"/>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pPr>
      <w:tabs>
        <w:tab w:val="left" w:pos="360"/>
        <w:tab w:val="left" w:pos="720"/>
        <w:tab w:val="left" w:pos="1080"/>
      </w:tabs>
    </w:pPr>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 w:type="character" w:customStyle="1" w:styleId="pl-s">
    <w:name w:val="pl-s"/>
    <w:basedOn w:val="DefaultParagraphFont"/>
    <w:rsid w:val="0097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15407">
      <w:bodyDiv w:val="1"/>
      <w:marLeft w:val="0"/>
      <w:marRight w:val="0"/>
      <w:marTop w:val="0"/>
      <w:marBottom w:val="0"/>
      <w:divBdr>
        <w:top w:val="none" w:sz="0" w:space="0" w:color="auto"/>
        <w:left w:val="none" w:sz="0" w:space="0" w:color="auto"/>
        <w:bottom w:val="none" w:sz="0" w:space="0" w:color="auto"/>
        <w:right w:val="none" w:sz="0" w:space="0" w:color="auto"/>
      </w:divBdr>
    </w:div>
    <w:div w:id="752320338">
      <w:bodyDiv w:val="1"/>
      <w:marLeft w:val="0"/>
      <w:marRight w:val="0"/>
      <w:marTop w:val="0"/>
      <w:marBottom w:val="0"/>
      <w:divBdr>
        <w:top w:val="none" w:sz="0" w:space="0" w:color="auto"/>
        <w:left w:val="none" w:sz="0" w:space="0" w:color="auto"/>
        <w:bottom w:val="none" w:sz="0" w:space="0" w:color="auto"/>
        <w:right w:val="none" w:sz="0" w:space="0" w:color="auto"/>
      </w:divBdr>
    </w:div>
    <w:div w:id="1306203042">
      <w:bodyDiv w:val="1"/>
      <w:marLeft w:val="0"/>
      <w:marRight w:val="0"/>
      <w:marTop w:val="0"/>
      <w:marBottom w:val="0"/>
      <w:divBdr>
        <w:top w:val="none" w:sz="0" w:space="0" w:color="auto"/>
        <w:left w:val="none" w:sz="0" w:space="0" w:color="auto"/>
        <w:bottom w:val="none" w:sz="0" w:space="0" w:color="auto"/>
        <w:right w:val="none" w:sz="0" w:space="0" w:color="auto"/>
      </w:divBdr>
    </w:div>
    <w:div w:id="1438478949">
      <w:bodyDiv w:val="1"/>
      <w:marLeft w:val="0"/>
      <w:marRight w:val="0"/>
      <w:marTop w:val="0"/>
      <w:marBottom w:val="0"/>
      <w:divBdr>
        <w:top w:val="none" w:sz="0" w:space="0" w:color="auto"/>
        <w:left w:val="none" w:sz="0" w:space="0" w:color="auto"/>
        <w:bottom w:val="none" w:sz="0" w:space="0" w:color="auto"/>
        <w:right w:val="none" w:sz="0" w:space="0" w:color="auto"/>
      </w:divBdr>
      <w:divsChild>
        <w:div w:id="951325109">
          <w:marLeft w:val="0"/>
          <w:marRight w:val="0"/>
          <w:marTop w:val="0"/>
          <w:marBottom w:val="0"/>
          <w:divBdr>
            <w:top w:val="none" w:sz="0" w:space="0" w:color="auto"/>
            <w:left w:val="none" w:sz="0" w:space="0" w:color="auto"/>
            <w:bottom w:val="none" w:sz="0" w:space="0" w:color="auto"/>
            <w:right w:val="none" w:sz="0" w:space="0" w:color="auto"/>
          </w:divBdr>
        </w:div>
      </w:divsChild>
    </w:div>
    <w:div w:id="1843278358">
      <w:bodyDiv w:val="1"/>
      <w:marLeft w:val="0"/>
      <w:marRight w:val="0"/>
      <w:marTop w:val="0"/>
      <w:marBottom w:val="0"/>
      <w:divBdr>
        <w:top w:val="none" w:sz="0" w:space="0" w:color="auto"/>
        <w:left w:val="none" w:sz="0" w:space="0" w:color="auto"/>
        <w:bottom w:val="none" w:sz="0" w:space="0" w:color="auto"/>
        <w:right w:val="none" w:sz="0" w:space="0" w:color="auto"/>
      </w:divBdr>
    </w:div>
    <w:div w:id="2015642837">
      <w:bodyDiv w:val="1"/>
      <w:marLeft w:val="0"/>
      <w:marRight w:val="0"/>
      <w:marTop w:val="0"/>
      <w:marBottom w:val="0"/>
      <w:divBdr>
        <w:top w:val="none" w:sz="0" w:space="0" w:color="auto"/>
        <w:left w:val="none" w:sz="0" w:space="0" w:color="auto"/>
        <w:bottom w:val="none" w:sz="0" w:space="0" w:color="auto"/>
        <w:right w:val="none" w:sz="0" w:space="0" w:color="auto"/>
      </w:divBdr>
    </w:div>
    <w:div w:id="213995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89A3F7C0-AE98-5F49-8DDC-0B0DC3EA6F29}" srcId="{3B249ABF-A6BB-774B-A343-FD123A05F84B}" destId="{98A217E5-0090-244A-900F-38352DF4B98D}" srcOrd="1" destOrd="0" parTransId="{CB4590BB-AD0C-5F43-AF68-AADFEC1C2E77}" sibTransId="{7D808493-20B8-2C4E-B684-A077E28BB115}"/>
    <dgm:cxn modelId="{957B36FE-486F-A748-AEDE-3B72C082290F}" srcId="{C7F1D161-787E-9A44-A96F-2C62FFB62BFD}" destId="{B36A8C69-AE8E-3C45-B6C5-30A1AE25118F}" srcOrd="0" destOrd="0" parTransId="{778EB2AD-E08C-8742-B759-9D601A8AE46E}" sibTransId="{04B5617D-ACDF-E94D-84ED-F3D9ADFAF1EA}"/>
    <dgm:cxn modelId="{A248CB3F-D80A-8646-9DB8-7D10C74FEC00}" type="presOf" srcId="{E616C4CD-700D-C343-8202-81E96924FED5}" destId="{7E4E9D3E-EEFE-E74C-B0E2-B50408B93B78}" srcOrd="0" destOrd="0" presId="urn:microsoft.com/office/officeart/2005/8/layout/process4"/>
    <dgm:cxn modelId="{3FF28853-CA29-8D46-BDB0-3912BDBF3179}" type="presOf" srcId="{C7F1D161-787E-9A44-A96F-2C62FFB62BFD}" destId="{8D157EB1-9F36-714A-8CA3-FA7B59696A60}" srcOrd="1" destOrd="0" presId="urn:microsoft.com/office/officeart/2005/8/layout/process4"/>
    <dgm:cxn modelId="{C04945FE-DBB3-E840-84BE-758BBC2A50B9}" type="presOf" srcId="{2D2BB236-87D1-3846-ACED-234D246AF630}" destId="{5FC153CE-A621-9C40-8D1B-F068B848CFEC}" srcOrd="1"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9CFD6C4B-D649-BD4A-97C6-03139203345A}" type="presOf" srcId="{3B249ABF-A6BB-774B-A343-FD123A05F84B}" destId="{AEACF631-7A1A-9148-8BEB-3DF7E90E61BD}" srcOrd="1" destOrd="0" presId="urn:microsoft.com/office/officeart/2005/8/layout/process4"/>
    <dgm:cxn modelId="{9618F07D-E6F2-D946-97A6-402E9C6CD0FB}" type="presOf" srcId="{2A33682C-89F5-D54C-A828-AE0C746477E2}" destId="{6BC3A36C-87BF-654C-BA63-0DC87DB7466F}" srcOrd="0" destOrd="0" presId="urn:microsoft.com/office/officeart/2005/8/layout/process4"/>
    <dgm:cxn modelId="{AD436A5F-4640-9A4D-846F-795E8D61E759}" type="presOf" srcId="{3B249ABF-A6BB-774B-A343-FD123A05F84B}" destId="{22E436DD-9D57-A04E-912A-026237128F8F}" srcOrd="0" destOrd="0" presId="urn:microsoft.com/office/officeart/2005/8/layout/process4"/>
    <dgm:cxn modelId="{C8BBC097-E3DC-BB48-92FC-8CE916D56966}" type="presOf" srcId="{2A33682C-89F5-D54C-A828-AE0C746477E2}" destId="{CE0A2121-8E2D-4B40-8D81-D33CD2BB01D4}" srcOrd="1" destOrd="0" presId="urn:microsoft.com/office/officeart/2005/8/layout/process4"/>
    <dgm:cxn modelId="{8CA43F58-C448-2B4D-8FA8-002692412BEF}" type="presOf" srcId="{98A217E5-0090-244A-900F-38352DF4B98D}" destId="{2DC8ED06-8268-1D4A-A063-D95E0EC2C0F6}" srcOrd="0"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9FD50EAE-44FA-BA46-A1C0-D1A18BBA09F6}" type="presOf" srcId="{2D2BB236-87D1-3846-ACED-234D246AF630}" destId="{C4C3FEDB-0BA3-3F49-8728-3CE01ADDE0FF}" srcOrd="0" destOrd="0" presId="urn:microsoft.com/office/officeart/2005/8/layout/process4"/>
    <dgm:cxn modelId="{19DCE44D-55D2-D240-BAF9-B250D897FBB9}" type="presOf" srcId="{B36A8C69-AE8E-3C45-B6C5-30A1AE25118F}" destId="{52536364-1A69-5E47-8E71-206CEE994313}" srcOrd="0" destOrd="0" presId="urn:microsoft.com/office/officeart/2005/8/layout/process4"/>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6716B1C0-A61C-6D41-8A78-7ECF6F9D9DBE}" type="presOf" srcId="{C7F1D161-787E-9A44-A96F-2C62FFB62BFD}" destId="{E972A146-43BE-CC40-AC0D-8CBE7B9F7033}" srcOrd="0" destOrd="0" presId="urn:microsoft.com/office/officeart/2005/8/layout/process4"/>
    <dgm:cxn modelId="{0203C46B-62F4-4E48-B3F4-9266A0215F96}" type="presOf" srcId="{E130DCEF-E839-4E4E-8D45-1E0E0FC8E609}" destId="{614CA727-D719-724D-9BEE-8046EBFA633B}" srcOrd="0" destOrd="0" presId="urn:microsoft.com/office/officeart/2005/8/layout/process4"/>
    <dgm:cxn modelId="{5FFEB283-1542-1942-A0C7-3F7A9D5EF6C7}" type="presOf" srcId="{349EA66B-E2B1-7C4F-87B9-8D2BA72ACD5C}" destId="{3A6D8F41-5BFF-5E41-ABE7-AD85EBB92556}" srcOrd="0" destOrd="0" presId="urn:microsoft.com/office/officeart/2005/8/layout/process4"/>
    <dgm:cxn modelId="{4E85C797-2702-2741-89BC-3DDCCFAB93AF}" type="presOf" srcId="{310C12F1-4941-7E42-AB3A-2352BF7A7112}" destId="{912C303D-0709-0A48-B13B-EFB5D97C68AB}" srcOrd="0" destOrd="0" presId="urn:microsoft.com/office/officeart/2005/8/layout/process4"/>
    <dgm:cxn modelId="{1D4A1F82-F9EA-7A40-830F-A029E6312C1F}" type="presParOf" srcId="{614CA727-D719-724D-9BEE-8046EBFA633B}" destId="{67B4888C-72F4-BF45-9AE3-5248CAB55F53}" srcOrd="0" destOrd="0" presId="urn:microsoft.com/office/officeart/2005/8/layout/process4"/>
    <dgm:cxn modelId="{13074848-441E-5C48-9CDB-556463787BA5}" type="presParOf" srcId="{67B4888C-72F4-BF45-9AE3-5248CAB55F53}" destId="{22E436DD-9D57-A04E-912A-026237128F8F}" srcOrd="0" destOrd="0" presId="urn:microsoft.com/office/officeart/2005/8/layout/process4"/>
    <dgm:cxn modelId="{1D940A69-1DCD-6A48-902E-040BCF7AA9CA}" type="presParOf" srcId="{67B4888C-72F4-BF45-9AE3-5248CAB55F53}" destId="{AEACF631-7A1A-9148-8BEB-3DF7E90E61BD}" srcOrd="1" destOrd="0" presId="urn:microsoft.com/office/officeart/2005/8/layout/process4"/>
    <dgm:cxn modelId="{D97A7381-9ACC-EF4E-97BB-F70C18E15BE1}" type="presParOf" srcId="{67B4888C-72F4-BF45-9AE3-5248CAB55F53}" destId="{0AC86F87-3974-6A4F-93F6-B9B8C4EDEB39}" srcOrd="2" destOrd="0" presId="urn:microsoft.com/office/officeart/2005/8/layout/process4"/>
    <dgm:cxn modelId="{F9C1C102-24FD-5249-99C2-5CC6CA8DF838}" type="presParOf" srcId="{0AC86F87-3974-6A4F-93F6-B9B8C4EDEB39}" destId="{3A6D8F41-5BFF-5E41-ABE7-AD85EBB92556}" srcOrd="0" destOrd="0" presId="urn:microsoft.com/office/officeart/2005/8/layout/process4"/>
    <dgm:cxn modelId="{9348F930-6210-C74B-ADC7-681BA71CCE0E}" type="presParOf" srcId="{0AC86F87-3974-6A4F-93F6-B9B8C4EDEB39}" destId="{2DC8ED06-8268-1D4A-A063-D95E0EC2C0F6}" srcOrd="1" destOrd="0" presId="urn:microsoft.com/office/officeart/2005/8/layout/process4"/>
    <dgm:cxn modelId="{525D5C47-688D-E64A-B790-7646BF1EDB5F}" type="presParOf" srcId="{614CA727-D719-724D-9BEE-8046EBFA633B}" destId="{02F39387-81B7-9547-AA94-6670302D960F}" srcOrd="1" destOrd="0" presId="urn:microsoft.com/office/officeart/2005/8/layout/process4"/>
    <dgm:cxn modelId="{C9A69669-ACD1-C144-AA31-AD792813A2DE}" type="presParOf" srcId="{614CA727-D719-724D-9BEE-8046EBFA633B}" destId="{AA7506A2-A527-A141-844A-04CBEC9DE05B}" srcOrd="2" destOrd="0" presId="urn:microsoft.com/office/officeart/2005/8/layout/process4"/>
    <dgm:cxn modelId="{362EC6D6-3C47-8847-9E88-03071F46D6EC}" type="presParOf" srcId="{AA7506A2-A527-A141-844A-04CBEC9DE05B}" destId="{6BC3A36C-87BF-654C-BA63-0DC87DB7466F}" srcOrd="0" destOrd="0" presId="urn:microsoft.com/office/officeart/2005/8/layout/process4"/>
    <dgm:cxn modelId="{6AC1677C-2610-0047-A5AE-EA486234207F}" type="presParOf" srcId="{AA7506A2-A527-A141-844A-04CBEC9DE05B}" destId="{CE0A2121-8E2D-4B40-8D81-D33CD2BB01D4}" srcOrd="1" destOrd="0" presId="urn:microsoft.com/office/officeart/2005/8/layout/process4"/>
    <dgm:cxn modelId="{5D6E6301-52A9-F04D-8C45-0A6EE8A40AE7}" type="presParOf" srcId="{AA7506A2-A527-A141-844A-04CBEC9DE05B}" destId="{A2179832-B2EA-224E-A17B-E17A5B8FE170}" srcOrd="2" destOrd="0" presId="urn:microsoft.com/office/officeart/2005/8/layout/process4"/>
    <dgm:cxn modelId="{E2D48764-9A22-D94A-A46B-2A9D8B4EDCAB}" type="presParOf" srcId="{A2179832-B2EA-224E-A17B-E17A5B8FE170}" destId="{912C303D-0709-0A48-B13B-EFB5D97C68AB}" srcOrd="0" destOrd="0" presId="urn:microsoft.com/office/officeart/2005/8/layout/process4"/>
    <dgm:cxn modelId="{B6A74B39-36C8-2E41-B156-AFBAB9138E3D}" type="presParOf" srcId="{614CA727-D719-724D-9BEE-8046EBFA633B}" destId="{38249E0F-E067-EB42-8A86-C54B0A02A7B8}" srcOrd="3" destOrd="0" presId="urn:microsoft.com/office/officeart/2005/8/layout/process4"/>
    <dgm:cxn modelId="{6CB71B1A-DCEE-6346-AA0B-7F7EE8A1F400}" type="presParOf" srcId="{614CA727-D719-724D-9BEE-8046EBFA633B}" destId="{CE38B586-51C4-474E-871B-A4C30077B9C1}" srcOrd="4" destOrd="0" presId="urn:microsoft.com/office/officeart/2005/8/layout/process4"/>
    <dgm:cxn modelId="{90E4605A-92AE-E746-9D1C-15F4E6025920}" type="presParOf" srcId="{CE38B586-51C4-474E-871B-A4C30077B9C1}" destId="{E972A146-43BE-CC40-AC0D-8CBE7B9F7033}" srcOrd="0" destOrd="0" presId="urn:microsoft.com/office/officeart/2005/8/layout/process4"/>
    <dgm:cxn modelId="{DA891BA8-4EC6-724F-8C72-049B31A00795}" type="presParOf" srcId="{CE38B586-51C4-474E-871B-A4C30077B9C1}" destId="{8D157EB1-9F36-714A-8CA3-FA7B59696A60}" srcOrd="1" destOrd="0" presId="urn:microsoft.com/office/officeart/2005/8/layout/process4"/>
    <dgm:cxn modelId="{155037ED-F5F2-0845-921E-08A5DD367009}" type="presParOf" srcId="{CE38B586-51C4-474E-871B-A4C30077B9C1}" destId="{5173C856-2306-AF45-9989-EE6FC52F89BB}" srcOrd="2" destOrd="0" presId="urn:microsoft.com/office/officeart/2005/8/layout/process4"/>
    <dgm:cxn modelId="{10AA8151-685A-F24A-85A3-6031999C7302}" type="presParOf" srcId="{5173C856-2306-AF45-9989-EE6FC52F89BB}" destId="{52536364-1A69-5E47-8E71-206CEE994313}" srcOrd="0" destOrd="0" presId="urn:microsoft.com/office/officeart/2005/8/layout/process4"/>
    <dgm:cxn modelId="{2EC68CB3-5968-864B-9D53-F6FEA9912F69}" type="presParOf" srcId="{614CA727-D719-724D-9BEE-8046EBFA633B}" destId="{C2886B1B-8E45-9041-B205-33DD7D47602B}" srcOrd="5" destOrd="0" presId="urn:microsoft.com/office/officeart/2005/8/layout/process4"/>
    <dgm:cxn modelId="{1964B1F5-64D4-EB44-A9D4-A8FB273BA1F9}" type="presParOf" srcId="{614CA727-D719-724D-9BEE-8046EBFA633B}" destId="{5567CA56-3F7A-8A43-B047-F0B290864343}" srcOrd="6" destOrd="0" presId="urn:microsoft.com/office/officeart/2005/8/layout/process4"/>
    <dgm:cxn modelId="{42EBC902-4F37-7E42-A916-C080631397A7}" type="presParOf" srcId="{5567CA56-3F7A-8A43-B047-F0B290864343}" destId="{C4C3FEDB-0BA3-3F49-8728-3CE01ADDE0FF}" srcOrd="0" destOrd="0" presId="urn:microsoft.com/office/officeart/2005/8/layout/process4"/>
    <dgm:cxn modelId="{C449628C-21D2-CE4B-81B9-5DC3D5695728}" type="presParOf" srcId="{5567CA56-3F7A-8A43-B047-F0B290864343}" destId="{5FC153CE-A621-9C40-8D1B-F068B848CFEC}" srcOrd="1" destOrd="0" presId="urn:microsoft.com/office/officeart/2005/8/layout/process4"/>
    <dgm:cxn modelId="{730D4F6A-42CE-6649-ADEE-FBF335BE19F2}" type="presParOf" srcId="{5567CA56-3F7A-8A43-B047-F0B290864343}" destId="{26287C74-2014-4842-96DA-27C6201FF6E6}" srcOrd="2" destOrd="0" presId="urn:microsoft.com/office/officeart/2005/8/layout/process4"/>
    <dgm:cxn modelId="{FDC241F1-1123-4343-9D41-A4DA1E72B1D1}"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55AF9-0376-0344-95AC-21810B855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3235</Words>
  <Characters>18441</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21633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14</cp:revision>
  <cp:lastPrinted>2016-10-03T17:43:00Z</cp:lastPrinted>
  <dcterms:created xsi:type="dcterms:W3CDTF">2017-07-12T17:42:00Z</dcterms:created>
  <dcterms:modified xsi:type="dcterms:W3CDTF">2017-07-12T21:39:00Z</dcterms:modified>
</cp:coreProperties>
</file>