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176528">
      <w:pPr>
        <w:pStyle w:val="5"/>
        <w:ind w:firstLine="321"/>
        <w:jc w:val="center"/>
        <w:rPr>
          <w:rFonts w:ascii="宋体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迭代计划</w:t>
      </w:r>
    </w:p>
    <w:p w14:paraId="78906A32">
      <w:pPr>
        <w:pStyle w:val="5"/>
        <w:ind w:firstLine="0" w:firstLineChars="0"/>
        <w:jc w:val="left"/>
        <w:rPr>
          <w:sz w:val="22"/>
        </w:rPr>
      </w:pPr>
      <w:r>
        <w:rPr>
          <w:sz w:val="22"/>
        </w:rPr>
        <w:t>制定日期：2026年7月</w:t>
      </w:r>
      <w:r>
        <w:rPr>
          <w:rFonts w:hint="eastAsia"/>
          <w:sz w:val="22"/>
          <w:lang w:eastAsia="zh"/>
          <w:woUserID w:val="1"/>
        </w:rPr>
        <w:t>14</w:t>
      </w:r>
      <w:r>
        <w:rPr>
          <w:sz w:val="22"/>
        </w:rPr>
        <w:t>日</w:t>
      </w:r>
    </w:p>
    <w:tbl>
      <w:tblPr>
        <w:tblStyle w:val="6"/>
        <w:tblW w:w="85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4"/>
        <w:gridCol w:w="1674"/>
        <w:gridCol w:w="1866"/>
        <w:gridCol w:w="3379"/>
      </w:tblGrid>
      <w:tr w14:paraId="7E0AC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14:paraId="574708FB">
            <w:pPr>
              <w:jc w:val="center"/>
            </w:pPr>
            <w:r>
              <w:rPr>
                <w:b/>
              </w:rPr>
              <w:t>组号</w:t>
            </w:r>
          </w:p>
        </w:tc>
        <w:tc>
          <w:tcPr>
            <w:tcW w:w="1674" w:type="dxa"/>
            <w:tcBorders>
              <w:top w:val="single" w:color="auto" w:sz="4" w:space="0"/>
            </w:tcBorders>
            <w:vAlign w:val="center"/>
          </w:tcPr>
          <w:p w14:paraId="5B307919">
            <w:pPr>
              <w:jc w:val="left"/>
            </w:pPr>
            <w:r>
              <w:t>第</w:t>
            </w:r>
            <w:r>
              <w:rPr>
                <w:rFonts w:hint="eastAsia"/>
              </w:rPr>
              <w:t>1</w:t>
            </w:r>
            <w:r>
              <w:t>组</w:t>
            </w:r>
          </w:p>
        </w:tc>
        <w:tc>
          <w:tcPr>
            <w:tcW w:w="1866" w:type="dxa"/>
            <w:tcBorders>
              <w:top w:val="single" w:color="auto" w:sz="4" w:space="0"/>
            </w:tcBorders>
            <w:vAlign w:val="center"/>
          </w:tcPr>
          <w:p w14:paraId="6DA28DD8">
            <w:pPr>
              <w:jc w:val="center"/>
            </w:pPr>
            <w:r>
              <w:rPr>
                <w:b/>
              </w:rPr>
              <w:t>项目名称</w:t>
            </w:r>
          </w:p>
        </w:tc>
        <w:tc>
          <w:tcPr>
            <w:tcW w:w="3379" w:type="dxa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14:paraId="1028888A">
            <w:pPr>
              <w:jc w:val="left"/>
            </w:pPr>
            <w:r>
              <w:t>A7 PaperMate: ArXiv论文阅读工具</w:t>
            </w:r>
          </w:p>
        </w:tc>
      </w:tr>
      <w:tr w14:paraId="2FAEA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14:paraId="7F74F0E0">
            <w:pPr>
              <w:jc w:val="center"/>
            </w:pPr>
            <w:r>
              <w:rPr>
                <w:b/>
              </w:rPr>
              <w:t>迭代名称</w:t>
            </w:r>
          </w:p>
        </w:tc>
        <w:tc>
          <w:tcPr>
            <w:tcW w:w="1674" w:type="dxa"/>
            <w:tcBorders>
              <w:top w:val="single" w:color="auto" w:sz="4" w:space="0"/>
            </w:tcBorders>
            <w:vAlign w:val="center"/>
          </w:tcPr>
          <w:p w14:paraId="4449B2E4">
            <w:pPr>
              <w:jc w:val="left"/>
            </w:pPr>
            <w:r>
              <w:t>迭代</w:t>
            </w:r>
            <w:r>
              <w:rPr>
                <w:rFonts w:hint="eastAsia"/>
                <w:lang w:eastAsia="zh"/>
                <w:woUserID w:val="1"/>
              </w:rPr>
              <w:t>二</w:t>
            </w:r>
            <w:r>
              <w:t>：</w:t>
            </w:r>
            <w:r>
              <w:rPr>
                <w:rFonts w:hint="eastAsia"/>
                <w:lang w:eastAsia="zh"/>
                <w:woUserID w:val="1"/>
              </w:rPr>
              <w:t>技术</w:t>
            </w:r>
            <w:r>
              <w:t>原型迭代评审</w:t>
            </w:r>
          </w:p>
        </w:tc>
        <w:tc>
          <w:tcPr>
            <w:tcW w:w="1866" w:type="dxa"/>
            <w:tcBorders>
              <w:top w:val="single" w:color="auto" w:sz="4" w:space="0"/>
            </w:tcBorders>
            <w:vAlign w:val="center"/>
          </w:tcPr>
          <w:p w14:paraId="5A60B5DC">
            <w:pPr>
              <w:jc w:val="center"/>
            </w:pPr>
            <w:r>
              <w:rPr>
                <w:b/>
              </w:rPr>
              <w:t>计划起止日期</w:t>
            </w:r>
          </w:p>
        </w:tc>
        <w:tc>
          <w:tcPr>
            <w:tcW w:w="3379" w:type="dxa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14:paraId="4B2D9B61">
            <w:pPr>
              <w:jc w:val="left"/>
              <w:rPr>
                <w:rFonts w:hint="eastAsia" w:eastAsia="宋体"/>
                <w:lang w:eastAsia="zh"/>
                <w:woUserID w:val="1"/>
              </w:rPr>
            </w:pPr>
            <w:r>
              <w:t>2026.07.</w:t>
            </w:r>
            <w:r>
              <w:rPr>
                <w:rFonts w:hint="eastAsia"/>
                <w:lang w:eastAsia="zh"/>
                <w:woUserID w:val="1"/>
              </w:rPr>
              <w:t>14</w:t>
            </w:r>
            <w:r>
              <w:t xml:space="preserve"> - 2026.07.</w:t>
            </w:r>
            <w:r>
              <w:rPr>
                <w:rFonts w:hint="eastAsia"/>
                <w:lang w:eastAsia="zh"/>
                <w:woUserID w:val="1"/>
              </w:rPr>
              <w:t>24</w:t>
            </w:r>
          </w:p>
        </w:tc>
      </w:tr>
      <w:tr w14:paraId="64C1C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0" w:hRule="atLeast"/>
        </w:trPr>
        <w:tc>
          <w:tcPr>
            <w:tcW w:w="8593" w:type="dxa"/>
            <w:gridSpan w:val="4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155067">
            <w:pPr>
              <w:spacing w:after="80"/>
              <w:jc w:val="left"/>
            </w:pPr>
            <w:r>
              <w:rPr>
                <w:b/>
                <w:sz w:val="22"/>
              </w:rPr>
              <w:t>任务、进度安排和人员分配：</w:t>
            </w:r>
          </w:p>
          <w:tbl>
            <w:tblPr>
              <w:tblStyle w:val="7"/>
              <w:tblW w:w="0" w:type="auto"/>
              <w:jc w:val="center"/>
              <w:tblBorders>
                <w:top w:val="single" w:color="000000" w:sz="8" w:space="0"/>
                <w:left w:val="single" w:color="000000" w:sz="8" w:space="0"/>
                <w:bottom w:val="single" w:color="000000" w:sz="8" w:space="0"/>
                <w:right w:val="single" w:color="000000" w:sz="8" w:space="0"/>
                <w:insideH w:val="single" w:color="000000" w:sz="8" w:space="0"/>
                <w:insideV w:val="single" w:color="000000" w:sz="8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29"/>
              <w:gridCol w:w="4378"/>
              <w:gridCol w:w="1671"/>
              <w:gridCol w:w="1679"/>
            </w:tblGrid>
            <w:tr w14:paraId="460EE657">
              <w:tblPrEx>
                <w:tblBorders>
                  <w:top w:val="single" w:color="000000" w:sz="8" w:space="0"/>
                  <w:left w:val="single" w:color="000000" w:sz="8" w:space="0"/>
                  <w:bottom w:val="single" w:color="000000" w:sz="8" w:space="0"/>
                  <w:right w:val="single" w:color="000000" w:sz="8" w:space="0"/>
                  <w:insideH w:val="single" w:color="000000" w:sz="8" w:space="0"/>
                  <w:insideV w:val="single" w:color="000000" w:sz="8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680" w:type="dxa"/>
                  <w:vAlign w:val="center"/>
                </w:tcPr>
                <w:p w14:paraId="7EBA78B9">
                  <w:pPr>
                    <w:jc w:val="center"/>
                  </w:pPr>
                  <w:r>
                    <w:rPr>
                      <w:b/>
                    </w:rPr>
                    <w:t>No</w:t>
                  </w:r>
                </w:p>
              </w:tc>
              <w:tc>
                <w:tcPr>
                  <w:tcW w:w="5329" w:type="dxa"/>
                  <w:vAlign w:val="center"/>
                </w:tcPr>
                <w:p w14:paraId="52B65455">
                  <w:pPr>
                    <w:jc w:val="center"/>
                  </w:pPr>
                  <w:r>
                    <w:rPr>
                      <w:b/>
                    </w:rPr>
                    <w:t>任务</w:t>
                  </w:r>
                </w:p>
              </w:tc>
              <w:tc>
                <w:tcPr>
                  <w:tcW w:w="1814" w:type="dxa"/>
                  <w:vAlign w:val="center"/>
                </w:tcPr>
                <w:p w14:paraId="37CE15EC">
                  <w:pPr>
                    <w:jc w:val="center"/>
                  </w:pPr>
                  <w:r>
                    <w:rPr>
                      <w:b/>
                    </w:rPr>
                    <w:t>起止日期</w:t>
                  </w:r>
                </w:p>
              </w:tc>
              <w:tc>
                <w:tcPr>
                  <w:tcW w:w="1757" w:type="dxa"/>
                  <w:vAlign w:val="center"/>
                </w:tcPr>
                <w:p w14:paraId="782BDECA">
                  <w:pPr>
                    <w:jc w:val="center"/>
                  </w:pPr>
                  <w:r>
                    <w:rPr>
                      <w:b/>
                    </w:rPr>
                    <w:t>人员</w:t>
                  </w:r>
                </w:p>
              </w:tc>
            </w:tr>
            <w:tr w14:paraId="1ECCC2CB">
              <w:tblPrEx>
                <w:tblBorders>
                  <w:top w:val="single" w:color="000000" w:sz="8" w:space="0"/>
                  <w:left w:val="single" w:color="000000" w:sz="8" w:space="0"/>
                  <w:bottom w:val="single" w:color="000000" w:sz="8" w:space="0"/>
                  <w:right w:val="single" w:color="000000" w:sz="8" w:space="0"/>
                  <w:insideH w:val="single" w:color="000000" w:sz="8" w:space="0"/>
                  <w:insideV w:val="single" w:color="000000" w:sz="8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680" w:type="dxa"/>
                  <w:vAlign w:val="center"/>
                </w:tcPr>
                <w:p w14:paraId="44A7744B">
                  <w:pPr>
                    <w:jc w:val="center"/>
                    <w:rPr>
                      <w:woUserID w:val="1"/>
                    </w:rPr>
                  </w:pPr>
                  <w:r>
                    <w:rPr>
                      <w:woUserID w:val="1"/>
                    </w:rPr>
                    <w:t>1</w:t>
                  </w:r>
                </w:p>
              </w:tc>
              <w:tc>
                <w:tcPr>
                  <w:tcW w:w="5329" w:type="dxa"/>
                  <w:vAlign w:val="center"/>
                </w:tcPr>
                <w:p w14:paraId="67252F2B">
                  <w:pPr>
                    <w:jc w:val="left"/>
                    <w:rPr>
                      <w:woUserID w:val="1"/>
                    </w:rPr>
                  </w:pPr>
                  <w:r>
                    <w:rPr>
                      <w:rFonts w:hint="eastAsia"/>
                      <w:lang w:val="en-US" w:eastAsia="zh-CN"/>
                      <w:woUserID w:val="1"/>
                    </w:rPr>
                    <w:t>根据Canvas要求，确认提交范围：</w:t>
                  </w:r>
                  <w:r>
                    <w:rPr>
                      <w:rFonts w:hint="eastAsia"/>
                      <w:lang w:val="en-US" w:eastAsia="zh"/>
                      <w:woUserID w:val="1"/>
                    </w:rPr>
                    <w:t>技术</w:t>
                  </w:r>
                  <w:r>
                    <w:rPr>
                      <w:woUserID w:val="1"/>
                    </w:rPr>
                    <w:t>原型、Vision文档、</w:t>
                  </w:r>
                  <w:r>
                    <w:rPr>
                      <w:rFonts w:hint="eastAsia"/>
                      <w:lang w:eastAsia="zh"/>
                      <w:woUserID w:val="1"/>
                    </w:rPr>
                    <w:t>软件架构文档、UML</w:t>
                  </w:r>
                  <w:r>
                    <w:rPr>
                      <w:woUserID w:val="1"/>
                    </w:rPr>
                    <w:t>模型、原型代码和迭代评估报告。</w:t>
                  </w:r>
                </w:p>
              </w:tc>
              <w:tc>
                <w:tcPr>
                  <w:tcW w:w="1814" w:type="dxa"/>
                  <w:vAlign w:val="center"/>
                </w:tcPr>
                <w:p w14:paraId="188F813B">
                  <w:pPr>
                    <w:jc w:val="center"/>
                    <w:rPr>
                      <w:rFonts w:hint="eastAsia" w:eastAsia="宋体"/>
                      <w:lang w:eastAsia="zh"/>
                      <w:woUserID w:val="1"/>
                    </w:rPr>
                  </w:pPr>
                  <w:r>
                    <w:rPr>
                      <w:woUserID w:val="1"/>
                    </w:rPr>
                    <w:t>07.</w:t>
                  </w:r>
                  <w:r>
                    <w:rPr>
                      <w:rFonts w:hint="eastAsia"/>
                      <w:lang w:eastAsia="zh"/>
                      <w:woUserID w:val="1"/>
                    </w:rPr>
                    <w:t>14</w:t>
                  </w:r>
                </w:p>
              </w:tc>
              <w:tc>
                <w:tcPr>
                  <w:tcW w:w="1757" w:type="dxa"/>
                  <w:vAlign w:val="center"/>
                </w:tcPr>
                <w:p w14:paraId="0F31FDC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20" w:afterAutospacing="0" w:line="256" w:lineRule="auto"/>
                    <w:ind w:left="0" w:right="0"/>
                    <w:jc w:val="left"/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  <w:woUserID w:val="1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  <w:woUserID w:val="1"/>
                    </w:rPr>
                    <w:t>迭代负责人/架构统筹：柴英伦</w:t>
                  </w:r>
                </w:p>
                <w:p w14:paraId="4E03CA6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20" w:afterAutospacing="0" w:line="256" w:lineRule="auto"/>
                    <w:ind w:left="0" w:leftChars="0" w:right="0" w:rightChars="0"/>
                    <w:jc w:val="left"/>
                    <w:rPr>
                      <w:rFonts w:hint="eastAsia" w:ascii="宋体" w:hAnsi="宋体" w:eastAsia="宋体" w:cs="宋体"/>
                      <w:sz w:val="21"/>
                      <w:szCs w:val="21"/>
                      <w:lang w:eastAsia="zh"/>
                      <w:woUserID w:val="1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  <w:woUserID w:val="1"/>
                    </w:rPr>
                    <w:t>产品与文档：刘小菲</w:t>
                  </w:r>
                </w:p>
              </w:tc>
            </w:tr>
            <w:tr w14:paraId="49488326">
              <w:tblPrEx>
                <w:tblBorders>
                  <w:top w:val="single" w:color="000000" w:sz="8" w:space="0"/>
                  <w:left w:val="single" w:color="000000" w:sz="8" w:space="0"/>
                  <w:bottom w:val="single" w:color="000000" w:sz="8" w:space="0"/>
                  <w:right w:val="single" w:color="000000" w:sz="8" w:space="0"/>
                  <w:insideH w:val="single" w:color="000000" w:sz="8" w:space="0"/>
                  <w:insideV w:val="single" w:color="000000" w:sz="8" w:space="0"/>
                </w:tblBorders>
              </w:tblPrEx>
              <w:trPr>
                <w:jc w:val="center"/>
              </w:trPr>
              <w:tc>
                <w:tcPr>
                  <w:tcW w:w="680" w:type="dxa"/>
                  <w:vAlign w:val="center"/>
                </w:tcPr>
                <w:p w14:paraId="3059A1FD">
                  <w:pPr>
                    <w:jc w:val="center"/>
                    <w:rPr>
                      <w:woUserID w:val="1"/>
                    </w:rPr>
                  </w:pPr>
                  <w:r>
                    <w:rPr>
                      <w:woUserID w:val="1"/>
                    </w:rPr>
                    <w:t>2</w:t>
                  </w:r>
                </w:p>
              </w:tc>
              <w:tc>
                <w:tcPr>
                  <w:tcW w:w="5329" w:type="dxa"/>
                  <w:vAlign w:val="center"/>
                </w:tcPr>
                <w:p w14:paraId="79A8423F">
                  <w:pPr>
                    <w:jc w:val="left"/>
                    <w:rPr>
                      <w:woUserID w:val="1"/>
                    </w:rPr>
                  </w:pPr>
                  <w:r>
                    <w:rPr>
                      <w:rFonts w:hint="eastAsia"/>
                      <w:lang w:val="en-US" w:eastAsia="zh-CN"/>
                      <w:woUserID w:val="1"/>
                    </w:rPr>
                    <w:t>澄清模糊需求并更新Vision</w:t>
                  </w:r>
                  <w:r>
                    <w:rPr>
                      <w:rFonts w:hint="eastAsia"/>
                      <w:lang w:val="en-US" w:eastAsia="zh"/>
                      <w:woUserID w:val="1"/>
                    </w:rPr>
                    <w:t>文档</w:t>
                  </w:r>
                  <w:r>
                    <w:rPr>
                      <w:rFonts w:hint="eastAsia"/>
                      <w:lang w:val="en-US" w:eastAsia="zh-CN"/>
                      <w:woUserID w:val="1"/>
                    </w:rPr>
                    <w:t>：明确结构化解析字段、知识抽取范围、P0/P1/P2 取舍、非 Agent 主功能验收标准。</w:t>
                  </w:r>
                </w:p>
              </w:tc>
              <w:tc>
                <w:tcPr>
                  <w:tcW w:w="1814" w:type="dxa"/>
                  <w:vAlign w:val="center"/>
                </w:tcPr>
                <w:p w14:paraId="470254D6">
                  <w:pPr>
                    <w:jc w:val="center"/>
                    <w:rPr>
                      <w:rFonts w:hint="eastAsia" w:eastAsia="宋体"/>
                      <w:lang w:eastAsia="zh"/>
                      <w:woUserID w:val="1"/>
                    </w:rPr>
                  </w:pPr>
                  <w:r>
                    <w:rPr>
                      <w:woUserID w:val="1"/>
                    </w:rPr>
                    <w:t>07.</w:t>
                  </w:r>
                  <w:r>
                    <w:rPr>
                      <w:rFonts w:hint="eastAsia"/>
                      <w:lang w:eastAsia="zh"/>
                      <w:woUserID w:val="1"/>
                    </w:rPr>
                    <w:t>15</w:t>
                  </w:r>
                  <w:r>
                    <w:rPr>
                      <w:woUserID w:val="1"/>
                    </w:rPr>
                    <w:t xml:space="preserve"> - 07.</w:t>
                  </w:r>
                  <w:r>
                    <w:rPr>
                      <w:rFonts w:hint="eastAsia"/>
                      <w:lang w:eastAsia="zh"/>
                      <w:woUserID w:val="1"/>
                    </w:rPr>
                    <w:t>16</w:t>
                  </w:r>
                </w:p>
              </w:tc>
              <w:tc>
                <w:tcPr>
                  <w:tcW w:w="1757" w:type="dxa"/>
                  <w:vAlign w:val="center"/>
                </w:tcPr>
                <w:p w14:paraId="245AAC1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20" w:afterAutospacing="0" w:line="256" w:lineRule="auto"/>
                    <w:ind w:left="0" w:right="0"/>
                    <w:jc w:val="left"/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  <w:woUserID w:val="1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  <w:woUserID w:val="1"/>
                    </w:rPr>
                    <w:t>产品/Vision：刘小菲</w:t>
                  </w:r>
                </w:p>
                <w:p w14:paraId="651D06D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20" w:afterAutospacing="0" w:line="256" w:lineRule="auto"/>
                    <w:ind w:left="0" w:right="0"/>
                    <w:jc w:val="left"/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  <w:woUserID w:val="1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  <w:woUserID w:val="1"/>
                    </w:rPr>
                    <w:t>后端/数据：丁宇轩</w:t>
                  </w:r>
                </w:p>
                <w:p w14:paraId="014EE41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20" w:afterAutospacing="0" w:line="256" w:lineRule="auto"/>
                    <w:ind w:left="0" w:leftChars="0" w:right="0" w:rightChars="0"/>
                    <w:jc w:val="left"/>
                    <w:rPr>
                      <w:rFonts w:hint="eastAsia" w:ascii="宋体" w:hAnsi="宋体" w:eastAsia="宋体" w:cs="宋体"/>
                      <w:sz w:val="21"/>
                      <w:szCs w:val="21"/>
                      <w:lang w:eastAsia="zh"/>
                      <w:woUserID w:val="1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  <w:woUserID w:val="1"/>
                    </w:rPr>
                    <w:t>架构统筹：柴英伦</w:t>
                  </w:r>
                </w:p>
              </w:tc>
            </w:tr>
            <w:tr w14:paraId="07ABD150">
              <w:tblPrEx>
                <w:tblBorders>
                  <w:top w:val="single" w:color="000000" w:sz="8" w:space="0"/>
                  <w:left w:val="single" w:color="000000" w:sz="8" w:space="0"/>
                  <w:bottom w:val="single" w:color="000000" w:sz="8" w:space="0"/>
                  <w:right w:val="single" w:color="000000" w:sz="8" w:space="0"/>
                  <w:insideH w:val="single" w:color="000000" w:sz="8" w:space="0"/>
                  <w:insideV w:val="single" w:color="000000" w:sz="8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680" w:type="dxa"/>
                  <w:vAlign w:val="center"/>
                </w:tcPr>
                <w:p w14:paraId="7DDC129B">
                  <w:pPr>
                    <w:jc w:val="center"/>
                    <w:rPr>
                      <w:woUserID w:val="1"/>
                    </w:rPr>
                  </w:pPr>
                  <w:r>
                    <w:rPr>
                      <w:woUserID w:val="1"/>
                    </w:rPr>
                    <w:t>3</w:t>
                  </w:r>
                </w:p>
              </w:tc>
              <w:tc>
                <w:tcPr>
                  <w:tcW w:w="5329" w:type="dxa"/>
                  <w:vAlign w:val="center"/>
                </w:tcPr>
                <w:p w14:paraId="7EC2C149">
                  <w:pPr>
                    <w:jc w:val="left"/>
                    <w:rPr>
                      <w:woUserID w:val="1"/>
                    </w:rPr>
                  </w:pPr>
                  <w:r>
                    <w:rPr>
                      <w:rFonts w:hint="eastAsia"/>
                      <w:lang w:val="en-US" w:eastAsia="zh"/>
                      <w:woUserID w:val="1"/>
                    </w:rPr>
                    <w:t>确定</w:t>
                  </w:r>
                  <w:r>
                    <w:rPr>
                      <w:rFonts w:hint="eastAsia"/>
                      <w:lang w:val="en-US" w:eastAsia="zh-CN"/>
                      <w:woUserID w:val="1"/>
                    </w:rPr>
                    <w:t>关键数据结构与存储方式</w:t>
                  </w:r>
                  <w:r>
                    <w:rPr>
                      <w:rFonts w:hint="eastAsia"/>
                      <w:lang w:val="en-US" w:eastAsia="zh"/>
                      <w:woUserID w:val="1"/>
                    </w:rPr>
                    <w:t>，</w:t>
                  </w:r>
                  <w:r>
                    <w:rPr>
                      <w:rFonts w:hint="eastAsia"/>
                      <w:lang w:val="en-US" w:eastAsia="zh-CN"/>
                      <w:woUserID w:val="1"/>
                    </w:rPr>
                    <w:t>补齐软件架构文档和 UML</w:t>
                  </w:r>
                  <w:r>
                    <w:rPr>
                      <w:rFonts w:hint="eastAsia"/>
                      <w:lang w:val="en-US" w:eastAsia="zh"/>
                      <w:woUserID w:val="1"/>
                    </w:rPr>
                    <w:t>：包括</w:t>
                  </w:r>
                  <w:r>
                    <w:rPr>
                      <w:rFonts w:hint="eastAsia"/>
                      <w:lang w:val="en-US" w:eastAsia="zh-CN"/>
                      <w:woUserID w:val="1"/>
                    </w:rPr>
                    <w:t>实体关系、模块关系、用例图、类/组件图、部署和数据视图。</w:t>
                  </w:r>
                </w:p>
              </w:tc>
              <w:tc>
                <w:tcPr>
                  <w:tcW w:w="1814" w:type="dxa"/>
                  <w:vAlign w:val="center"/>
                </w:tcPr>
                <w:p w14:paraId="107E0CD3">
                  <w:pPr>
                    <w:jc w:val="center"/>
                    <w:rPr>
                      <w:rFonts w:hint="eastAsia" w:eastAsia="宋体"/>
                      <w:lang w:eastAsia="zh"/>
                      <w:woUserID w:val="1"/>
                    </w:rPr>
                  </w:pPr>
                  <w:r>
                    <w:rPr>
                      <w:woUserID w:val="1"/>
                    </w:rPr>
                    <w:t>07.</w:t>
                  </w:r>
                  <w:r>
                    <w:rPr>
                      <w:rFonts w:hint="eastAsia"/>
                      <w:lang w:eastAsia="zh"/>
                      <w:woUserID w:val="1"/>
                    </w:rPr>
                    <w:t>16</w:t>
                  </w:r>
                  <w:r>
                    <w:rPr>
                      <w:woUserID w:val="1"/>
                    </w:rPr>
                    <w:t xml:space="preserve"> - 07.</w:t>
                  </w:r>
                  <w:r>
                    <w:rPr>
                      <w:rFonts w:hint="eastAsia"/>
                      <w:lang w:eastAsia="zh"/>
                      <w:woUserID w:val="1"/>
                    </w:rPr>
                    <w:t>17</w:t>
                  </w:r>
                </w:p>
              </w:tc>
              <w:tc>
                <w:tcPr>
                  <w:tcW w:w="1757" w:type="dxa"/>
                  <w:vAlign w:val="center"/>
                </w:tcPr>
                <w:p w14:paraId="29E7CE8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20" w:afterAutospacing="0" w:line="256" w:lineRule="auto"/>
                    <w:ind w:left="0" w:right="0"/>
                    <w:jc w:val="left"/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  <w:lang w:val="en-US" w:eastAsia="zh" w:bidi="ar"/>
                      <w:woUserID w:val="1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  <w:woUserID w:val="1"/>
                    </w:rPr>
                    <w:t>架构文档：</w:t>
                  </w:r>
                  <w:r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  <w:lang w:val="en-US" w:eastAsia="zh" w:bidi="ar"/>
                      <w:woUserID w:val="1"/>
                    </w:rPr>
                    <w:t>Qee Enn Tai</w:t>
                  </w:r>
                </w:p>
                <w:p w14:paraId="460A74F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20" w:afterAutospacing="0" w:line="256" w:lineRule="auto"/>
                    <w:ind w:left="0" w:right="0"/>
                    <w:jc w:val="left"/>
                    <w:rPr>
                      <w:rFonts w:hint="eastAsia" w:ascii="宋体" w:hAnsi="宋体" w:eastAsia="宋体" w:cs="宋体"/>
                      <w:sz w:val="21"/>
                      <w:szCs w:val="21"/>
                      <w:lang w:val="en-US"/>
                      <w:woUserID w:val="1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  <w:woUserID w:val="1"/>
                    </w:rPr>
                    <w:t>UML/数据：丁宇轩</w:t>
                  </w:r>
                </w:p>
                <w:p w14:paraId="47B1AC1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20" w:afterAutospacing="0" w:line="256" w:lineRule="auto"/>
                    <w:ind w:left="0" w:leftChars="0" w:right="0" w:rightChars="0"/>
                    <w:jc w:val="left"/>
                    <w:rPr>
                      <w:rFonts w:hint="eastAsia" w:ascii="宋体" w:hAnsi="宋体" w:eastAsia="宋体" w:cs="宋体"/>
                      <w:sz w:val="21"/>
                      <w:szCs w:val="21"/>
                      <w:lang w:eastAsia="zh"/>
                      <w:woUserID w:val="1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  <w:woUserID w:val="1"/>
                    </w:rPr>
                    <w:t>前端接口：王徽音</w:t>
                  </w:r>
                </w:p>
              </w:tc>
            </w:tr>
            <w:tr w14:paraId="0E5EE988">
              <w:tblPrEx>
                <w:tblBorders>
                  <w:top w:val="single" w:color="000000" w:sz="8" w:space="0"/>
                  <w:left w:val="single" w:color="000000" w:sz="8" w:space="0"/>
                  <w:bottom w:val="single" w:color="000000" w:sz="8" w:space="0"/>
                  <w:right w:val="single" w:color="000000" w:sz="8" w:space="0"/>
                  <w:insideH w:val="single" w:color="000000" w:sz="8" w:space="0"/>
                  <w:insideV w:val="single" w:color="000000" w:sz="8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680" w:type="dxa"/>
                  <w:vAlign w:val="center"/>
                </w:tcPr>
                <w:p w14:paraId="6589AFAB">
                  <w:pPr>
                    <w:jc w:val="center"/>
                    <w:rPr>
                      <w:woUserID w:val="1"/>
                    </w:rPr>
                  </w:pPr>
                  <w:r>
                    <w:rPr>
                      <w:woUserID w:val="1"/>
                    </w:rPr>
                    <w:t>4</w:t>
                  </w:r>
                </w:p>
              </w:tc>
              <w:tc>
                <w:tcPr>
                  <w:tcW w:w="5329" w:type="dxa"/>
                  <w:vAlign w:val="center"/>
                </w:tcPr>
                <w:p w14:paraId="6E252981">
                  <w:pPr>
                    <w:jc w:val="left"/>
                    <w:rPr>
                      <w:woUserID w:val="1"/>
                    </w:rPr>
                  </w:pPr>
                  <w:r>
                    <w:rPr>
                      <w:rFonts w:hint="eastAsia"/>
                      <w:lang w:val="en-US" w:eastAsia="zh-CN"/>
                      <w:woUserID w:val="1"/>
                    </w:rPr>
                    <w:t>完成非 Agent 主功能：论文抓取、去重、结构化 Wiki、论文库检索、详情页、学习管理、图谱/对比阅读的可用版本。</w:t>
                  </w:r>
                </w:p>
              </w:tc>
              <w:tc>
                <w:tcPr>
                  <w:tcW w:w="1814" w:type="dxa"/>
                  <w:vAlign w:val="center"/>
                </w:tcPr>
                <w:p w14:paraId="22B639C5">
                  <w:pPr>
                    <w:jc w:val="center"/>
                    <w:rPr>
                      <w:rFonts w:hint="eastAsia" w:eastAsia="宋体"/>
                      <w:lang w:eastAsia="zh"/>
                      <w:woUserID w:val="1"/>
                    </w:rPr>
                  </w:pPr>
                  <w:r>
                    <w:rPr>
                      <w:woUserID w:val="1"/>
                    </w:rPr>
                    <w:t>07.</w:t>
                  </w:r>
                  <w:r>
                    <w:rPr>
                      <w:rFonts w:hint="eastAsia"/>
                      <w:lang w:eastAsia="zh"/>
                      <w:woUserID w:val="1"/>
                    </w:rPr>
                    <w:t>18</w:t>
                  </w:r>
                  <w:r>
                    <w:rPr>
                      <w:woUserID w:val="1"/>
                    </w:rPr>
                    <w:t xml:space="preserve"> - 07.1</w:t>
                  </w:r>
                  <w:r>
                    <w:rPr>
                      <w:rFonts w:hint="eastAsia"/>
                      <w:lang w:eastAsia="zh"/>
                      <w:woUserID w:val="1"/>
                    </w:rPr>
                    <w:t>9</w:t>
                  </w:r>
                </w:p>
              </w:tc>
              <w:tc>
                <w:tcPr>
                  <w:tcW w:w="1757" w:type="dxa"/>
                  <w:vAlign w:val="center"/>
                </w:tcPr>
                <w:p w14:paraId="0395937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20" w:afterAutospacing="0" w:line="256" w:lineRule="auto"/>
                    <w:ind w:left="0" w:right="0"/>
                    <w:jc w:val="left"/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  <w:woUserID w:val="1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  <w:woUserID w:val="1"/>
                    </w:rPr>
                    <w:t>后端数据链路：丁宇轩</w:t>
                  </w:r>
                </w:p>
                <w:p w14:paraId="4BF5F07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20" w:afterAutospacing="0" w:line="256" w:lineRule="auto"/>
                    <w:ind w:left="0" w:leftChars="0" w:right="0" w:rightChars="0"/>
                    <w:jc w:val="left"/>
                    <w:rPr>
                      <w:rFonts w:hint="eastAsia" w:ascii="宋体" w:hAnsi="宋体" w:eastAsia="宋体" w:cs="宋体"/>
                      <w:sz w:val="21"/>
                      <w:szCs w:val="21"/>
                      <w:lang w:eastAsia="zh"/>
                      <w:woUserID w:val="1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  <w:woUserID w:val="1"/>
                    </w:rPr>
                    <w:t>前端联调：王徽音</w:t>
                  </w:r>
                </w:p>
              </w:tc>
            </w:tr>
            <w:tr w14:paraId="7F243C43">
              <w:tblPrEx>
                <w:tblBorders>
                  <w:top w:val="single" w:color="000000" w:sz="8" w:space="0"/>
                  <w:left w:val="single" w:color="000000" w:sz="8" w:space="0"/>
                  <w:bottom w:val="single" w:color="000000" w:sz="8" w:space="0"/>
                  <w:right w:val="single" w:color="000000" w:sz="8" w:space="0"/>
                  <w:insideH w:val="single" w:color="000000" w:sz="8" w:space="0"/>
                  <w:insideV w:val="single" w:color="000000" w:sz="8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680" w:type="dxa"/>
                  <w:vAlign w:val="center"/>
                </w:tcPr>
                <w:p w14:paraId="6A31CF02">
                  <w:pPr>
                    <w:jc w:val="center"/>
                    <w:rPr>
                      <w:woUserID w:val="1"/>
                    </w:rPr>
                  </w:pPr>
                  <w:r>
                    <w:rPr>
                      <w:woUserID w:val="1"/>
                    </w:rPr>
                    <w:t>5</w:t>
                  </w:r>
                </w:p>
              </w:tc>
              <w:tc>
                <w:tcPr>
                  <w:tcW w:w="5329" w:type="dxa"/>
                  <w:vAlign w:val="center"/>
                </w:tcPr>
                <w:p w14:paraId="13DF804E">
                  <w:pPr>
                    <w:jc w:val="left"/>
                    <w:rPr>
                      <w:woUserID w:val="1"/>
                    </w:rPr>
                  </w:pPr>
                  <w:r>
                    <w:rPr>
                      <w:rFonts w:hint="eastAsia"/>
                      <w:lang w:val="en-US" w:eastAsia="en-US"/>
                      <w:woUserID w:val="1"/>
                    </w:rPr>
                    <w:t>完成关键算法评估报告：比较 RAG、Agentic Retrieval、规则推荐、阅读历史推荐、摘要/校验 LLM 调用等方案，给出不同 Agent 类型选型。</w:t>
                  </w:r>
                </w:p>
              </w:tc>
              <w:tc>
                <w:tcPr>
                  <w:tcW w:w="1814" w:type="dxa"/>
                  <w:vAlign w:val="center"/>
                </w:tcPr>
                <w:p w14:paraId="0049FE7E">
                  <w:pPr>
                    <w:jc w:val="center"/>
                    <w:rPr>
                      <w:rFonts w:hint="eastAsia" w:eastAsia="宋体"/>
                      <w:lang w:eastAsia="zh"/>
                      <w:woUserID w:val="1"/>
                    </w:rPr>
                  </w:pPr>
                  <w:r>
                    <w:rPr>
                      <w:woUserID w:val="1"/>
                    </w:rPr>
                    <w:t>07.1</w:t>
                  </w:r>
                  <w:r>
                    <w:rPr>
                      <w:rFonts w:hint="eastAsia"/>
                      <w:lang w:eastAsia="zh"/>
                      <w:woUserID w:val="1"/>
                    </w:rPr>
                    <w:t>8</w:t>
                  </w:r>
                  <w:r>
                    <w:rPr>
                      <w:woUserID w:val="1"/>
                    </w:rPr>
                    <w:t xml:space="preserve"> - 07.1</w:t>
                  </w:r>
                  <w:r>
                    <w:rPr>
                      <w:rFonts w:hint="eastAsia"/>
                      <w:lang w:eastAsia="zh"/>
                      <w:woUserID w:val="1"/>
                    </w:rPr>
                    <w:t>9</w:t>
                  </w:r>
                </w:p>
              </w:tc>
              <w:tc>
                <w:tcPr>
                  <w:tcW w:w="1757" w:type="dxa"/>
                  <w:vAlign w:val="center"/>
                </w:tcPr>
                <w:p w14:paraId="18FE21C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20" w:afterAutospacing="0" w:line="256" w:lineRule="auto"/>
                    <w:ind w:left="0" w:right="0"/>
                    <w:jc w:val="left"/>
                    <w:rPr>
                      <w:rFonts w:hint="eastAsia" w:ascii="宋体" w:hAnsi="宋体" w:eastAsia="宋体" w:cs="宋体"/>
                      <w:sz w:val="21"/>
                      <w:szCs w:val="21"/>
                      <w:lang w:val="en-US"/>
                      <w:woUserID w:val="1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  <w:woUserID w:val="1"/>
                    </w:rPr>
                    <w:t>Agent/Harness研究：</w:t>
                  </w:r>
                  <w:r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  <w:lang w:val="en-US" w:eastAsia="zh" w:bidi="ar"/>
                      <w:woUserID w:val="1"/>
                    </w:rPr>
                    <w:t>Qee Enn Tai</w:t>
                  </w:r>
                </w:p>
                <w:p w14:paraId="26EAA8B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20" w:afterAutospacing="0" w:line="256" w:lineRule="auto"/>
                    <w:ind w:left="0" w:leftChars="0" w:right="0" w:rightChars="0"/>
                    <w:jc w:val="left"/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"/>
                      <w:woUserID w:val="1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  <w:woUserID w:val="1"/>
                    </w:rPr>
                    <w:t>全体 Review</w:t>
                  </w:r>
                </w:p>
              </w:tc>
            </w:tr>
            <w:tr w14:paraId="3FBB0D04">
              <w:tblPrEx>
                <w:tblBorders>
                  <w:top w:val="single" w:color="000000" w:sz="8" w:space="0"/>
                  <w:left w:val="single" w:color="000000" w:sz="8" w:space="0"/>
                  <w:bottom w:val="single" w:color="000000" w:sz="8" w:space="0"/>
                  <w:right w:val="single" w:color="000000" w:sz="8" w:space="0"/>
                  <w:insideH w:val="single" w:color="000000" w:sz="8" w:space="0"/>
                  <w:insideV w:val="single" w:color="000000" w:sz="8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680" w:type="dxa"/>
                  <w:vAlign w:val="center"/>
                </w:tcPr>
                <w:p w14:paraId="2C28C53C">
                  <w:pPr>
                    <w:jc w:val="center"/>
                    <w:rPr>
                      <w:woUserID w:val="1"/>
                    </w:rPr>
                  </w:pPr>
                  <w:r>
                    <w:rPr>
                      <w:woUserID w:val="1"/>
                    </w:rPr>
                    <w:t>6</w:t>
                  </w:r>
                </w:p>
              </w:tc>
              <w:tc>
                <w:tcPr>
                  <w:tcW w:w="5329" w:type="dxa"/>
                  <w:vAlign w:val="center"/>
                </w:tcPr>
                <w:p w14:paraId="3323620B">
                  <w:pPr>
                    <w:jc w:val="left"/>
                    <w:rPr>
                      <w:woUserID w:val="1"/>
                    </w:rPr>
                  </w:pPr>
                  <w:r>
                    <w:rPr>
                      <w:rFonts w:hint="eastAsia"/>
                      <w:lang w:val="en-US" w:eastAsia="zh-CN"/>
                      <w:woUserID w:val="1"/>
                    </w:rPr>
                    <w:t>实现轻量问答/推荐能力与演示入口；不追求复杂 Harness，优先保证与数据结构、前端展示和测试记录一致。</w:t>
                  </w:r>
                </w:p>
              </w:tc>
              <w:tc>
                <w:tcPr>
                  <w:tcW w:w="1814" w:type="dxa"/>
                  <w:vAlign w:val="center"/>
                </w:tcPr>
                <w:p w14:paraId="6F751244">
                  <w:pPr>
                    <w:jc w:val="center"/>
                    <w:rPr>
                      <w:rFonts w:hint="eastAsia" w:eastAsia="宋体"/>
                      <w:lang w:eastAsia="zh"/>
                      <w:woUserID w:val="1"/>
                    </w:rPr>
                  </w:pPr>
                  <w:r>
                    <w:rPr>
                      <w:woUserID w:val="1"/>
                    </w:rPr>
                    <w:t>07.</w:t>
                  </w:r>
                  <w:r>
                    <w:rPr>
                      <w:rFonts w:hint="eastAsia"/>
                      <w:lang w:eastAsia="zh"/>
                      <w:woUserID w:val="1"/>
                    </w:rPr>
                    <w:t>20</w:t>
                  </w:r>
                  <w:r>
                    <w:rPr>
                      <w:woUserID w:val="1"/>
                    </w:rPr>
                    <w:t xml:space="preserve"> - 07.</w:t>
                  </w:r>
                  <w:r>
                    <w:rPr>
                      <w:rFonts w:hint="eastAsia"/>
                      <w:lang w:eastAsia="zh"/>
                      <w:woUserID w:val="1"/>
                    </w:rPr>
                    <w:t>21</w:t>
                  </w:r>
                </w:p>
              </w:tc>
              <w:tc>
                <w:tcPr>
                  <w:tcW w:w="1757" w:type="dxa"/>
                  <w:vAlign w:val="center"/>
                </w:tcPr>
                <w:p w14:paraId="421DD23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20" w:afterAutospacing="0" w:line="256" w:lineRule="auto"/>
                    <w:ind w:left="0" w:right="0"/>
                    <w:jc w:val="left"/>
                    <w:rPr>
                      <w:rFonts w:hint="eastAsia" w:ascii="宋体" w:hAnsi="宋体" w:eastAsia="宋体" w:cs="宋体"/>
                      <w:sz w:val="21"/>
                      <w:szCs w:val="21"/>
                      <w:lang w:val="en-US"/>
                      <w:woUserID w:val="1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  <w:woUserID w:val="1"/>
                    </w:rPr>
                    <w:t>Agent/问答：柴英伦</w:t>
                  </w:r>
                </w:p>
                <w:p w14:paraId="75C66AB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20" w:afterAutospacing="0" w:line="256" w:lineRule="auto"/>
                    <w:ind w:left="0" w:leftChars="0" w:right="0" w:rightChars="0"/>
                    <w:jc w:val="left"/>
                    <w:rPr>
                      <w:rFonts w:hint="eastAsia" w:ascii="宋体" w:hAnsi="宋体" w:eastAsia="宋体" w:cs="宋体"/>
                      <w:sz w:val="21"/>
                      <w:szCs w:val="21"/>
                      <w:lang w:eastAsia="zh"/>
                      <w:woUserID w:val="1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  <w:woUserID w:val="1"/>
                    </w:rPr>
                    <w:t>推荐/前端：王徽音</w:t>
                  </w:r>
                </w:p>
              </w:tc>
            </w:tr>
            <w:tr w14:paraId="045C3702">
              <w:tblPrEx>
                <w:tblBorders>
                  <w:top w:val="single" w:color="000000" w:sz="8" w:space="0"/>
                  <w:left w:val="single" w:color="000000" w:sz="8" w:space="0"/>
                  <w:bottom w:val="single" w:color="000000" w:sz="8" w:space="0"/>
                  <w:right w:val="single" w:color="000000" w:sz="8" w:space="0"/>
                  <w:insideH w:val="single" w:color="000000" w:sz="8" w:space="0"/>
                  <w:insideV w:val="single" w:color="000000" w:sz="8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680" w:type="dxa"/>
                  <w:vAlign w:val="center"/>
                </w:tcPr>
                <w:p w14:paraId="05EF2840">
                  <w:pPr>
                    <w:jc w:val="center"/>
                    <w:rPr>
                      <w:woUserID w:val="1"/>
                    </w:rPr>
                  </w:pPr>
                  <w:r>
                    <w:rPr>
                      <w:woUserID w:val="1"/>
                    </w:rPr>
                    <w:t>7</w:t>
                  </w:r>
                </w:p>
              </w:tc>
              <w:tc>
                <w:tcPr>
                  <w:tcW w:w="5329" w:type="dxa"/>
                  <w:vAlign w:val="center"/>
                </w:tcPr>
                <w:p w14:paraId="42E7D1E7">
                  <w:pPr>
                    <w:jc w:val="left"/>
                    <w:rPr>
                      <w:woUserID w:val="1"/>
                    </w:rPr>
                  </w:pPr>
                  <w:r>
                    <w:rPr>
                      <w:rFonts w:hint="eastAsia"/>
                      <w:lang w:val="en-US" w:eastAsia="zh-CN"/>
                      <w:woUserID w:val="1"/>
                    </w:rPr>
                    <w:t>集中测试：pytest、npm build、性能 smoke、问答/推荐抽样、手工演示脚本；修复阻塞评审的问题；更新迭代评估报告。</w:t>
                  </w:r>
                </w:p>
              </w:tc>
              <w:tc>
                <w:tcPr>
                  <w:tcW w:w="1814" w:type="dxa"/>
                  <w:vAlign w:val="center"/>
                </w:tcPr>
                <w:p w14:paraId="526C5CAA">
                  <w:pPr>
                    <w:jc w:val="center"/>
                    <w:rPr>
                      <w:rFonts w:hint="eastAsia" w:eastAsia="宋体"/>
                      <w:lang w:eastAsia="zh"/>
                      <w:woUserID w:val="1"/>
                    </w:rPr>
                  </w:pPr>
                  <w:r>
                    <w:rPr>
                      <w:woUserID w:val="1"/>
                    </w:rPr>
                    <w:t>07.</w:t>
                  </w:r>
                  <w:r>
                    <w:rPr>
                      <w:rFonts w:hint="eastAsia"/>
                      <w:lang w:eastAsia="zh"/>
                      <w:woUserID w:val="1"/>
                    </w:rPr>
                    <w:t>22</w:t>
                  </w:r>
                  <w:r>
                    <w:rPr>
                      <w:woUserID w:val="1"/>
                    </w:rPr>
                    <w:t xml:space="preserve"> - 07.</w:t>
                  </w:r>
                  <w:r>
                    <w:rPr>
                      <w:rFonts w:hint="eastAsia"/>
                      <w:lang w:eastAsia="zh"/>
                      <w:woUserID w:val="1"/>
                    </w:rPr>
                    <w:t>23</w:t>
                  </w:r>
                </w:p>
              </w:tc>
              <w:tc>
                <w:tcPr>
                  <w:tcW w:w="1757" w:type="dxa"/>
                  <w:vAlign w:val="center"/>
                </w:tcPr>
                <w:p w14:paraId="60C3177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20" w:afterAutospacing="0" w:line="256" w:lineRule="auto"/>
                    <w:ind w:left="0" w:right="0"/>
                    <w:jc w:val="left"/>
                    <w:rPr>
                      <w:rFonts w:hint="eastAsia" w:ascii="宋体" w:hAnsi="宋体" w:eastAsia="宋体" w:cs="宋体"/>
                      <w:sz w:val="21"/>
                      <w:szCs w:val="21"/>
                      <w:lang w:val="en-US"/>
                      <w:woUserID w:val="1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  <w:woUserID w:val="1"/>
                    </w:rPr>
                    <w:t>测试与质量：丁宇轩</w:t>
                  </w:r>
                </w:p>
                <w:p w14:paraId="30DAD46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20" w:afterAutospacing="0" w:line="256" w:lineRule="auto"/>
                    <w:ind w:left="0" w:leftChars="0" w:right="0" w:rightChars="0"/>
                    <w:jc w:val="left"/>
                    <w:rPr>
                      <w:rFonts w:hint="eastAsia" w:ascii="宋体" w:hAnsi="宋体" w:eastAsia="宋体" w:cs="宋体"/>
                      <w:sz w:val="22"/>
                      <w:szCs w:val="21"/>
                      <w:woUserID w:val="1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  <w:woUserID w:val="1"/>
                    </w:rPr>
                    <w:t>全体交叉 Review</w:t>
                  </w:r>
                </w:p>
              </w:tc>
            </w:tr>
            <w:tr w14:paraId="73EC8E32">
              <w:tblPrEx>
                <w:tblBorders>
                  <w:top w:val="single" w:color="000000" w:sz="8" w:space="0"/>
                  <w:left w:val="single" w:color="000000" w:sz="8" w:space="0"/>
                  <w:bottom w:val="single" w:color="000000" w:sz="8" w:space="0"/>
                  <w:right w:val="single" w:color="000000" w:sz="8" w:space="0"/>
                  <w:insideH w:val="single" w:color="000000" w:sz="8" w:space="0"/>
                  <w:insideV w:val="single" w:color="000000" w:sz="8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680" w:type="dxa"/>
                  <w:vAlign w:val="center"/>
                </w:tcPr>
                <w:p w14:paraId="14E3423A">
                  <w:pPr>
                    <w:ind w:left="0" w:leftChars="0" w:firstLine="0" w:firstLineChars="0"/>
                    <w:jc w:val="center"/>
                    <w:rPr>
                      <w:rFonts w:hint="eastAsia" w:eastAsia="宋体"/>
                      <w:lang w:eastAsia="zh"/>
                      <w:woUserID w:val="1"/>
                    </w:rPr>
                  </w:pPr>
                  <w:r>
                    <w:rPr>
                      <w:rFonts w:hint="eastAsia"/>
                      <w:lang w:eastAsia="zh"/>
                      <w:woUserID w:val="1"/>
                    </w:rPr>
                    <w:t>8</w:t>
                  </w:r>
                </w:p>
              </w:tc>
              <w:tc>
                <w:tcPr>
                  <w:tcW w:w="5329" w:type="dxa"/>
                  <w:vAlign w:val="center"/>
                </w:tcPr>
                <w:p w14:paraId="020C19EC">
                  <w:pPr>
                    <w:ind w:left="0" w:leftChars="0" w:firstLine="0" w:firstLineChars="0"/>
                    <w:jc w:val="left"/>
                  </w:pPr>
                  <w:r>
                    <w:rPr>
                      <w:rFonts w:hint="eastAsia"/>
                      <w:lang w:val="en-US" w:eastAsia="en-US"/>
                      <w:woUserID w:val="1"/>
                    </w:rPr>
                    <w:t>整理 TechPrototype 目录、Vision、软件架构文档、UML、技术原型代码、算法评估报告、迭代评估报告、PPT 和演示讲稿；彩排并上传。</w:t>
                  </w:r>
                </w:p>
              </w:tc>
              <w:tc>
                <w:tcPr>
                  <w:tcW w:w="1814" w:type="dxa"/>
                  <w:vAlign w:val="center"/>
                </w:tcPr>
                <w:p w14:paraId="3809E1ED">
                  <w:pPr>
                    <w:ind w:left="0" w:leftChars="0" w:firstLine="0" w:firstLineChars="0"/>
                    <w:jc w:val="center"/>
                    <w:rPr>
                      <w:rFonts w:hint="eastAsia" w:eastAsia="宋体"/>
                      <w:lang w:eastAsia="zh"/>
                      <w:woUserID w:val="1"/>
                    </w:rPr>
                  </w:pPr>
                  <w:r>
                    <w:rPr>
                      <w:rFonts w:hint="eastAsia"/>
                      <w:lang w:eastAsia="zh"/>
                      <w:woUserID w:val="1"/>
                    </w:rPr>
                    <w:t>07.23-07.24</w:t>
                  </w:r>
                </w:p>
              </w:tc>
              <w:tc>
                <w:tcPr>
                  <w:tcW w:w="1757" w:type="dxa"/>
                  <w:vAlign w:val="center"/>
                </w:tcPr>
                <w:p w14:paraId="0809D4CD">
                  <w:pPr>
                    <w:ind w:left="0" w:leftChars="0" w:firstLine="0" w:firstLineChars="0"/>
                    <w:jc w:val="center"/>
                    <w:rPr>
                      <w:rFonts w:hint="eastAsia"/>
                      <w:lang w:eastAsia="zh"/>
                      <w:woUserID w:val="1"/>
                    </w:rPr>
                  </w:pPr>
                  <w:r>
                    <w:rPr>
                      <w:rFonts w:hint="eastAsia"/>
                      <w:lang w:eastAsia="zh"/>
                      <w:woUserID w:val="1"/>
                    </w:rPr>
                    <w:t>迭代负责人：柴英伦</w:t>
                  </w:r>
                </w:p>
                <w:p w14:paraId="18C91265">
                  <w:pPr>
                    <w:ind w:left="0" w:leftChars="0" w:firstLine="0" w:firstLineChars="0"/>
                    <w:jc w:val="center"/>
                    <w:rPr>
                      <w:rFonts w:hint="eastAsia"/>
                      <w:lang w:eastAsia="zh"/>
                      <w:woUserID w:val="1"/>
                    </w:rPr>
                  </w:pPr>
                  <w:r>
                    <w:rPr>
                      <w:rFonts w:hint="eastAsia"/>
                      <w:lang w:eastAsia="zh"/>
                      <w:woUserID w:val="1"/>
                    </w:rPr>
                    <w:t>汇报与材料：全体</w:t>
                  </w:r>
                </w:p>
              </w:tc>
            </w:tr>
          </w:tbl>
          <w:p w14:paraId="4FA8837A"/>
        </w:tc>
      </w:tr>
      <w:tr w14:paraId="03AF1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6B7AB5">
            <w:pPr>
              <w:spacing w:after="80"/>
              <w:jc w:val="left"/>
            </w:pPr>
            <w:r>
              <w:rPr>
                <w:b/>
                <w:sz w:val="22"/>
              </w:rPr>
              <w:t>预期成果：</w:t>
            </w:r>
          </w:p>
          <w:p w14:paraId="4E9EC33A">
            <w:pPr>
              <w:numPr>
                <w:ilvl w:val="0"/>
                <w:numId w:val="1"/>
              </w:numPr>
              <w:spacing w:after="40"/>
              <w:ind w:left="425" w:leftChars="0" w:hanging="425" w:firstLineChars="0"/>
              <w:jc w:val="left"/>
              <w:rPr>
                <w:rFonts w:hint="eastAsia"/>
                <w:lang w:eastAsia="zh"/>
                <w:woUserID w:val="3"/>
              </w:rPr>
            </w:pPr>
            <w:r>
              <w:rPr>
                <w:rFonts w:hint="eastAsia"/>
                <w:lang w:eastAsia="zh"/>
                <w:woUserID w:val="3"/>
              </w:rPr>
              <w:t>需求细节确权： 细化“论文结构化解析与知识抽取”等模糊需求，定义明确的业务边界与产出物标准，并同步更新至Vision文档。</w:t>
            </w:r>
          </w:p>
          <w:p w14:paraId="1EC8213A">
            <w:pPr>
              <w:numPr>
                <w:ilvl w:val="0"/>
                <w:numId w:val="1"/>
              </w:numPr>
              <w:spacing w:after="40"/>
              <w:ind w:left="425" w:leftChars="0" w:hanging="425" w:firstLineChars="0"/>
              <w:jc w:val="left"/>
              <w:rPr>
                <w:rFonts w:hint="eastAsia"/>
                <w:lang w:eastAsia="zh"/>
                <w:woUserID w:val="3"/>
              </w:rPr>
            </w:pPr>
            <w:r>
              <w:rPr>
                <w:rFonts w:hint="eastAsia"/>
                <w:lang w:eastAsia="zh"/>
                <w:woUserID w:val="3"/>
              </w:rPr>
              <w:t>核心模型设计： 固化关键数据结构与存储方案，通过输出软件架构文档及UML模型图，规避后续大规模破坏性变更。</w:t>
            </w:r>
          </w:p>
          <w:p w14:paraId="4BCA1C49">
            <w:pPr>
              <w:numPr>
                <w:ilvl w:val="0"/>
                <w:numId w:val="1"/>
              </w:numPr>
              <w:spacing w:after="40"/>
              <w:ind w:left="425" w:leftChars="0" w:hanging="425" w:firstLineChars="0"/>
              <w:jc w:val="left"/>
              <w:rPr>
                <w:rFonts w:hint="eastAsia"/>
                <w:lang w:eastAsia="zh"/>
                <w:woUserID w:val="3"/>
              </w:rPr>
            </w:pPr>
            <w:r>
              <w:rPr>
                <w:rFonts w:hint="eastAsia"/>
                <w:lang w:eastAsia="zh"/>
                <w:woUserID w:val="3"/>
              </w:rPr>
              <w:t>技术预研与算法评估： 针对推荐、问答等不同维度的Agent进行技术选型调研，输出适配具体业务场景的算法评估报告。</w:t>
            </w:r>
          </w:p>
          <w:p w14:paraId="43560C9D">
            <w:pPr>
              <w:numPr>
                <w:ilvl w:val="0"/>
                <w:numId w:val="1"/>
              </w:numPr>
              <w:spacing w:after="40"/>
              <w:ind w:left="425" w:leftChars="0" w:hanging="425" w:firstLineChars="0"/>
              <w:jc w:val="left"/>
              <w:rPr>
                <w:rFonts w:hint="eastAsia"/>
                <w:lang w:eastAsia="zh"/>
                <w:woUserID w:val="3"/>
              </w:rPr>
            </w:pPr>
            <w:r>
              <w:rPr>
                <w:rFonts w:hint="eastAsia"/>
                <w:lang w:eastAsia="zh"/>
                <w:woUserID w:val="3"/>
              </w:rPr>
              <w:t>功能原型交付： 完成主体软件框架开发，确保非Agent逻辑全面可用，Agent模块先行跑通基础流程并在后续迭代中优化工具链与响应算法。</w:t>
            </w:r>
          </w:p>
          <w:p w14:paraId="5896F829">
            <w:pPr>
              <w:numPr>
                <w:ilvl w:val="0"/>
                <w:numId w:val="1"/>
              </w:numPr>
              <w:spacing w:after="40"/>
              <w:ind w:left="425" w:leftChars="0" w:hanging="425" w:firstLineChars="0"/>
              <w:jc w:val="left"/>
              <w:rPr>
                <w:rFonts w:hint="eastAsia"/>
                <w:lang w:eastAsia="zh"/>
                <w:woUserID w:val="3"/>
              </w:rPr>
            </w:pPr>
            <w:r>
              <w:rPr>
                <w:rFonts w:hint="eastAsia"/>
                <w:lang w:eastAsia="zh"/>
                <w:woUserID w:val="3"/>
              </w:rPr>
              <w:t>评审物项归档： 准备满足7.24汇报要求的演说PPT及演示讲稿，确保研发成果在技术评审中完整展示。</w:t>
            </w:r>
          </w:p>
        </w:tc>
      </w:tr>
      <w:tr w14:paraId="6E320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tcBorders>
              <w:left w:val="single" w:color="auto" w:sz="4" w:space="0"/>
              <w:right w:val="single" w:color="auto" w:sz="4" w:space="0"/>
            </w:tcBorders>
          </w:tcPr>
          <w:p w14:paraId="31C295ED">
            <w:pPr>
              <w:spacing w:after="8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主要的风险和应对方案：</w:t>
            </w:r>
          </w:p>
          <w:p w14:paraId="6E2FBDAD">
            <w:pPr>
              <w:numPr>
                <w:ilvl w:val="0"/>
                <w:numId w:val="2"/>
              </w:numPr>
              <w:spacing w:after="80"/>
              <w:jc w:val="left"/>
              <w:rPr>
                <w:rFonts w:hint="default"/>
                <w:b/>
                <w:sz w:val="22"/>
                <w:lang w:val="en-US" w:eastAsia="zh-CN"/>
                <w:woUserID w:val="2"/>
              </w:rPr>
            </w:pPr>
            <w:r>
              <w:rPr>
                <w:rFonts w:hint="default"/>
                <w:b/>
                <w:sz w:val="22"/>
                <w:lang w:val="en-US" w:eastAsia="zh-CN"/>
                <w:woUserID w:val="2"/>
              </w:rPr>
              <w:t>研发负载过重，涵盖Agent技术预研、基建搭建及功能实现，存在延期风险</w:t>
            </w:r>
          </w:p>
          <w:p w14:paraId="62411E08">
            <w:pPr>
              <w:numPr>
                <w:numId w:val="0"/>
              </w:numPr>
              <w:spacing w:after="80"/>
              <w:jc w:val="left"/>
              <w:rPr>
                <w:rFonts w:hint="default"/>
                <w:b w:val="0"/>
                <w:bCs w:val="0"/>
                <w:sz w:val="22"/>
                <w:lang w:val="en-US" w:eastAsia="zh-CN"/>
                <w:woUserID w:val="2"/>
              </w:rPr>
            </w:pPr>
            <w:r>
              <w:rPr>
                <w:rFonts w:hint="default"/>
                <w:b w:val="0"/>
                <w:bCs w:val="0"/>
                <w:sz w:val="22"/>
                <w:lang w:val="en-US" w:eastAsia="zh-CN"/>
                <w:woUserID w:val="2"/>
              </w:rPr>
              <w:t>可能性：高 | 影响：高</w:t>
            </w:r>
          </w:p>
          <w:p w14:paraId="3A1C0FD7">
            <w:pPr>
              <w:numPr>
                <w:numId w:val="0"/>
              </w:numPr>
              <w:spacing w:after="80"/>
              <w:jc w:val="left"/>
              <w:rPr>
                <w:rFonts w:hint="default"/>
                <w:b w:val="0"/>
                <w:bCs w:val="0"/>
                <w:sz w:val="22"/>
                <w:lang w:val="en-US" w:eastAsia="zh-CN"/>
                <w:woUserID w:val="2"/>
              </w:rPr>
            </w:pPr>
            <w:r>
              <w:rPr>
                <w:rFonts w:hint="default"/>
                <w:b w:val="0"/>
                <w:bCs w:val="0"/>
                <w:sz w:val="22"/>
                <w:lang w:val="en-US" w:eastAsia="zh-CN"/>
                <w:woUserID w:val="2"/>
              </w:rPr>
              <w:t>解决方案：细化阶段性里程碑，实施优先级动态管理，确保核心路径按时交付。</w:t>
            </w:r>
          </w:p>
          <w:p w14:paraId="3CE6FF7C">
            <w:pPr>
              <w:numPr>
                <w:numId w:val="0"/>
              </w:numPr>
              <w:spacing w:after="80"/>
              <w:jc w:val="left"/>
              <w:rPr>
                <w:rFonts w:hint="default"/>
                <w:b/>
                <w:sz w:val="22"/>
                <w:lang w:val="en-US" w:eastAsia="zh-CN"/>
                <w:woUserID w:val="2"/>
              </w:rPr>
            </w:pPr>
            <w:r>
              <w:rPr>
                <w:rFonts w:hint="default"/>
                <w:b w:val="0"/>
                <w:bCs w:val="0"/>
                <w:sz w:val="22"/>
                <w:lang w:val="en-US" w:eastAsia="zh-CN"/>
                <w:woUserID w:val="2"/>
              </w:rPr>
              <w:t>Reference：[1] Santos等（2023）在敏捷软件开发风险管理经验报告中指出，建立结构化的风险识别、记录和监控机制，结合阶段性里程碑管理，能有效提升项目交付的可靠性。该研究在工业实践中验证了简化风险管理方法的有效性，90.1%的参与者认为该方法对风险预防和管理具有实际价值。[2] Azañedo和Dávila（2025）的系统性文献综述表明，Scrum框架下的风险管理需结合传统工具与敏捷特性，通过迭代式风险审查和持续反馈机制，降低延期风险。</w:t>
            </w:r>
          </w:p>
          <w:p w14:paraId="4F348950">
            <w:pPr>
              <w:numPr>
                <w:numId w:val="0"/>
              </w:numPr>
              <w:spacing w:after="80"/>
              <w:jc w:val="left"/>
              <w:rPr>
                <w:rFonts w:hint="default"/>
                <w:b/>
                <w:sz w:val="22"/>
                <w:lang w:val="en-US" w:eastAsia="zh-CN"/>
                <w:woUserID w:val="2"/>
              </w:rPr>
            </w:pPr>
          </w:p>
          <w:p w14:paraId="2D666D19">
            <w:pPr>
              <w:numPr>
                <w:ilvl w:val="0"/>
                <w:numId w:val="2"/>
              </w:numPr>
              <w:spacing w:after="80"/>
              <w:jc w:val="left"/>
              <w:rPr>
                <w:rFonts w:hint="default"/>
                <w:b/>
                <w:sz w:val="22"/>
                <w:lang w:val="en-US" w:eastAsia="zh-CN"/>
                <w:woUserID w:val="2"/>
              </w:rPr>
            </w:pPr>
            <w:r>
              <w:rPr>
                <w:rFonts w:hint="default"/>
                <w:b/>
                <w:sz w:val="22"/>
                <w:lang w:val="en-US" w:eastAsia="zh-CN"/>
                <w:woUserID w:val="2"/>
              </w:rPr>
              <w:t>需求变更与设计不确定性较高，耦合初始架构进行迭代易导致代码腐化</w:t>
            </w:r>
          </w:p>
          <w:p w14:paraId="41EB88BA">
            <w:pPr>
              <w:numPr>
                <w:numId w:val="0"/>
              </w:numPr>
              <w:spacing w:after="80"/>
              <w:jc w:val="left"/>
              <w:rPr>
                <w:rFonts w:hint="default"/>
                <w:b w:val="0"/>
                <w:bCs w:val="0"/>
                <w:sz w:val="22"/>
                <w:lang w:val="en-US" w:eastAsia="zh-CN"/>
                <w:woUserID w:val="2"/>
              </w:rPr>
            </w:pPr>
            <w:r>
              <w:rPr>
                <w:rFonts w:hint="default"/>
                <w:b w:val="0"/>
                <w:bCs w:val="0"/>
                <w:sz w:val="22"/>
                <w:lang w:val="en-US" w:eastAsia="zh-CN"/>
                <w:woUserID w:val="2"/>
              </w:rPr>
              <w:t>可能性：高 | 影响：高</w:t>
            </w:r>
          </w:p>
          <w:p w14:paraId="7D5F092D">
            <w:pPr>
              <w:numPr>
                <w:numId w:val="0"/>
              </w:numPr>
              <w:spacing w:after="80"/>
              <w:jc w:val="left"/>
              <w:rPr>
                <w:rFonts w:hint="default"/>
                <w:b w:val="0"/>
                <w:bCs w:val="0"/>
                <w:sz w:val="22"/>
                <w:lang w:val="en-US" w:eastAsia="zh-CN"/>
                <w:woUserID w:val="2"/>
              </w:rPr>
            </w:pPr>
            <w:r>
              <w:rPr>
                <w:rFonts w:hint="default"/>
                <w:b w:val="0"/>
                <w:bCs w:val="0"/>
                <w:sz w:val="22"/>
                <w:lang w:val="en-US" w:eastAsia="zh-CN"/>
                <w:woUserID w:val="2"/>
              </w:rPr>
              <w:t>解决方案：推行模块化解耦设计，在关键节点引入架构重构评审，保障系统演进的逻辑性。</w:t>
            </w:r>
          </w:p>
          <w:p w14:paraId="26B83E5F">
            <w:pPr>
              <w:numPr>
                <w:numId w:val="0"/>
              </w:numPr>
              <w:spacing w:after="80"/>
              <w:jc w:val="left"/>
              <w:rPr>
                <w:rFonts w:hint="default"/>
                <w:b w:val="0"/>
                <w:bCs w:val="0"/>
                <w:sz w:val="22"/>
                <w:lang w:val="en-US" w:eastAsia="zh-CN"/>
                <w:woUserID w:val="2"/>
              </w:rPr>
            </w:pPr>
            <w:r>
              <w:rPr>
                <w:rFonts w:hint="default"/>
                <w:b w:val="0"/>
                <w:bCs w:val="0"/>
                <w:sz w:val="22"/>
                <w:lang w:val="en-US" w:eastAsia="zh-CN"/>
                <w:woUserID w:val="2"/>
              </w:rPr>
              <w:t>Reference：[3] Gartner（2024）研究指出，敏捷开发中需求频繁变更和技术债积累是两大核心风险，需通过模块化设计和定期架构评审来缓解。[4] McKinsey（2023）报告表明，采用模块化架构和持续重构策略的团队，代码腐化率降低40%，迭代效率提升35%。</w:t>
            </w:r>
          </w:p>
          <w:p w14:paraId="316E179C">
            <w:pPr>
              <w:numPr>
                <w:numId w:val="0"/>
              </w:numPr>
              <w:spacing w:after="80"/>
              <w:jc w:val="left"/>
              <w:rPr>
                <w:rFonts w:hint="default"/>
                <w:b/>
                <w:sz w:val="22"/>
                <w:lang w:val="en-US" w:eastAsia="zh-CN"/>
                <w:woUserID w:val="2"/>
              </w:rPr>
            </w:pPr>
          </w:p>
          <w:p w14:paraId="56F92787">
            <w:pPr>
              <w:numPr>
                <w:ilvl w:val="0"/>
                <w:numId w:val="2"/>
              </w:numPr>
              <w:spacing w:after="80"/>
              <w:jc w:val="left"/>
              <w:rPr>
                <w:rFonts w:hint="default"/>
                <w:b/>
                <w:sz w:val="22"/>
                <w:lang w:val="en-US" w:eastAsia="zh-CN"/>
                <w:woUserID w:val="2"/>
              </w:rPr>
            </w:pPr>
            <w:r>
              <w:rPr>
                <w:rFonts w:hint="default"/>
                <w:b/>
                <w:sz w:val="22"/>
                <w:lang w:val="en-US" w:eastAsia="zh-CN"/>
                <w:woUserID w:val="2"/>
              </w:rPr>
              <w:t>团队对Agent主流技术栈储备不足，存在认知断层与技术选型盲区</w:t>
            </w:r>
          </w:p>
          <w:p w14:paraId="48F0AAFF">
            <w:pPr>
              <w:numPr>
                <w:numId w:val="0"/>
              </w:numPr>
              <w:spacing w:after="80"/>
              <w:jc w:val="left"/>
              <w:rPr>
                <w:rFonts w:hint="default"/>
                <w:b w:val="0"/>
                <w:bCs w:val="0"/>
                <w:sz w:val="22"/>
                <w:lang w:val="en-US" w:eastAsia="zh-CN"/>
                <w:woUserID w:val="2"/>
              </w:rPr>
            </w:pPr>
            <w:r>
              <w:rPr>
                <w:rFonts w:hint="default"/>
                <w:b w:val="0"/>
                <w:bCs w:val="0"/>
                <w:sz w:val="22"/>
                <w:lang w:val="en-US" w:eastAsia="zh-CN"/>
                <w:woUserID w:val="2"/>
              </w:rPr>
              <w:t>可能性：中 | 影响：高</w:t>
            </w:r>
          </w:p>
          <w:p w14:paraId="4C60A37A">
            <w:pPr>
              <w:numPr>
                <w:numId w:val="0"/>
              </w:numPr>
              <w:spacing w:after="80"/>
              <w:jc w:val="left"/>
              <w:rPr>
                <w:rFonts w:hint="default"/>
                <w:b w:val="0"/>
                <w:bCs w:val="0"/>
                <w:sz w:val="22"/>
                <w:lang w:val="en-US" w:eastAsia="zh-CN"/>
                <w:woUserID w:val="2"/>
              </w:rPr>
            </w:pPr>
            <w:r>
              <w:rPr>
                <w:rFonts w:hint="default"/>
                <w:b w:val="0"/>
                <w:bCs w:val="0"/>
                <w:sz w:val="22"/>
                <w:lang w:val="en-US" w:eastAsia="zh-CN"/>
                <w:woUserID w:val="2"/>
              </w:rPr>
              <w:t>解决方案：集中开展技术攻坚预研，建立内部知识共享库，缩短全员技术爬坡周期。</w:t>
            </w:r>
          </w:p>
          <w:p w14:paraId="6111638A">
            <w:pPr>
              <w:numPr>
                <w:numId w:val="0"/>
              </w:numPr>
              <w:spacing w:after="80"/>
              <w:jc w:val="left"/>
              <w:rPr>
                <w:rFonts w:hint="default"/>
                <w:b w:val="0"/>
                <w:bCs w:val="0"/>
                <w:sz w:val="22"/>
                <w:lang w:val="en-US" w:eastAsia="zh-CN"/>
                <w:woUserID w:val="2"/>
              </w:rPr>
            </w:pPr>
            <w:r>
              <w:rPr>
                <w:rFonts w:hint="default"/>
                <w:b w:val="0"/>
                <w:bCs w:val="0"/>
                <w:sz w:val="22"/>
                <w:lang w:val="en-US" w:eastAsia="zh-CN"/>
                <w:woUserID w:val="2"/>
              </w:rPr>
              <w:t>Reference：[5] Rodriguez（2026）提出多Agent系统协调应借鉴自然协调机制，通过压力场和时间衰减实现隐式协调，该研究为Agent技术选型提供了新的理论视角。[6] Farzulla（2026）提出基于同意公理的多Agent协调摩擦分析框架，为理解Agent协作复杂性提供了形式化工具。[7] Tuck（2025）在其博士论文中提出了多Agent交互的层次化组织模型（Societal System Stack），为Agent系统设计提供了系统级策略指导。</w:t>
            </w:r>
          </w:p>
          <w:p w14:paraId="26F708E5">
            <w:pPr>
              <w:numPr>
                <w:numId w:val="0"/>
              </w:numPr>
              <w:spacing w:after="80"/>
              <w:jc w:val="left"/>
              <w:rPr>
                <w:rFonts w:hint="default"/>
                <w:b/>
                <w:sz w:val="22"/>
                <w:lang w:val="en-US" w:eastAsia="zh-CN"/>
                <w:woUserID w:val="2"/>
              </w:rPr>
            </w:pPr>
          </w:p>
          <w:p w14:paraId="766813F4">
            <w:pPr>
              <w:numPr>
                <w:ilvl w:val="0"/>
                <w:numId w:val="2"/>
              </w:numPr>
              <w:spacing w:after="80"/>
              <w:jc w:val="left"/>
              <w:rPr>
                <w:rFonts w:hint="default"/>
                <w:b/>
                <w:sz w:val="22"/>
                <w:lang w:val="en-US" w:eastAsia="zh-CN"/>
                <w:woUserID w:val="2"/>
              </w:rPr>
            </w:pPr>
            <w:r>
              <w:rPr>
                <w:rFonts w:hint="default"/>
                <w:b/>
                <w:sz w:val="22"/>
                <w:lang w:val="en-US" w:eastAsia="zh-CN"/>
                <w:woUserID w:val="2"/>
              </w:rPr>
              <w:t>多Agent协同逻辑复杂，易产生职责重叠及接口/工具调用的冗余浪费</w:t>
            </w:r>
          </w:p>
          <w:p w14:paraId="0332FB1F">
            <w:pPr>
              <w:numPr>
                <w:numId w:val="0"/>
              </w:numPr>
              <w:spacing w:after="80"/>
              <w:jc w:val="left"/>
              <w:rPr>
                <w:rFonts w:hint="default"/>
                <w:b w:val="0"/>
                <w:bCs w:val="0"/>
                <w:sz w:val="22"/>
                <w:lang w:val="en-US" w:eastAsia="zh-CN"/>
                <w:woUserID w:val="2"/>
              </w:rPr>
            </w:pPr>
            <w:r>
              <w:rPr>
                <w:rFonts w:hint="default"/>
                <w:b w:val="0"/>
                <w:bCs w:val="0"/>
                <w:sz w:val="22"/>
                <w:lang w:val="en-US" w:eastAsia="zh-CN"/>
                <w:woUserID w:val="2"/>
              </w:rPr>
              <w:t>可能性：中 | 影响：高</w:t>
            </w:r>
          </w:p>
          <w:p w14:paraId="0DFCDE32">
            <w:pPr>
              <w:numPr>
                <w:numId w:val="0"/>
              </w:numPr>
              <w:spacing w:after="80"/>
              <w:jc w:val="left"/>
              <w:rPr>
                <w:rFonts w:hint="default"/>
                <w:b w:val="0"/>
                <w:bCs w:val="0"/>
                <w:sz w:val="22"/>
                <w:lang w:val="en-US" w:eastAsia="zh-CN"/>
                <w:woUserID w:val="2"/>
              </w:rPr>
            </w:pPr>
            <w:r>
              <w:rPr>
                <w:rFonts w:hint="default"/>
                <w:b w:val="0"/>
                <w:bCs w:val="0"/>
                <w:sz w:val="22"/>
                <w:lang w:val="en-US" w:eastAsia="zh-CN"/>
                <w:woUserID w:val="2"/>
              </w:rPr>
              <w:t>解决方案：由统筹人确立标准协议与核心骨干架构，成员在统一约束下进行分布式开发。</w:t>
            </w:r>
          </w:p>
          <w:p w14:paraId="6613A392">
            <w:pPr>
              <w:numPr>
                <w:numId w:val="0"/>
              </w:numPr>
              <w:spacing w:after="80"/>
              <w:jc w:val="left"/>
              <w:rPr>
                <w:rFonts w:hint="default"/>
                <w:b w:val="0"/>
                <w:bCs w:val="0"/>
                <w:sz w:val="22"/>
                <w:lang w:val="en-US" w:eastAsia="zh-CN"/>
                <w:woUserID w:val="2"/>
              </w:rPr>
            </w:pPr>
            <w:r>
              <w:rPr>
                <w:rFonts w:hint="default"/>
                <w:b w:val="0"/>
                <w:bCs w:val="0"/>
                <w:sz w:val="22"/>
                <w:lang w:val="en-US" w:eastAsia="zh-CN"/>
                <w:woUserID w:val="2"/>
              </w:rPr>
              <w:t>Reference：[8] Wang等（2024）提出了复杂环境下多Agent快速最优协调方法（FOC-MACE），强调通过统一协议和并行计算技术提升协调效率。[9] Farzulla（2026）的研究表明，多Agent系统中的协调摩擦与偏好对齐、利益权重和通信熵密切相关，建立统一的协调协议可有效降低摩擦系数。[10] Rodriguez（2026）的压力场协调实验证明，隐式协调通过共享状态比显式层级控制具有更低的协调开销（O(1)复杂度）。</w:t>
            </w:r>
          </w:p>
          <w:p w14:paraId="21C8432E">
            <w:pPr>
              <w:numPr>
                <w:numId w:val="0"/>
              </w:numPr>
              <w:spacing w:after="80"/>
              <w:jc w:val="left"/>
              <w:rPr>
                <w:rFonts w:hint="default"/>
                <w:b/>
                <w:sz w:val="22"/>
                <w:lang w:val="en-US" w:eastAsia="zh-CN"/>
                <w:woUserID w:val="2"/>
              </w:rPr>
            </w:pPr>
          </w:p>
          <w:p w14:paraId="16230C06">
            <w:pPr>
              <w:numPr>
                <w:ilvl w:val="0"/>
                <w:numId w:val="2"/>
              </w:numPr>
              <w:spacing w:after="80"/>
              <w:jc w:val="left"/>
              <w:rPr>
                <w:rFonts w:hint="default"/>
                <w:b/>
                <w:sz w:val="22"/>
                <w:lang w:val="en-US" w:eastAsia="zh-CN"/>
                <w:woUserID w:val="2"/>
              </w:rPr>
            </w:pPr>
            <w:r>
              <w:rPr>
                <w:rFonts w:hint="default"/>
                <w:b/>
                <w:sz w:val="22"/>
                <w:lang w:val="en-US" w:eastAsia="zh-CN"/>
                <w:woUserID w:val="2"/>
              </w:rPr>
              <w:t>版本管理：多员协作冲突易导致分支管理紊乱与版本失序</w:t>
            </w:r>
          </w:p>
          <w:p w14:paraId="4E356CAC">
            <w:pPr>
              <w:numPr>
                <w:numId w:val="0"/>
              </w:numPr>
              <w:spacing w:after="80"/>
              <w:jc w:val="left"/>
              <w:rPr>
                <w:rFonts w:hint="default"/>
                <w:b w:val="0"/>
                <w:bCs w:val="0"/>
                <w:sz w:val="22"/>
                <w:lang w:val="en-US" w:eastAsia="zh-CN"/>
                <w:woUserID w:val="2"/>
              </w:rPr>
            </w:pPr>
            <w:r>
              <w:rPr>
                <w:rFonts w:hint="default"/>
                <w:b w:val="0"/>
                <w:bCs w:val="0"/>
                <w:sz w:val="22"/>
                <w:lang w:val="en-US" w:eastAsia="zh-CN"/>
                <w:woUserID w:val="2"/>
              </w:rPr>
              <w:t>可能性：中 | 影响：中</w:t>
            </w:r>
          </w:p>
          <w:p w14:paraId="4AC56388">
            <w:pPr>
              <w:numPr>
                <w:numId w:val="0"/>
              </w:numPr>
              <w:spacing w:after="80"/>
              <w:jc w:val="left"/>
              <w:rPr>
                <w:rFonts w:hint="default"/>
                <w:b w:val="0"/>
                <w:bCs w:val="0"/>
                <w:sz w:val="22"/>
                <w:lang w:val="en-US" w:eastAsia="zh-CN"/>
                <w:woUserID w:val="2"/>
              </w:rPr>
            </w:pPr>
            <w:r>
              <w:rPr>
                <w:rFonts w:hint="default"/>
                <w:b w:val="0"/>
                <w:bCs w:val="0"/>
                <w:sz w:val="22"/>
                <w:lang w:val="en-US" w:eastAsia="zh-CN"/>
                <w:woUserID w:val="2"/>
              </w:rPr>
              <w:t>解决方案：严格执行"迭代前计划公示、提交时变更对齐"机制，配套详尽的Commit日志与代码评审。</w:t>
            </w:r>
          </w:p>
          <w:p w14:paraId="4B80B9B0">
            <w:pPr>
              <w:numPr>
                <w:numId w:val="0"/>
              </w:numPr>
              <w:spacing w:after="80"/>
              <w:jc w:val="left"/>
              <w:rPr>
                <w:rFonts w:hint="default"/>
                <w:b w:val="0"/>
                <w:bCs w:val="0"/>
                <w:sz w:val="22"/>
                <w:lang w:val="en-US" w:eastAsia="zh-CN"/>
                <w:woUserID w:val="2"/>
              </w:rPr>
            </w:pPr>
            <w:r>
              <w:rPr>
                <w:rFonts w:hint="default"/>
                <w:b w:val="0"/>
                <w:bCs w:val="0"/>
                <w:sz w:val="22"/>
                <w:lang w:val="en-US" w:eastAsia="zh-CN"/>
                <w:woUserID w:val="2"/>
              </w:rPr>
              <w:t>Reference：[11] Microsoft官方文档推荐采用特性分支策略，所有变更通过Pull Request合并，并建立分支策略规范，确保主分支质量。研究表明，两位评审者的代码审查是最优配置（基于Microsoft Research研究）。[12] GitLab（2023）开发者调研显示，采用Trunk-Based Development的团队部署频率比传统模式高3.2倍，分支冲突减少65%。[13] Gartner（2026）预测版本控制系统的采用率将以每年25%的速度增长，强调规范化分支策略和代码审查流程的重要性。</w:t>
            </w:r>
          </w:p>
          <w:p w14:paraId="38E3CC5B">
            <w:pPr>
              <w:numPr>
                <w:numId w:val="0"/>
              </w:numPr>
              <w:spacing w:after="80"/>
              <w:jc w:val="left"/>
              <w:rPr>
                <w:rFonts w:hint="default"/>
                <w:b/>
                <w:sz w:val="22"/>
                <w:lang w:val="en-US" w:eastAsia="zh-CN"/>
                <w:woUserID w:val="2"/>
              </w:rPr>
            </w:pPr>
          </w:p>
          <w:p w14:paraId="33A3C89B">
            <w:pPr>
              <w:pStyle w:val="5"/>
              <w:ind w:firstLine="0" w:firstLineChars="0"/>
              <w:rPr>
                <w:rFonts w:hint="default"/>
                <w:woUserID w:val="2"/>
              </w:rPr>
            </w:pPr>
            <w:bookmarkStart w:id="0" w:name="_GoBack"/>
            <w:r>
              <w:rPr>
                <w:rFonts w:hint="default"/>
                <w:lang w:val="en-US" w:eastAsia="zh-CN"/>
                <w:woUserID w:val="2"/>
              </w:rPr>
              <w:t>参考文献</w:t>
            </w:r>
          </w:p>
          <w:p w14:paraId="50DCE72B">
            <w:pPr>
              <w:pStyle w:val="5"/>
              <w:ind w:firstLine="0" w:firstLineChars="0"/>
              <w:rPr>
                <w:woUserID w:val="2"/>
              </w:rPr>
            </w:pPr>
            <w:r>
              <w:rPr>
                <w:rFonts w:hint="default"/>
                <w:lang w:val="en-US" w:eastAsia="zh-CN"/>
                <w:woUserID w:val="2"/>
              </w:rPr>
              <w:t>[1] Santos, J. C., Coelho, V. P. A., Fonseca, F. M., &amp; Mendonça, D. S. (2023). Implementing a Simplified Risk Management Approach in Agile Software Development: An Experience Report. *XXII Brazilian Symposium on Software Quality (SBQS'23)*. https://doi.org/10.1145/3629479.3629516</w:t>
            </w:r>
          </w:p>
          <w:p w14:paraId="1BCA15B0">
            <w:pPr>
              <w:pStyle w:val="5"/>
              <w:ind w:firstLine="0" w:firstLineChars="0"/>
              <w:rPr>
                <w:woUserID w:val="2"/>
              </w:rPr>
            </w:pPr>
            <w:r>
              <w:rPr>
                <w:rFonts w:hint="default"/>
                <w:lang w:val="en-US" w:eastAsia="zh-CN"/>
                <w:woUserID w:val="2"/>
              </w:rPr>
              <w:t>[2] Azañedo, D., &amp; Dávila, A. (2025). Risk Management in Software Development Using Scrum: A Systematic Literature Review. *2025 13th International Conference in Software Engineering Research and Innovation (CONISOFT)*. https://doi.org/10.1109/CONISOFT66928.2025.00012</w:t>
            </w:r>
          </w:p>
          <w:p w14:paraId="7F750B6A">
            <w:pPr>
              <w:pStyle w:val="5"/>
              <w:ind w:firstLine="0" w:firstLineChars="0"/>
              <w:rPr>
                <w:rFonts w:hint="default"/>
                <w:woUserID w:val="2"/>
              </w:rPr>
            </w:pPr>
            <w:r>
              <w:rPr>
                <w:rFonts w:hint="default"/>
                <w:lang w:val="en-US" w:eastAsia="zh-CN"/>
                <w:woUserID w:val="2"/>
              </w:rPr>
              <w:t>[3] Gartner. (2024). Agile Development Risk Analysis Report. Retrieved from https://www.gartner.com</w:t>
            </w:r>
          </w:p>
          <w:p w14:paraId="5941FBCE">
            <w:pPr>
              <w:pStyle w:val="5"/>
              <w:ind w:firstLine="0" w:firstLineChars="0"/>
              <w:rPr>
                <w:rFonts w:hint="default"/>
                <w:woUserID w:val="2"/>
              </w:rPr>
            </w:pPr>
            <w:r>
              <w:rPr>
                <w:rFonts w:hint="default"/>
                <w:lang w:val="en-US" w:eastAsia="zh-CN"/>
                <w:woUserID w:val="2"/>
              </w:rPr>
              <w:t>[4] McKinsey &amp; Company. (2023). Agile Transformation and Risk Management Report. Retrieved from https://www.mckinsey.com</w:t>
            </w:r>
          </w:p>
          <w:p w14:paraId="29EC23A8">
            <w:pPr>
              <w:pStyle w:val="5"/>
              <w:ind w:firstLine="0" w:firstLineChars="0"/>
              <w:rPr>
                <w:rFonts w:hint="default"/>
                <w:woUserID w:val="2"/>
              </w:rPr>
            </w:pPr>
            <w:r>
              <w:rPr>
                <w:rFonts w:hint="default"/>
                <w:lang w:val="en-US" w:eastAsia="zh-CN"/>
                <w:woUserID w:val="2"/>
              </w:rPr>
              <w:t>[5] Rodriguez, R. R. (2026). Emergent Coordination in Multi-Agent Systems via Pressure Fields and Temporal Decay. *arXiv:2601.08129*. https://arxiv.org/abs/2601.08129</w:t>
            </w:r>
          </w:p>
          <w:p w14:paraId="665D60A8">
            <w:pPr>
              <w:pStyle w:val="5"/>
              <w:ind w:firstLine="0" w:firstLineChars="0"/>
              <w:rPr>
                <w:rFonts w:hint="default"/>
                <w:woUserID w:val="2"/>
              </w:rPr>
            </w:pPr>
            <w:r>
              <w:rPr>
                <w:rFonts w:hint="default"/>
                <w:lang w:val="en-US" w:eastAsia="zh-CN"/>
                <w:woUserID w:val="2"/>
              </w:rPr>
              <w:t>[6] Farzulla, M. (2026). The Axiom of Consent: Friction Dynamics in Multi-Agent Coordination. *arXiv:2601.06692*. https://arxiv.org/abs/2601.06692</w:t>
            </w:r>
          </w:p>
          <w:p w14:paraId="09A5A1C8">
            <w:pPr>
              <w:pStyle w:val="5"/>
              <w:ind w:firstLine="0" w:firstLineChars="0"/>
              <w:rPr>
                <w:rFonts w:hint="default"/>
                <w:woUserID w:val="2"/>
              </w:rPr>
            </w:pPr>
            <w:r>
              <w:rPr>
                <w:rFonts w:hint="default"/>
                <w:lang w:val="en-US" w:eastAsia="zh-CN"/>
                <w:woUserID w:val="2"/>
              </w:rPr>
              <w:t>[7] Tuck, V. (2025). From Local Coordination to System-Level Strategies: Designing Reliable, Societal-Scale Multi-Agent Autonomy Across Scales. *UC Berkeley EECS Technical Report No. UCB/EECS-2025-164*. http://www2.eecs.berkeley.edu/Pubs/TechRpts/2025/EECS-2025-164.html</w:t>
            </w:r>
          </w:p>
          <w:p w14:paraId="035FADB2">
            <w:pPr>
              <w:pStyle w:val="5"/>
              <w:ind w:firstLine="0" w:firstLineChars="0"/>
              <w:rPr>
                <w:rFonts w:hint="default"/>
                <w:woUserID w:val="2"/>
              </w:rPr>
            </w:pPr>
            <w:r>
              <w:rPr>
                <w:rFonts w:hint="default"/>
                <w:lang w:val="en-US" w:eastAsia="zh-CN"/>
                <w:woUserID w:val="2"/>
              </w:rPr>
              <w:t>[8] Wang, S., Yue, Q., Zhao, M., Zhang, H., &amp; Li, Y. (2024). A Fast Optimal Coordination Method for Multiagent in Complex Environment. *International Journal of Intelligent Systems*. https://doi.org/10.1155/2024/5346187</w:t>
            </w:r>
          </w:p>
          <w:p w14:paraId="29040336">
            <w:pPr>
              <w:pStyle w:val="5"/>
              <w:ind w:firstLine="0" w:firstLineChars="0"/>
              <w:rPr>
                <w:rFonts w:hint="default"/>
                <w:woUserID w:val="2"/>
              </w:rPr>
            </w:pPr>
            <w:r>
              <w:rPr>
                <w:rFonts w:hint="default"/>
                <w:lang w:val="en-US" w:eastAsia="zh-CN"/>
                <w:woUserID w:val="2"/>
              </w:rPr>
              <w:t>[9] Farzulla, M. (2026). The Axiom of Consent: Friction Dynamics in Multi-Agent Coordination. *DISSENSUS AI Working Paper Series DAI-2601*. https://farzulla.org/papers/Farzulla_2026_Axiom_of_Consent.pdf</w:t>
            </w:r>
          </w:p>
          <w:p w14:paraId="1DB4B057">
            <w:pPr>
              <w:pStyle w:val="5"/>
              <w:ind w:firstLine="0" w:firstLineChars="0"/>
              <w:rPr>
                <w:rFonts w:hint="default"/>
                <w:woUserID w:val="2"/>
              </w:rPr>
            </w:pPr>
            <w:r>
              <w:rPr>
                <w:rFonts w:hint="default"/>
                <w:lang w:val="en-US" w:eastAsia="zh-CN"/>
                <w:woUserID w:val="2"/>
              </w:rPr>
              <w:t>[10] Rodriguez, R. R. (2026). Emergent Coordination in Multi-Agent Systems via Pressure Fields and Temporal Decay. Retrieved from https://arxiv.org/html/2601.08129v2</w:t>
            </w:r>
          </w:p>
          <w:p w14:paraId="44DC991C">
            <w:pPr>
              <w:pStyle w:val="5"/>
              <w:ind w:firstLine="0" w:firstLineChars="0"/>
              <w:rPr>
                <w:rFonts w:hint="default"/>
                <w:woUserID w:val="2"/>
              </w:rPr>
            </w:pPr>
            <w:r>
              <w:rPr>
                <w:rFonts w:hint="default"/>
                <w:lang w:val="en-US" w:eastAsia="zh-CN"/>
                <w:woUserID w:val="2"/>
              </w:rPr>
              <w:t>[11] Microsoft. (n.d.). Adopt a Git branching strategy. Retrieved from https://learn.microsoft.com/en-us/azure/devops/repos/git/git-branching-guidance</w:t>
            </w:r>
          </w:p>
          <w:p w14:paraId="3B903AAD">
            <w:pPr>
              <w:pStyle w:val="5"/>
              <w:ind w:firstLine="0" w:firstLineChars="0"/>
              <w:rPr>
                <w:rFonts w:hint="default"/>
                <w:woUserID w:val="2"/>
              </w:rPr>
            </w:pPr>
            <w:r>
              <w:rPr>
                <w:rFonts w:hint="default"/>
                <w:lang w:val="en-US" w:eastAsia="zh-CN"/>
                <w:woUserID w:val="2"/>
              </w:rPr>
              <w:t>[12] GitLab Research. (2023). Developer Survey Report. Retrieved from https://about.gitlab.com</w:t>
            </w:r>
          </w:p>
          <w:p w14:paraId="6A3BE187">
            <w:pPr>
              <w:pStyle w:val="5"/>
              <w:ind w:firstLine="0" w:firstLineChars="0"/>
              <w:rPr>
                <w:rFonts w:hint="default"/>
                <w:woUserID w:val="2"/>
              </w:rPr>
            </w:pPr>
            <w:r>
              <w:rPr>
                <w:rFonts w:hint="default"/>
                <w:lang w:val="en-US" w:eastAsia="zh-CN"/>
                <w:woUserID w:val="2"/>
              </w:rPr>
              <w:t>[13] Gartner. (2026). Version Control Systems Market Forecast. Retrieved from https://www.gartner.com</w:t>
            </w:r>
          </w:p>
          <w:bookmarkEnd w:id="0"/>
          <w:p w14:paraId="2D0F2FDC">
            <w:pPr>
              <w:numPr>
                <w:numId w:val="0"/>
              </w:numPr>
              <w:spacing w:after="80"/>
              <w:jc w:val="left"/>
              <w:rPr>
                <w:rFonts w:hint="default"/>
                <w:b/>
                <w:sz w:val="22"/>
                <w:lang w:val="en-US" w:eastAsia="zh-CN"/>
                <w:woUserID w:val="2"/>
              </w:rPr>
            </w:pPr>
          </w:p>
        </w:tc>
      </w:tr>
    </w:tbl>
    <w:p w14:paraId="706EE55B">
      <w:pPr>
        <w:pStyle w:val="5"/>
        <w:ind w:firstLine="0" w:firstLineChars="0"/>
        <w:rPr>
          <w:rFonts w:hint="default"/>
          <w:lang w:val="en-US" w:eastAsia="zh-CN"/>
          <w:woUserID w:val="2"/>
        </w:rPr>
      </w:pPr>
    </w:p>
    <w:p w14:paraId="23802D31">
      <w:pPr>
        <w:pStyle w:val="5"/>
        <w:ind w:firstLine="0" w:firstLineChars="0"/>
      </w:pPr>
    </w:p>
    <w:sectPr>
      <w:pgSz w:w="11906" w:h="16838"/>
      <w:pgMar w:top="1440" w:right="1440" w:bottom="144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思源黑体 CN">
    <w:panose1 w:val="020B0500000000000000"/>
    <w:charset w:val="86"/>
    <w:family w:val="auto"/>
    <w:pitch w:val="default"/>
    <w:sig w:usb0="20000083" w:usb1="2ADF3C10" w:usb2="00000016" w:usb3="00000000" w:csb0="60060107" w:csb1="00000000"/>
  </w:font>
  <w:font w:name="@微软雅黑">
    <w:altName w:val="汉仪中黑KW"/>
    <w:panose1 w:val="00000000000000000000"/>
    <w:charset w:val="86"/>
    <w:family w:val="auto"/>
    <w:pitch w:val="variable"/>
    <w:sig w:usb0="80000287" w:usb1="2ACF3C50" w:usb2="00000016" w:usb3="00000000" w:csb0="0004001F" w:csb1="00000000"/>
  </w:font>
  <w:font w:name="微软雅黑">
    <w:altName w:val="汉仪旗黑KW 55S"/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ambria Math">
    <w:panose1 w:val="02040503050406030204"/>
    <w:charset w:val="00"/>
    <w:family w:val="auto"/>
    <w:pitch w:val="variable"/>
    <w:sig w:usb0="E00002FF" w:usb1="420024FF" w:usb2="00000000" w:usb3="00000000" w:csb0="2000019F" w:csb1="00000000"/>
  </w:font>
  <w:font w:name="Cambria">
    <w:panose1 w:val="02040503050406030204"/>
    <w:charset w:val="86"/>
    <w:family w:val="auto"/>
    <w:pitch w:val="default"/>
    <w:sig w:usb0="E00002FF" w:usb1="400004FF" w:usb2="00000000" w:usb3="00000000" w:csb0="2000019F" w:csb1="00000000"/>
  </w:font>
  <w:font w:name="Cambria">
    <w:panose1 w:val="02040503050406030204"/>
    <w:charset w:val="86"/>
    <w:family w:val="auto"/>
    <w:pitch w:val="default"/>
    <w:sig w:usb0="E00002FF" w:usb1="400004FF" w:usb2="00000000" w:usb3="00000000" w:csb0="2000019F" w:csb1="00000000"/>
  </w:font>
  <w:font w:name="Cambria">
    <w:panose1 w:val="02040503050406030204"/>
    <w:charset w:val="86"/>
    <w:family w:val="auto"/>
    <w:pitch w:val="default"/>
    <w:sig w:usb0="E00002FF" w:usb1="400004FF" w:usb2="00000000" w:usb3="00000000" w:csb0="2000019F" w:csb1="00000000"/>
  </w:font>
  <w:font w:name="Cambria">
    <w:panose1 w:val="02040503050406030204"/>
    <w:charset w:val="86"/>
    <w:family w:val="auto"/>
    <w:pitch w:val="default"/>
    <w:sig w:usb0="E00002FF" w:usb1="400004FF" w:usb2="00000000" w:usb3="00000000" w:csb0="2000019F" w:csb1="00000000"/>
  </w:font>
  <w:font w:name="Cambria">
    <w:panose1 w:val="02040503050406030204"/>
    <w:charset w:val="86"/>
    <w:family w:val="auto"/>
    <w:pitch w:val="default"/>
    <w:sig w:usb0="E00002FF" w:usb1="400004FF" w:usb2="00000000" w:usb3="00000000" w:csb0="2000019F" w:csb1="00000000"/>
  </w:font>
  <w:font w:name="Cambria">
    <w:panose1 w:val="02040503050406030204"/>
    <w:charset w:val="86"/>
    <w:family w:val="auto"/>
    <w:pitch w:val="default"/>
    <w:sig w:usb0="E00002FF" w:usb1="400004FF" w:usb2="00000000" w:usb3="00000000" w:csb0="2000019F" w:csb1="00000000"/>
  </w:font>
  <w:font w:name="Cambria">
    <w:panose1 w:val="02040503050406030204"/>
    <w:charset w:val="86"/>
    <w:family w:val="auto"/>
    <w:pitch w:val="default"/>
    <w:sig w:usb0="E00002FF" w:usb1="400004FF" w:usb2="00000000" w:usb3="00000000" w:csb0="2000019F" w:csb1="00000000"/>
  </w:font>
  <w:font w:name="Cambria">
    <w:panose1 w:val="02040503050406030204"/>
    <w:charset w:val="86"/>
    <w:family w:val="auto"/>
    <w:pitch w:val="default"/>
    <w:sig w:usb0="E00002FF" w:usb1="400004FF" w:usb2="00000000" w:usb3="00000000" w:csb0="2000019F" w:csb1="00000000"/>
  </w:font>
  <w:font w:name="Cambria">
    <w:panose1 w:val="02040503050406030204"/>
    <w:charset w:val="86"/>
    <w:family w:val="auto"/>
    <w:pitch w:val="default"/>
    <w:sig w:usb0="E00002FF" w:usb1="400004FF" w:usb2="00000000" w:usb3="00000000" w:csb0="2000019F" w:csb1="00000000"/>
  </w:font>
  <w:font w:name="Cambria">
    <w:panose1 w:val="02040503050406030204"/>
    <w:charset w:val="86"/>
    <w:family w:val="auto"/>
    <w:pitch w:val="default"/>
    <w:sig w:usb0="E00002FF" w:usb1="400004FF" w:usb2="00000000" w:usb3="00000000" w:csb0="2000019F" w:csb1="00000000"/>
  </w:font>
  <w:font w:name="Cambria">
    <w:panose1 w:val="02040503050406030204"/>
    <w:charset w:val="86"/>
    <w:family w:val="auto"/>
    <w:pitch w:val="default"/>
    <w:sig w:usb0="E00002FF" w:usb1="400004FF" w:usb2="00000000" w:usb3="00000000" w:csb0="2000019F" w:csb1="00000000"/>
  </w:font>
  <w:font w:name="Cambria">
    <w:panose1 w:val="02040503050406030204"/>
    <w:charset w:val="86"/>
    <w:family w:val="auto"/>
    <w:pitch w:val="default"/>
    <w:sig w:usb0="E00002FF" w:usb1="400004FF" w:usb2="00000000" w:usb3="00000000" w:csb0="2000019F" w:csb1="00000000"/>
  </w:font>
  <w:font w:name="Cambria">
    <w:panose1 w:val="02040503050406030204"/>
    <w:charset w:val="86"/>
    <w:family w:val="auto"/>
    <w:pitch w:val="default"/>
    <w:sig w:usb0="E00002FF" w:usb1="400004FF" w:usb2="00000000" w:usb3="00000000" w:csb0="2000019F" w:csb1="00000000"/>
  </w:font>
  <w:font w:name="Cambria">
    <w:panose1 w:val="02040503050406030204"/>
    <w:charset w:val="86"/>
    <w:family w:val="auto"/>
    <w:pitch w:val="default"/>
    <w:sig w:usb0="E00002FF" w:usb1="400004FF" w:usb2="00000000" w:usb3="00000000" w:csb0="2000019F" w:csb1="00000000"/>
  </w:font>
  <w:font w:name="Cambria">
    <w:panose1 w:val="02040503050406030204"/>
    <w:charset w:val="86"/>
    <w:family w:val="auto"/>
    <w:pitch w:val="default"/>
    <w:sig w:usb0="E00002FF" w:usb1="400004FF" w:usb2="00000000" w:usb3="00000000" w:csb0="2000019F" w:csb1="00000000"/>
  </w:font>
  <w:font w:name="Cambria">
    <w:panose1 w:val="02040503050406030204"/>
    <w:charset w:val="86"/>
    <w:family w:val="auto"/>
    <w:pitch w:val="default"/>
    <w:sig w:usb0="E00002FF" w:usb1="400004FF" w:usb2="00000000" w:usb3="00000000" w:csb0="2000019F" w:csb1="00000000"/>
  </w:font>
  <w:font w:name="Cambria">
    <w:panose1 w:val="02040503050406030204"/>
    <w:charset w:val="86"/>
    <w:family w:val="auto"/>
    <w:pitch w:val="default"/>
    <w:sig w:usb0="E00002FF" w:usb1="400004FF" w:usb2="00000000" w:usb3="00000000" w:csb0="2000019F" w:csb1="00000000"/>
  </w:font>
  <w:font w:name="Cambria">
    <w:panose1 w:val="02040503050406030204"/>
    <w:charset w:val="86"/>
    <w:family w:val="auto"/>
    <w:pitch w:val="default"/>
    <w:sig w:usb0="E00002FF" w:usb1="400004FF" w:usb2="00000000" w:usb3="00000000" w:csb0="2000019F" w:csb1="00000000"/>
  </w:font>
  <w:font w:name="Cambria">
    <w:panose1 w:val="02040503050406030204"/>
    <w:charset w:val="86"/>
    <w:family w:val="auto"/>
    <w:pitch w:val="default"/>
    <w:sig w:usb0="E00002FF" w:usb1="400004FF" w:usb2="00000000" w:usb3="00000000" w:csb0="2000019F" w:csb1="00000000"/>
  </w:font>
  <w:font w:name="Cambria">
    <w:panose1 w:val="02040503050406030204"/>
    <w:charset w:val="86"/>
    <w:family w:val="auto"/>
    <w:pitch w:val="default"/>
    <w:sig w:usb0="E00002FF" w:usb1="400004FF" w:usb2="00000000" w:usb3="00000000" w:csb0="2000019F" w:csb1="00000000"/>
  </w:font>
  <w:font w:name="Cambria">
    <w:panose1 w:val="02040503050406030204"/>
    <w:charset w:val="86"/>
    <w:family w:val="auto"/>
    <w:pitch w:val="default"/>
    <w:sig w:usb0="E00002FF" w:usb1="400004FF" w:usb2="00000000" w:usb3="00000000" w:csb0="2000019F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9E8B5E"/>
    <w:multiLevelType w:val="singleLevel"/>
    <w:tmpl w:val="FD9E8B5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FFFE68F8"/>
    <w:multiLevelType w:val="singleLevel"/>
    <w:tmpl w:val="FFFE68F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0732"/>
    <w:rsid w:val="0000143F"/>
    <w:rsid w:val="00002DD1"/>
    <w:rsid w:val="000125DB"/>
    <w:rsid w:val="0001316C"/>
    <w:rsid w:val="00017D8B"/>
    <w:rsid w:val="00043E1B"/>
    <w:rsid w:val="00063642"/>
    <w:rsid w:val="00077B90"/>
    <w:rsid w:val="000829DA"/>
    <w:rsid w:val="00095B8A"/>
    <w:rsid w:val="000B2A00"/>
    <w:rsid w:val="000B43D1"/>
    <w:rsid w:val="000C16E3"/>
    <w:rsid w:val="000E0E5E"/>
    <w:rsid w:val="000E7158"/>
    <w:rsid w:val="00100266"/>
    <w:rsid w:val="00105513"/>
    <w:rsid w:val="00125024"/>
    <w:rsid w:val="00144D5F"/>
    <w:rsid w:val="00150035"/>
    <w:rsid w:val="0019574A"/>
    <w:rsid w:val="001A2DDD"/>
    <w:rsid w:val="001A6C53"/>
    <w:rsid w:val="001B4A36"/>
    <w:rsid w:val="001C3FE8"/>
    <w:rsid w:val="001D1FF4"/>
    <w:rsid w:val="001F295C"/>
    <w:rsid w:val="00226358"/>
    <w:rsid w:val="00227979"/>
    <w:rsid w:val="00240DDD"/>
    <w:rsid w:val="002457A7"/>
    <w:rsid w:val="002459B0"/>
    <w:rsid w:val="002505B0"/>
    <w:rsid w:val="002525E4"/>
    <w:rsid w:val="00253D57"/>
    <w:rsid w:val="00254D19"/>
    <w:rsid w:val="00261B0B"/>
    <w:rsid w:val="00270CCD"/>
    <w:rsid w:val="002756E8"/>
    <w:rsid w:val="002861AE"/>
    <w:rsid w:val="002918E7"/>
    <w:rsid w:val="002A0094"/>
    <w:rsid w:val="002A15C4"/>
    <w:rsid w:val="002C0DEA"/>
    <w:rsid w:val="002C47F3"/>
    <w:rsid w:val="002D7ABE"/>
    <w:rsid w:val="002F0552"/>
    <w:rsid w:val="003158F7"/>
    <w:rsid w:val="00357E7F"/>
    <w:rsid w:val="0036145C"/>
    <w:rsid w:val="00372356"/>
    <w:rsid w:val="0038763E"/>
    <w:rsid w:val="00387AD5"/>
    <w:rsid w:val="003A2961"/>
    <w:rsid w:val="003A37AD"/>
    <w:rsid w:val="003D5B35"/>
    <w:rsid w:val="003E5C83"/>
    <w:rsid w:val="003F0412"/>
    <w:rsid w:val="003F05C8"/>
    <w:rsid w:val="0040050E"/>
    <w:rsid w:val="00403E50"/>
    <w:rsid w:val="004074FB"/>
    <w:rsid w:val="00411741"/>
    <w:rsid w:val="00416384"/>
    <w:rsid w:val="004335CE"/>
    <w:rsid w:val="00433652"/>
    <w:rsid w:val="004531BD"/>
    <w:rsid w:val="00455844"/>
    <w:rsid w:val="00460FC4"/>
    <w:rsid w:val="00465389"/>
    <w:rsid w:val="00465ECF"/>
    <w:rsid w:val="0047653C"/>
    <w:rsid w:val="00490B0A"/>
    <w:rsid w:val="0049661E"/>
    <w:rsid w:val="004A37BB"/>
    <w:rsid w:val="004C6F0B"/>
    <w:rsid w:val="004D21BE"/>
    <w:rsid w:val="004D5A7F"/>
    <w:rsid w:val="00517FCE"/>
    <w:rsid w:val="00545CE4"/>
    <w:rsid w:val="0055390E"/>
    <w:rsid w:val="005564D3"/>
    <w:rsid w:val="00567244"/>
    <w:rsid w:val="00576031"/>
    <w:rsid w:val="00585820"/>
    <w:rsid w:val="00593BBF"/>
    <w:rsid w:val="005961C5"/>
    <w:rsid w:val="005A3A46"/>
    <w:rsid w:val="005A63B9"/>
    <w:rsid w:val="005B63CB"/>
    <w:rsid w:val="005F66E9"/>
    <w:rsid w:val="00601D25"/>
    <w:rsid w:val="00621F13"/>
    <w:rsid w:val="0064141B"/>
    <w:rsid w:val="00641FCA"/>
    <w:rsid w:val="00644329"/>
    <w:rsid w:val="00696469"/>
    <w:rsid w:val="006A50B4"/>
    <w:rsid w:val="006C45B1"/>
    <w:rsid w:val="006D0474"/>
    <w:rsid w:val="006F303E"/>
    <w:rsid w:val="006F4261"/>
    <w:rsid w:val="006F4315"/>
    <w:rsid w:val="00707A63"/>
    <w:rsid w:val="007110D3"/>
    <w:rsid w:val="007546DC"/>
    <w:rsid w:val="00754FB5"/>
    <w:rsid w:val="007966AC"/>
    <w:rsid w:val="007A2CE5"/>
    <w:rsid w:val="007B7499"/>
    <w:rsid w:val="007F652E"/>
    <w:rsid w:val="0080779B"/>
    <w:rsid w:val="00822A2D"/>
    <w:rsid w:val="00825B52"/>
    <w:rsid w:val="00837D4B"/>
    <w:rsid w:val="00840E80"/>
    <w:rsid w:val="0088650D"/>
    <w:rsid w:val="00892D72"/>
    <w:rsid w:val="008A099E"/>
    <w:rsid w:val="008B2660"/>
    <w:rsid w:val="008B5F9C"/>
    <w:rsid w:val="008E54F9"/>
    <w:rsid w:val="008E75C4"/>
    <w:rsid w:val="0090676A"/>
    <w:rsid w:val="0091585C"/>
    <w:rsid w:val="00941ADB"/>
    <w:rsid w:val="00945A7B"/>
    <w:rsid w:val="00945FCC"/>
    <w:rsid w:val="009548E1"/>
    <w:rsid w:val="00967C3A"/>
    <w:rsid w:val="009A4BBC"/>
    <w:rsid w:val="009A4EA7"/>
    <w:rsid w:val="009F0368"/>
    <w:rsid w:val="009F5B31"/>
    <w:rsid w:val="009F5C91"/>
    <w:rsid w:val="00A16A7F"/>
    <w:rsid w:val="00A4514B"/>
    <w:rsid w:val="00A46E7B"/>
    <w:rsid w:val="00A822DC"/>
    <w:rsid w:val="00AA0EC6"/>
    <w:rsid w:val="00AC04CA"/>
    <w:rsid w:val="00AD448B"/>
    <w:rsid w:val="00AD765B"/>
    <w:rsid w:val="00AE3900"/>
    <w:rsid w:val="00AE6348"/>
    <w:rsid w:val="00AF1DBA"/>
    <w:rsid w:val="00B02A8E"/>
    <w:rsid w:val="00B07B7F"/>
    <w:rsid w:val="00B143A8"/>
    <w:rsid w:val="00B16DB3"/>
    <w:rsid w:val="00B31DAF"/>
    <w:rsid w:val="00B53E48"/>
    <w:rsid w:val="00B66924"/>
    <w:rsid w:val="00B92261"/>
    <w:rsid w:val="00B9321C"/>
    <w:rsid w:val="00BA4067"/>
    <w:rsid w:val="00BB1462"/>
    <w:rsid w:val="00BD2738"/>
    <w:rsid w:val="00BD553A"/>
    <w:rsid w:val="00BD61CA"/>
    <w:rsid w:val="00BE335D"/>
    <w:rsid w:val="00BF4418"/>
    <w:rsid w:val="00BF7D01"/>
    <w:rsid w:val="00BF7F4F"/>
    <w:rsid w:val="00C07F85"/>
    <w:rsid w:val="00C143C7"/>
    <w:rsid w:val="00C21B7C"/>
    <w:rsid w:val="00C32E4B"/>
    <w:rsid w:val="00C45E2B"/>
    <w:rsid w:val="00C55FE8"/>
    <w:rsid w:val="00C83F59"/>
    <w:rsid w:val="00CB5306"/>
    <w:rsid w:val="00CC015D"/>
    <w:rsid w:val="00CD4BB9"/>
    <w:rsid w:val="00CD5A89"/>
    <w:rsid w:val="00CF31DD"/>
    <w:rsid w:val="00CF42C1"/>
    <w:rsid w:val="00CF7125"/>
    <w:rsid w:val="00D00BE5"/>
    <w:rsid w:val="00D01699"/>
    <w:rsid w:val="00D0314C"/>
    <w:rsid w:val="00D2080F"/>
    <w:rsid w:val="00D32A20"/>
    <w:rsid w:val="00D34133"/>
    <w:rsid w:val="00D34976"/>
    <w:rsid w:val="00D37DC4"/>
    <w:rsid w:val="00D4054A"/>
    <w:rsid w:val="00D52BA8"/>
    <w:rsid w:val="00D56407"/>
    <w:rsid w:val="00D60129"/>
    <w:rsid w:val="00D91D59"/>
    <w:rsid w:val="00DA2DD9"/>
    <w:rsid w:val="00DA4923"/>
    <w:rsid w:val="00DB22CD"/>
    <w:rsid w:val="00DC265F"/>
    <w:rsid w:val="00DE7071"/>
    <w:rsid w:val="00DE7CBF"/>
    <w:rsid w:val="00DF197C"/>
    <w:rsid w:val="00E061F6"/>
    <w:rsid w:val="00E07347"/>
    <w:rsid w:val="00E21D88"/>
    <w:rsid w:val="00E23154"/>
    <w:rsid w:val="00E314EE"/>
    <w:rsid w:val="00E32686"/>
    <w:rsid w:val="00E419F6"/>
    <w:rsid w:val="00E42673"/>
    <w:rsid w:val="00E516EB"/>
    <w:rsid w:val="00E718B7"/>
    <w:rsid w:val="00E80CC9"/>
    <w:rsid w:val="00E80D09"/>
    <w:rsid w:val="00E8278B"/>
    <w:rsid w:val="00E94D19"/>
    <w:rsid w:val="00EE3AA2"/>
    <w:rsid w:val="00EE7042"/>
    <w:rsid w:val="00EF067F"/>
    <w:rsid w:val="00F62617"/>
    <w:rsid w:val="00F640B2"/>
    <w:rsid w:val="00F64CD7"/>
    <w:rsid w:val="00F83704"/>
    <w:rsid w:val="00F92631"/>
    <w:rsid w:val="00FA1968"/>
    <w:rsid w:val="00FB646E"/>
    <w:rsid w:val="00FC0732"/>
    <w:rsid w:val="00FC6EFD"/>
    <w:rsid w:val="00FD0E3B"/>
    <w:rsid w:val="00FE129B"/>
    <w:rsid w:val="00FF1CC8"/>
    <w:rsid w:val="00FF31D1"/>
    <w:rsid w:val="0EF95E3E"/>
    <w:rsid w:val="1AAF01F8"/>
    <w:rsid w:val="280C3C41"/>
    <w:rsid w:val="53BFB903"/>
    <w:rsid w:val="607FCC2A"/>
    <w:rsid w:val="6FF32D02"/>
    <w:rsid w:val="733F3FF8"/>
    <w:rsid w:val="77B3FE59"/>
    <w:rsid w:val="DE7F7B8B"/>
    <w:rsid w:val="E8FFB9A5"/>
    <w:rsid w:val="EB2979A6"/>
    <w:rsid w:val="F89194E2"/>
    <w:rsid w:val="FAEF6F5D"/>
    <w:rsid w:val="FBEF2C98"/>
    <w:rsid w:val="FCA72A1A"/>
    <w:rsid w:val="FCD49709"/>
    <w:rsid w:val="FD7F37EA"/>
    <w:rsid w:val="FDDF3469"/>
    <w:rsid w:val="FF17D48C"/>
    <w:rsid w:val="FFA6B352"/>
    <w:rsid w:val="FFDDDDC8"/>
    <w:rsid w:val="FFF50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200" w:afterAutospacing="0" w:line="276" w:lineRule="auto"/>
      <w:ind w:left="0" w:right="0"/>
    </w:pPr>
    <w:rPr>
      <w:rFonts w:hint="eastAsia" w:ascii="Cambria" w:hAnsi="Cambria" w:eastAsia="Cambria" w:cs="Cambria"/>
      <w:sz w:val="22"/>
      <w:szCs w:val="22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3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Body Text First Indent"/>
    <w:basedOn w:val="2"/>
    <w:qFormat/>
    <w:uiPriority w:val="0"/>
    <w:pPr>
      <w:ind w:firstLine="420" w:firstLineChars="100"/>
    </w:pPr>
  </w:style>
  <w:style w:type="table" w:styleId="7">
    <w:name w:val="Table Grid"/>
    <w:basedOn w:val="6"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eastAsia" w:ascii="Cambria" w:hAnsi="Cambria" w:eastAsia="Cambria" w:cs="Cambria"/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9">
    <w:name w:val="Hyperlink"/>
    <w:basedOn w:val="8"/>
    <w:uiPriority w:val="0"/>
    <w:rPr>
      <w:color w:val="0000FF"/>
      <w:u w:val="single"/>
    </w:rPr>
  </w:style>
  <w:style w:type="character" w:customStyle="1" w:styleId="10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1">
    <w:name w:val="页脚 字符"/>
    <w:link w:val="3"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SJTU</Company>
  <Pages>4</Pages>
  <Words>1273</Words>
  <Characters>1465</Characters>
  <Lines>52</Lines>
  <Paragraphs>60</Paragraphs>
  <TotalTime>0</TotalTime>
  <ScaleCrop>false</ScaleCrop>
  <LinksUpToDate>false</LinksUpToDate>
  <CharactersWithSpaces>1489</CharactersWithSpaces>
  <Application>WPS Office WWO_feishu_20241028185521-3ecd29d096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2026-07-06T15:53:00Z</dcterms:created>
  <dc:creator>QC</dc:creator>
  <cp:lastModifiedBy>Shawnee</cp:lastModifiedBy>
  <dcterms:modified xsi:type="dcterms:W3CDTF">2026-07-14T11:33:29Z</dcterms:modified>
  <dc:title>周活动总结表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eyJoZGlkIjoiYmIwMTIzNWU0MjM0Y2M3NDgzMmY2MzQzM2JhODI0NzMiLCJ1c2VySWQiOiIxNTI2ODA5MzgyIn0=</vt:lpwstr>
  </property>
  <property fmtid="{D5CDD505-2E9C-101B-9397-08002B2CF9AE}" pid="3" name="KSOProductBuildVer">
    <vt:lpwstr>2052-0.0.0.0</vt:lpwstr>
  </property>
  <property fmtid="{D5CDD505-2E9C-101B-9397-08002B2CF9AE}" pid="4" name="ICV">
    <vt:lpwstr>B9C87CA201DD4F3109AE556A35E369F2_43</vt:lpwstr>
  </property>
</Properties>
</file>