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82C2B0">
      <w:pPr>
        <w:pBdr/>
        <w:spacing/>
        <w:ind/>
        <w:jc w:val="both"/>
        <w:rPr>
          <w:b/>
          <w:bCs/>
        </w:rPr>
      </w:pPr>
      <w:r>
        <w:rPr>
          <w:b/>
          <w:bCs/>
          <w:sz w:val="24"/>
          <w:szCs w:val="24"/>
        </w:rPr>
        <w:t xml:space="preserve">DOCKER_LOW_SPEC_GUIDE_FOR_OLDER_PC</w:t>
      </w:r>
      <w:r>
        <w:br/>
        <w:br/>
        <w:t xml:space="preserve">The</w:t>
      </w:r>
      <w:r>
        <w:t xml:space="preserve"> strategy is called a Write-Ahead Log (WAL) with delayed commits or asynchronous flushing. </w:t>
      </w:r>
      <w:r>
        <w:t xml:space="preserve">Instead of your slow mechanical hard drive grinding every single time a user clicks "like" or logs in, the database holds everythi</w:t>
      </w:r>
      <w:r>
        <w:t xml:space="preserve">ng in your ultra-fast RAM and writes the data to your disk in one clean batch every few seconds. </w:t>
      </w:r>
      <w:r>
        <w:rPr>
          <w:b/>
          <w:bCs/>
        </w:rPr>
      </w:r>
      <w:r>
        <w:rPr>
          <w:b/>
          <w:bCs/>
        </w:rPr>
      </w:r>
    </w:p>
    <w:p w14:paraId="2A6EBA44">
      <w:pPr>
        <w:pBdr/>
        <w:spacing/>
        <w:ind/>
        <w:rPr/>
      </w:pPr>
      <w:r>
        <w:t xml:space="preserve">For an older PC, this is the holy grail: you get 100% RAM speed while typing code, but your data is still permanently saved. </w:t>
      </w:r>
      <w:r>
        <w:t xml:space="preserve">Here is how you can set this up easily using PostgreSQL in Docker:</w:t>
      </w:r>
      <w:r/>
    </w:p>
    <w:p w14:paraId="257CAF48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Implementation: docker-compose.yml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BC33F8B">
      <w:pPr>
        <w:pBdr/>
        <w:spacing/>
        <w:ind/>
        <w:rPr/>
      </w:pPr>
      <w:r>
        <w:t xml:space="preserve">You do not need special programming scripts to do this. You can tell PostgreSQL to do this automatically by modifying its internal engine settings directly inside your docker-compose.yml file.</w:t>
      </w:r>
      <w:r/>
    </w:p>
    <w:p w14:paraId="28D7618C">
      <w:pPr>
        <w:pBdr/>
        <w:shd w:val="clear" w:color="f2f2f2" w:themeColor="background1" w:themeShade="F2" w:fill="f2f2f2" w:themeFill="background1" w:themeFillShade="F2"/>
        <w:spacing w:after="202" w:afterAutospacing="0"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t xml:space="preserve">yaml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744CBE8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/>
      </w:pPr>
      <w:r>
        <w:rPr>
          <w:color w:val="c55a11" w:themeColor="accent2" w:themeShade="BF"/>
        </w:rPr>
        <w:t xml:space="preserve">version</w:t>
      </w:r>
      <w:r>
        <w:rPr>
          <w:color w:val="000000" w:themeColor="text1"/>
        </w:rPr>
        <w:t xml:space="preserve">:</w:t>
      </w:r>
      <w:r>
        <w:t xml:space="preserve"> </w:t>
      </w:r>
      <w:r>
        <w:rPr>
          <w:color w:val="548235" w:themeColor="accent6" w:themeShade="BF"/>
        </w:rPr>
        <w:t xml:space="preserve">'3.8'</w:t>
      </w:r>
      <w:r/>
    </w:p>
    <w:p w14:paraId="78E3EC8E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c55a11" w:themeColor="accent2" w:themeShade="BF"/>
        </w:rPr>
      </w:pPr>
      <w:r>
        <w:rPr>
          <w:color w:val="c55a11" w:themeColor="accent2" w:themeShade="BF"/>
        </w:rPr>
        <w:t xml:space="preserve">services</w:t>
      </w:r>
      <w:r>
        <w:rPr>
          <w:color w:val="000000" w:themeColor="text1"/>
        </w:rPr>
        <w:t xml:space="preserve">:</w:t>
      </w:r>
      <w:r>
        <w:rPr>
          <w:color w:val="c55a11" w:themeColor="accent2" w:themeShade="BF"/>
        </w:rPr>
      </w:r>
      <w:r>
        <w:rPr>
          <w:color w:val="c55a11" w:themeColor="accent2" w:themeShade="BF"/>
        </w:rPr>
      </w:r>
    </w:p>
    <w:p w14:paraId="2831F28F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c55a11" w:themeColor="accent2" w:themeShade="BF"/>
        </w:rPr>
      </w:pPr>
      <w:r>
        <w:rPr>
          <w:color w:val="c55a11" w:themeColor="accent2" w:themeShade="BF"/>
        </w:rPr>
        <w:t xml:space="preserve">  database</w:t>
      </w:r>
      <w:r>
        <w:rPr>
          <w:color w:val="000000" w:themeColor="text1"/>
        </w:rPr>
        <w:t xml:space="preserve">:</w:t>
      </w:r>
      <w:r>
        <w:rPr>
          <w:color w:val="c55a11" w:themeColor="accent2" w:themeShade="BF"/>
        </w:rPr>
      </w:r>
      <w:r>
        <w:rPr>
          <w:color w:val="c55a11" w:themeColor="accent2" w:themeShade="BF"/>
        </w:rPr>
      </w:r>
    </w:p>
    <w:p w14:paraId="17396B8F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c55a11" w:themeColor="accent2" w:themeShade="BF"/>
        </w:rPr>
      </w:pPr>
      <w:r>
        <w:rPr>
          <w:color w:val="c55a11" w:themeColor="accent2" w:themeShade="BF"/>
        </w:rPr>
        <w:t xml:space="preserve">    image</w:t>
      </w:r>
      <w:r>
        <w:rPr>
          <w:color w:val="000000" w:themeColor="text1"/>
        </w:rPr>
        <w:t xml:space="preserve">:</w:t>
      </w:r>
      <w:r>
        <w:rPr>
          <w:color w:val="c55a11" w:themeColor="accent2" w:themeShade="BF"/>
        </w:rPr>
        <w:t xml:space="preserve"> postgres:15</w:t>
      </w:r>
      <w:r>
        <w:rPr>
          <w:color w:val="c55a11" w:themeColor="accent2" w:themeShade="BF"/>
        </w:rPr>
      </w:r>
      <w:r>
        <w:rPr>
          <w:color w:val="c55a11" w:themeColor="accent2" w:themeShade="BF"/>
        </w:rPr>
      </w:r>
    </w:p>
    <w:p w14:paraId="1D6A7444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c55a11" w:themeColor="accent2" w:themeShade="BF"/>
        </w:rPr>
      </w:pPr>
      <w:r>
        <w:rPr>
          <w:color w:val="c55a11" w:themeColor="accent2" w:themeShade="BF"/>
        </w:rPr>
        <w:t xml:space="preserve">    environment:</w:t>
      </w:r>
      <w:r>
        <w:rPr>
          <w:color w:val="c55a11" w:themeColor="accent2" w:themeShade="BF"/>
        </w:rPr>
      </w:r>
      <w:r>
        <w:rPr>
          <w:color w:val="c55a11" w:themeColor="accent2" w:themeShade="BF"/>
        </w:rPr>
      </w:r>
    </w:p>
    <w:p w14:paraId="10348234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c55a11" w:themeColor="accent2" w:themeShade="BF"/>
        </w:rPr>
      </w:pPr>
      <w:r>
        <w:rPr>
          <w:color w:val="c55a11" w:themeColor="accent2" w:themeShade="BF"/>
        </w:rPr>
        <w:t xml:space="preserve">      POSTGRES_USER</w:t>
      </w:r>
      <w:r>
        <w:rPr>
          <w:color w:val="000000" w:themeColor="text1"/>
        </w:rPr>
        <w:t xml:space="preserve">: armstrong</w:t>
      </w:r>
      <w:r>
        <w:rPr>
          <w:color w:val="c55a11" w:themeColor="accent2" w:themeShade="BF"/>
        </w:rPr>
      </w:r>
      <w:r>
        <w:rPr>
          <w:color w:val="c55a11" w:themeColor="accent2" w:themeShade="BF"/>
        </w:rPr>
      </w:r>
    </w:p>
    <w:p w14:paraId="2602FC56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c55a11" w:themeColor="accent2" w:themeShade="BF"/>
        </w:rPr>
      </w:pPr>
      <w:r>
        <w:rPr>
          <w:color w:val="c55a11" w:themeColor="accent2" w:themeShade="BF"/>
        </w:rPr>
        <w:t xml:space="preserve">      POSTGRES_PASSWORD</w:t>
      </w:r>
      <w:r>
        <w:rPr>
          <w:color w:val="000000" w:themeColor="text1"/>
        </w:rPr>
        <w:t xml:space="preserve">: mypassword</w:t>
      </w:r>
      <w:r>
        <w:rPr>
          <w:color w:val="c55a11" w:themeColor="accent2" w:themeShade="BF"/>
        </w:rPr>
      </w:r>
      <w:r>
        <w:rPr>
          <w:color w:val="c55a11" w:themeColor="accent2" w:themeShade="BF"/>
        </w:rPr>
      </w:r>
    </w:p>
    <w:p w14:paraId="7DFCF297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c55a11" w:themeColor="accent2" w:themeShade="BF"/>
        </w:rPr>
      </w:pPr>
      <w:r>
        <w:rPr>
          <w:color w:val="c55a11" w:themeColor="accent2" w:themeShade="BF"/>
        </w:rPr>
        <w:t xml:space="preserve">      POSTGRES_DB</w:t>
      </w:r>
      <w:r>
        <w:rPr>
          <w:color w:val="000000" w:themeColor="text1"/>
        </w:rPr>
        <w:t xml:space="preserve">: blog_db</w:t>
      </w:r>
      <w:r>
        <w:rPr>
          <w:color w:val="c55a11" w:themeColor="accent2" w:themeShade="BF"/>
        </w:rPr>
      </w:r>
      <w:r>
        <w:rPr>
          <w:color w:val="c55a11" w:themeColor="accent2" w:themeShade="BF"/>
        </w:rPr>
      </w:r>
    </w:p>
    <w:p w14:paraId="7F1E2E49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/>
      </w:pPr>
      <w:r>
        <w:rPr>
          <w:color w:val="c55a11" w:themeColor="accent2" w:themeShade="BF"/>
        </w:rPr>
        <w:t xml:space="preserve">    ports</w:t>
      </w:r>
      <w:r>
        <w:t xml:space="preserve">:</w:t>
      </w:r>
      <w:r/>
    </w:p>
    <w:p w14:paraId="6665EEC9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/>
      </w:pPr>
      <w:r>
        <w:t xml:space="preserve">      - </w:t>
      </w:r>
      <w:r>
        <w:rPr>
          <w:color w:val="548235" w:themeColor="accent6" w:themeShade="BF"/>
        </w:rPr>
        <w:t xml:space="preserve">"5432:5432"</w:t>
      </w:r>
      <w:r/>
    </w:p>
    <w:p w14:paraId="7929C6C0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/>
      </w:pPr>
      <w:r>
        <w:t xml:space="preserve">    </w:t>
      </w:r>
      <w:r/>
    </w:p>
    <w:p w14:paraId="5B374A88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262626" w:themeColor="text1" w:themeTint="D9"/>
        </w:rPr>
      </w:pPr>
      <w:r>
        <w:t xml:space="preserve">    </w:t>
      </w:r>
      <w:r>
        <w:rPr>
          <w:color w:val="262626" w:themeColor="text1" w:themeTint="D9"/>
        </w:rPr>
        <w:t xml:space="preserve"># PERMANENT STORAGE: Where the batches are eventually saved</w:t>
      </w:r>
      <w:r>
        <w:rPr>
          <w:color w:val="262626" w:themeColor="text1" w:themeTint="D9"/>
        </w:rPr>
      </w:r>
      <w:r>
        <w:rPr>
          <w:color w:val="262626" w:themeColor="text1" w:themeTint="D9"/>
        </w:rPr>
      </w:r>
    </w:p>
    <w:p w14:paraId="76C787A9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/>
      </w:pPr>
      <w:r>
        <w:t xml:space="preserve">    </w:t>
      </w:r>
      <w:r>
        <w:rPr>
          <w:color w:val="c55a11" w:themeColor="accent2" w:themeShade="BF"/>
        </w:rPr>
        <w:t xml:space="preserve">volumes</w:t>
      </w:r>
      <w:r>
        <w:t xml:space="preserve">:</w:t>
      </w:r>
      <w:r/>
    </w:p>
    <w:p w14:paraId="529B25FE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/>
      </w:pPr>
      <w:r>
        <w:t xml:space="preserve">      - </w:t>
      </w:r>
      <w:r>
        <w:rPr>
          <w:color w:val="c55a11" w:themeColor="accent2" w:themeShade="BF"/>
        </w:rPr>
        <w:t xml:space="preserve">postgres_data</w:t>
      </w:r>
      <w:r>
        <w:t xml:space="preserve">:/var/lib/postgresql/data</w:t>
      </w:r>
      <w:r/>
    </w:p>
    <w:p w14:paraId="0B1CAB5E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/>
      </w:pPr>
      <w:r/>
      <w:r/>
    </w:p>
    <w:p w14:paraId="605F0A73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/>
      </w:pPr>
      <w:r>
        <w:t xml:space="preserve">    </w:t>
      </w:r>
      <w:r>
        <w:rPr>
          <w:color w:val="262626" w:themeColor="text1" w:themeTint="D9"/>
        </w:rPr>
        <w:t xml:space="preserve"># THE SPEED HACK: Force PostgreSQL to hold writes in RAM and batch them</w:t>
      </w:r>
      <w:r/>
    </w:p>
    <w:p w14:paraId="0B66A3C0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548235" w:themeColor="accent6" w:themeShade="BF"/>
        </w:rPr>
      </w:pPr>
      <w:r>
        <w:t xml:space="preserve">    </w:t>
      </w:r>
      <w:r>
        <w:rPr>
          <w:color w:val="c55a11" w:themeColor="accent2" w:themeShade="BF"/>
        </w:rPr>
        <w:t xml:space="preserve">command</w:t>
      </w:r>
      <w:r>
        <w:rPr>
          <w:color w:val="000000" w:themeColor="text1"/>
        </w:rPr>
        <w:t xml:space="preserve">:</w:t>
      </w:r>
      <w:r>
        <w:rPr>
          <w:color w:val="548235" w:themeColor="accent6" w:themeShade="BF"/>
        </w:rPr>
        <w:t xml:space="preserve"> &gt;</w:t>
      </w:r>
      <w:r>
        <w:rPr>
          <w:color w:val="548235" w:themeColor="accent6" w:themeShade="BF"/>
        </w:rPr>
      </w:r>
      <w:r>
        <w:rPr>
          <w:color w:val="548235" w:themeColor="accent6" w:themeShade="BF"/>
        </w:rPr>
      </w:r>
    </w:p>
    <w:p w14:paraId="4B625440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548235" w:themeColor="accent6" w:themeShade="BF"/>
        </w:rPr>
      </w:pPr>
      <w:r>
        <w:rPr>
          <w:color w:val="548235" w:themeColor="accent6" w:themeShade="BF"/>
        </w:rPr>
        <w:t xml:space="preserve">      postgres</w:t>
      </w:r>
      <w:r>
        <w:rPr>
          <w:color w:val="548235" w:themeColor="accent6" w:themeShade="BF"/>
        </w:rPr>
      </w:r>
      <w:r>
        <w:rPr>
          <w:color w:val="548235" w:themeColor="accent6" w:themeShade="BF"/>
        </w:rPr>
      </w:r>
    </w:p>
    <w:p w14:paraId="59000E32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548235" w:themeColor="accent6" w:themeShade="BF"/>
        </w:rPr>
      </w:pPr>
      <w:r>
        <w:rPr>
          <w:color w:val="548235" w:themeColor="accent6" w:themeShade="BF"/>
        </w:rPr>
        <w:t xml:space="preserve">      -c synchronous_commit=off</w:t>
      </w:r>
      <w:r>
        <w:rPr>
          <w:color w:val="548235" w:themeColor="accent6" w:themeShade="BF"/>
        </w:rPr>
      </w:r>
      <w:r>
        <w:rPr>
          <w:color w:val="548235" w:themeColor="accent6" w:themeShade="BF"/>
        </w:rPr>
      </w:r>
    </w:p>
    <w:p w14:paraId="02C65621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548235" w:themeColor="accent6" w:themeShade="BF"/>
        </w:rPr>
      </w:pPr>
      <w:r>
        <w:rPr>
          <w:color w:val="548235" w:themeColor="accent6" w:themeShade="BF"/>
        </w:rPr>
        <w:t xml:space="preserve">      -c commit_delay=100000</w:t>
      </w:r>
      <w:r>
        <w:rPr>
          <w:color w:val="548235" w:themeColor="accent6" w:themeShade="BF"/>
        </w:rPr>
      </w:r>
      <w:r>
        <w:rPr>
          <w:color w:val="548235" w:themeColor="accent6" w:themeShade="BF"/>
        </w:rPr>
      </w:r>
    </w:p>
    <w:p w14:paraId="379317D8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548235" w:themeColor="accent6" w:themeShade="BF"/>
        </w:rPr>
      </w:pPr>
      <w:r>
        <w:rPr>
          <w:color w:val="548235" w:themeColor="accent6" w:themeShade="BF"/>
        </w:rPr>
        <w:t xml:space="preserve">      -c commit_siblings=5</w:t>
      </w:r>
      <w:r>
        <w:rPr>
          <w:color w:val="548235" w:themeColor="accent6" w:themeShade="BF"/>
        </w:rPr>
      </w:r>
      <w:r>
        <w:rPr>
          <w:color w:val="548235" w:themeColor="accent6" w:themeShade="BF"/>
        </w:rPr>
      </w:r>
    </w:p>
    <w:p w14:paraId="0891097B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548235" w:themeColor="accent6" w:themeShade="BF"/>
        </w:rPr>
      </w:pPr>
      <w:r>
        <w:rPr>
          <w:color w:val="548235" w:themeColor="accent6" w:themeShade="BF"/>
        </w:rPr>
        <w:t xml:space="preserve">      -c shared_buffers=256MB</w:t>
      </w:r>
      <w:r>
        <w:rPr>
          <w:color w:val="548235" w:themeColor="accent6" w:themeShade="BF"/>
        </w:rPr>
      </w:r>
      <w:r>
        <w:rPr>
          <w:color w:val="548235" w:themeColor="accent6" w:themeShade="BF"/>
        </w:rPr>
      </w:r>
    </w:p>
    <w:p w14:paraId="2ECE5823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c55a11" w:themeColor="accent2" w:themeShade="BF"/>
        </w:rPr>
      </w:pPr>
      <w:r>
        <w:rPr>
          <w:color w:val="c55a11" w:themeColor="accent2" w:themeShade="BF"/>
        </w:rPr>
        <w:t xml:space="preserve">volumes:</w:t>
      </w:r>
      <w:r>
        <w:rPr>
          <w:color w:val="c55a11" w:themeColor="accent2" w:themeShade="BF"/>
        </w:rPr>
      </w:r>
      <w:r>
        <w:rPr>
          <w:color w:val="c55a11" w:themeColor="accent2" w:themeShade="BF"/>
        </w:rPr>
      </w:r>
    </w:p>
    <w:p w14:paraId="096EDD5E">
      <w:pPr>
        <w:pBdr/>
        <w:shd w:val="clear" w:color="f2f2f2" w:themeColor="background1" w:themeShade="F2" w:fill="f2f2f2" w:themeFill="background1" w:themeFillShade="F2"/>
        <w:spacing w:after="58" w:afterAutospacing="0" w:line="264" w:lineRule="auto"/>
        <w:ind/>
        <w:rPr>
          <w:color w:val="c55a11" w:themeColor="accent2" w:themeShade="BF"/>
        </w:rPr>
      </w:pPr>
      <w:r>
        <w:rPr>
          <w:color w:val="c55a11" w:themeColor="accent2" w:themeShade="BF"/>
        </w:rPr>
        <w:t xml:space="preserve">  postgres_data:</w:t>
      </w:r>
      <w:r>
        <w:rPr>
          <w:color w:val="c55a11" w:themeColor="accent2" w:themeShade="BF"/>
        </w:rPr>
      </w:r>
      <w:r>
        <w:rPr>
          <w:color w:val="c55a11" w:themeColor="accent2" w:themeShade="BF"/>
        </w:rPr>
      </w:r>
    </w:p>
    <w:p w14:paraId="5C3368F7">
      <w:pPr>
        <w:pBdr/>
        <w:spacing/>
        <w:ind/>
        <w:jc w:val="left"/>
        <w:rPr>
          <w:highlight w:val="none"/>
        </w:rPr>
      </w:pPr>
      <w:r>
        <w:rPr>
          <w:b/>
          <w:bCs/>
          <w:sz w:val="28"/>
          <w:szCs w:val="28"/>
        </w:rPr>
        <w:t xml:space="preserve">The Core Setup Options</w:t>
      </w:r>
      <w:r>
        <w:rPr>
          <w:b/>
          <w:bCs/>
        </w:rPr>
        <w:br/>
        <w:t xml:space="preserve">docker-compose.yml</w:t>
      </w:r>
      <w:r>
        <w:rPr>
          <w:b/>
          <w:bCs/>
        </w:rPr>
        <w:t xml:space="preserve">:</w:t>
      </w:r>
      <w:r>
        <w:t xml:space="preserve"> </w:t>
      </w:r>
      <w:r>
        <w:t xml:space="preserve">"Go download this specific software, configure it with these settings, and launch it for me."</w:t>
      </w:r>
      <w:r>
        <w:rPr>
          <w:highlight w:val="none"/>
        </w:rPr>
      </w:r>
    </w:p>
    <w:p w14:paraId="7F39D54A">
      <w:pPr>
        <w:pBdr/>
        <w:spacing/>
        <w:ind/>
        <w:rPr>
          <w:highlight w:val="none"/>
        </w:rPr>
      </w:pPr>
      <w:r>
        <w:rPr>
          <w:b/>
          <w:bCs/>
        </w:rPr>
        <w:t xml:space="preserve">version: '3.8': </w:t>
      </w:r>
      <w:r>
        <w:t xml:space="preserve"> This specifies the version of the Docker Compose file standard you are using. It tells Docker which features and formatting rules to expect inside the file.</w:t>
      </w:r>
      <w:r>
        <w:rPr>
          <w:highlight w:val="none"/>
        </w:rPr>
      </w:r>
    </w:p>
    <w:p w14:paraId="496903E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services:</w:t>
      </w:r>
      <w:r>
        <w:rPr>
          <w:highlight w:val="none"/>
        </w:rPr>
        <w:t xml:space="preserve"> This is the starting category for your containers. It tells Docker: "Below this line is a list of the background applications I want to turn on."</w:t>
      </w:r>
      <w:r>
        <w:rPr>
          <w:highlight w:val="none"/>
        </w:rPr>
      </w:r>
      <w:r>
        <w:rPr>
          <w:highlight w:val="none"/>
        </w:rPr>
      </w:r>
    </w:p>
    <w:p w14:paraId="235EB79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database: </w:t>
      </w:r>
      <w:r>
        <w:rPr>
          <w:highlight w:val="none"/>
        </w:rPr>
        <w:t xml:space="preserve">This is a custom nickname you are giving to your container. You could name this anything (like my-db), but database keeps your configuration organized.</w:t>
      </w:r>
      <w:r>
        <w:rPr>
          <w:highlight w:val="none"/>
        </w:rPr>
      </w:r>
      <w:r>
        <w:rPr>
          <w:highlight w:val="none"/>
        </w:rPr>
      </w:r>
    </w:p>
    <w:p w14:paraId="6EC308A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image: postgres</w:t>
      </w:r>
      <w:r>
        <w:rPr>
          <w:b/>
          <w:bCs/>
          <w:highlight w:val="none"/>
        </w:rPr>
        <w:t xml:space="preserve">: </w:t>
      </w:r>
      <w:r>
        <w:rPr>
          <w:b/>
          <w:bCs/>
          <w:highlight w:val="none"/>
        </w:rPr>
        <w:t xml:space="preserve">15:</w:t>
      </w:r>
      <w:r>
        <w:rPr>
          <w:highlight w:val="none"/>
        </w:rPr>
        <w:t xml:space="preserve">  This tells Docker exactly what software to download from the internet. It goes to the public Docker Hub registry, fetches version 15 of PostgreSQL, and installs it inside a isolated virtual bubble on your machine.</w:t>
      </w:r>
      <w:r>
        <w:rPr>
          <w:highlight w:val="none"/>
        </w:rPr>
      </w:r>
      <w:r>
        <w:rPr>
          <w:highlight w:val="none"/>
        </w:rPr>
      </w:r>
    </w:p>
    <w:p w14:paraId="19BF42E8"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  <w:t xml:space="preserve">The Security &amp; Credentials Category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</w:p>
    <w:p w14:paraId="58A37314">
      <w:pPr>
        <w:pBdr/>
        <w:spacing/>
        <w:ind/>
        <w:rPr>
          <w14:ligatures w14:val="none"/>
        </w:rPr>
      </w:pPr>
      <w:r>
        <w:rPr>
          <w:b/>
          <w:bCs/>
        </w:rPr>
        <w:t xml:space="preserve">environment:</w:t>
      </w:r>
      <w:r>
        <w:t xml:space="preserve"> </w:t>
      </w:r>
      <w:r>
        <w:t xml:space="preserve">This opens a section to pass custom settings directly into the database software upon startup.</w:t>
      </w:r>
      <w:r>
        <w:rPr>
          <w14:ligatures w14:val="none"/>
        </w:rPr>
      </w:r>
    </w:p>
    <w:p w14:paraId="31E94BEE">
      <w:pPr>
        <w:pBdr/>
        <w:spacing/>
        <w:ind/>
        <w:rPr>
          <w14:ligatures w14:val="none"/>
        </w:rPr>
      </w:pPr>
      <w:r>
        <w:rPr>
          <w:b/>
          <w:bCs/>
        </w:rPr>
        <w:t xml:space="preserve">POSTGRES_USER: armstrong:</w:t>
      </w:r>
      <w:r>
        <w:t xml:space="preserve"> </w:t>
      </w:r>
      <w:r>
        <w:t xml:space="preserve">This sets up your master database administrator account name (</w:t>
      </w:r>
      <w:r>
        <w:t xml:space="preserve">armstrong</w:t>
      </w:r>
      <w:r>
        <w:t xml:space="preserve">).</w:t>
      </w:r>
      <w:r>
        <w:rPr>
          <w14:ligatures w14:val="none"/>
        </w:rPr>
      </w:r>
    </w:p>
    <w:p w14:paraId="196261F1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POSTGRES_PASSWORD: mypassword</w:t>
      </w:r>
      <w:r>
        <w:rPr>
          <w:b/>
          <w:bCs/>
        </w:rPr>
        <w:t xml:space="preserve">: </w:t>
      </w:r>
      <w:r>
        <w:t xml:space="preserve">This sets the master password required to access your database files.</w:t>
      </w:r>
      <w:r>
        <w:rPr>
          <w:b/>
          <w:bCs/>
        </w:rPr>
      </w:r>
      <w:r>
        <w:rPr>
          <w:b/>
          <w:bCs/>
          <w14:ligatures w14:val="none"/>
        </w:rPr>
      </w:r>
    </w:p>
    <w:p w14:paraId="2D3AFE5A">
      <w:pPr>
        <w:pBdr/>
        <w:spacing/>
        <w:ind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</w:rPr>
        <w:t xml:space="preserve">POSTGRES_DB: blog_db:</w:t>
      </w:r>
      <w:r>
        <w:t xml:space="preserve"> </w:t>
      </w:r>
      <w:r>
        <w:t xml:space="preserve">This instructs PostgreSQL to automatically create an empty data catalog named </w:t>
      </w:r>
      <w:r>
        <w:t xml:space="preserve">blog_db</w:t>
      </w:r>
      <w:r>
        <w:t xml:space="preserve"> where your Next.js project can store its tables.</w:t>
      </w:r>
      <w:r>
        <w:rPr>
          <w:b/>
          <w:bCs/>
          <w:sz w:val="28"/>
          <w:szCs w:val="28"/>
          <w:highlight w:val="none"/>
        </w:rPr>
      </w:r>
      <w:r>
        <w:rPr>
          <w14:ligatures w14:val="none"/>
        </w:rPr>
      </w:r>
    </w:p>
    <w:p w14:paraId="7FE24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</w:rPr>
        <w:t xml:space="preserve">The Networking Connection</w:t>
      </w:r>
      <w:r>
        <w:rPr>
          <w:b/>
          <w:bCs/>
          <w:sz w:val="28"/>
          <w:szCs w:val="28"/>
        </w:rPr>
      </w:r>
    </w:p>
    <w:p w14:paraId="409F9237">
      <w:pPr>
        <w:pBdr/>
        <w:spacing/>
        <w:ind/>
        <w:rPr>
          <w14:ligatures w14:val="none"/>
        </w:rPr>
      </w:pPr>
      <w:r>
        <w:rPr>
          <w:b/>
          <w:bCs/>
        </w:rPr>
        <w:t xml:space="preserve">ports:</w:t>
      </w:r>
      <w:r>
        <w:t xml:space="preserve"> </w:t>
      </w:r>
      <w:r/>
      <w:r>
        <w:t xml:space="preserve">This opens the network channel. By default, containers are locked inside a secure virtual network bubble. This bridge opens a pathway out.</w:t>
      </w:r>
      <w:r/>
      <w:r/>
    </w:p>
    <w:p w14:paraId="37134662">
      <w:pPr>
        <w:pBdr/>
        <w:spacing/>
        <w:ind/>
        <w:rPr>
          <w14:ligatures w14:val="none"/>
        </w:rPr>
      </w:pPr>
      <w:r>
        <w:rPr>
          <w:b/>
          <w:bCs/>
        </w:rPr>
        <w:t xml:space="preserve">- "5432:5432":</w:t>
      </w:r>
      <w:r>
        <w:t xml:space="preserve"> </w:t>
      </w:r>
      <w:r/>
      <w:r>
        <w:t xml:space="preserve">This maps your local machine's network port to the container's network port. The number on the left (</w:t>
      </w:r>
      <w:r>
        <w:t xml:space="preserve">5432</w:t>
      </w:r>
      <w:r>
        <w:t xml:space="preserve">) is your computer; the number on the right (</w:t>
      </w:r>
      <w:r>
        <w:t xml:space="preserve">5432</w:t>
      </w:r>
      <w:r>
        <w:t xml:space="preserve">) is the database. This allows Next.js to talk directly to the database via </w:t>
      </w:r>
      <w:r>
        <w:t xml:space="preserve">localhost:5432</w:t>
      </w:r>
      <w:r>
        <w:t xml:space="preserve">.</w:t>
      </w:r>
      <w:r/>
      <w:r/>
    </w:p>
    <w:p w14:paraId="0F558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b/>
          <w:bCs/>
          <w:sz w:val="28"/>
          <w:szCs w:val="28"/>
          <w14:ligatures w14:val="none"/>
        </w:rPr>
      </w:pPr>
      <w:r>
        <w:rPr>
          <w:b/>
          <w:bCs/>
          <w:sz w:val="28"/>
          <w:szCs w:val="28"/>
        </w:rPr>
        <w:t xml:space="preserve">The Permanent Hard Drive Storage</w:t>
      </w:r>
      <w:r>
        <w:rPr>
          <w:b/>
          <w:bCs/>
          <w:sz w:val="28"/>
          <w:szCs w:val="28"/>
        </w:rPr>
      </w:r>
    </w:p>
    <w:p w14:paraId="78847B9D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volumes:</w:t>
      </w:r>
      <w:r>
        <w:rPr>
          <w:b/>
          <w:bCs/>
        </w:rPr>
        <w:t xml:space="preserve"> (Inside the service block)</w:t>
      </w:r>
      <w:r>
        <w:rPr>
          <w:b/>
          <w:bCs/>
        </w:rPr>
        <w:t xml:space="preserve">: </w:t>
      </w:r>
      <w:r>
        <w:rPr>
          <w:b/>
          <w:bCs/>
        </w:rPr>
      </w:r>
      <w:r>
        <w:t xml:space="preserve">This opens a path link between your computer's storage and the container's internal folder layout.</w:t>
      </w:r>
      <w:r/>
      <w:r>
        <w:rPr>
          <w:b/>
          <w:bCs/>
        </w:rPr>
      </w:r>
    </w:p>
    <w:p w14:paraId="4929D6E1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- postgres_data:/var/lib/postgresql/data: </w:t>
      </w:r>
      <w:r>
        <w:t xml:space="preserve">This maps a virtual drive partition named </w:t>
      </w:r>
      <w:r>
        <w:t xml:space="preserve">postgres_data</w:t>
      </w:r>
      <w:r>
        <w:t xml:space="preserve"> directly to the container's internal storage directory (</w:t>
      </w:r>
      <w:r>
        <w:t xml:space="preserve">/var/lib/postgresql/data</w:t>
      </w:r>
      <w:r>
        <w:t xml:space="preserve">). This guarantees that even if you shut down the container, your table data stays safe on your hard drive.</w:t>
      </w:r>
      <w:r/>
      <w:r>
        <w:rPr>
          <w:b/>
          <w:bCs/>
        </w:rPr>
      </w:r>
    </w:p>
    <w:p w14:paraId="2024BA8B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volumes:</w:t>
      </w:r>
      <w:r>
        <w:rPr>
          <w:b/>
          <w:bCs/>
        </w:rPr>
        <w:t xml:space="preserve"> (At the very bottom of the file)</w:t>
      </w:r>
      <w:r>
        <w:rPr>
          <w:b/>
          <w:bCs/>
        </w:rPr>
        <w:t xml:space="preserve">: </w:t>
      </w:r>
      <w:r>
        <w:rPr>
          <w:b/>
          <w:bCs/>
        </w:rPr>
      </w:r>
      <w:r>
        <w:t xml:space="preserve">This section acts like a declaration registry. It tells Docker: </w:t>
      </w:r>
      <w:r>
        <w:t xml:space="preserve">"Yes, create a permanent, named storage block called </w:t>
      </w:r>
      <w:r>
        <w:t xml:space="preserve">postgres_data</w:t>
      </w:r>
      <w:r>
        <w:t xml:space="preserve"> on this PC's drive."</w:t>
      </w:r>
      <w:r/>
      <w:r>
        <w:rPr>
          <w:b/>
          <w:bCs/>
        </w:rPr>
      </w:r>
    </w:p>
    <w:p w14:paraId="39764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</w:rPr>
        <w:t xml:space="preserve">The Performance Hacks (Overriding Defaults)</w:t>
      </w:r>
      <w:r>
        <w:rPr>
          <w:b/>
          <w:bCs/>
          <w:sz w:val="24"/>
          <w:szCs w:val="24"/>
        </w:rPr>
      </w:r>
    </w:p>
    <w:p w14:paraId="0028FC97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command: &gt;</w:t>
      </w:r>
      <w:r>
        <w:rPr>
          <w:b/>
          <w:bCs/>
        </w:rPr>
        <w:t xml:space="preserve">: </w:t>
      </w:r>
      <w:r>
        <w:rPr>
          <w:b/>
          <w:bCs/>
        </w:rPr>
      </w:r>
      <w:r>
        <w:t xml:space="preserve">This line overrides the default launch instructions of PostgreSQL. The </w:t>
      </w:r>
      <w:r>
        <w:t xml:space="preserve">&gt;</w:t>
      </w:r>
      <w:r>
        <w:t xml:space="preserve"> symbol tells Docker that a multi-line list of custom technical switches is coming up next.</w:t>
      </w:r>
      <w:r/>
      <w:r>
        <w:rPr>
          <w:b/>
          <w:bCs/>
        </w:rPr>
      </w:r>
    </w:p>
    <w:p w14:paraId="3DF2D95E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postgres: </w:t>
      </w:r>
      <w:r>
        <w:rPr>
          <w:b/>
          <w:bCs/>
        </w:rPr>
      </w:r>
      <w:r>
        <w:t xml:space="preserve">This tells the container to boot up the core PostgreSQL database engine.</w:t>
      </w:r>
      <w:r/>
      <w:r>
        <w:rPr>
          <w:b/>
          <w:bCs/>
        </w:rPr>
      </w:r>
    </w:p>
    <w:p w14:paraId="1705F5F6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-c synchronous_commit=off</w:t>
      </w:r>
      <w:r>
        <w:rPr>
          <w:b/>
          <w:bCs/>
        </w:rPr>
        <w:t xml:space="preserve">: </w:t>
      </w:r>
      <w:r>
        <w:rPr>
          <w:b/>
          <w:bCs/>
        </w:rPr>
      </w:r>
      <w:r>
        <w:t xml:space="preserve">The biggest speed booster:</w:t>
      </w:r>
      <w:r>
        <w:t xml:space="preserve"> By default, Postgres forces your application to pause until data is physically saved to the hard drive platter. Turning this </w:t>
      </w:r>
      <w:r>
        <w:t xml:space="preserve">off</w:t>
      </w:r>
      <w:r>
        <w:t xml:space="preserve"> tells Postgres to write the data straight to your fast system RAM instantly and reply "Success!", bypassing the slow mechanical hard drive.</w:t>
      </w:r>
      <w:r/>
      <w:r>
        <w:rPr>
          <w:b/>
          <w:bCs/>
        </w:rPr>
      </w:r>
    </w:p>
    <w:p w14:paraId="2C9EB334">
      <w:pPr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-c commit_delay=100000: </w:t>
      </w:r>
      <w:r>
        <w:t xml:space="preserve">This configures a microsecond delay timer (100,000 microseconds = 100 milliseconds). It forces Postgres to pause for a split-second and bundle multiple saving actions together into one single disk write, rather than hammering your slow HDD repeatedly</w:t>
      </w:r>
      <w:r>
        <w:t xml:space="preserve">.</w:t>
      </w:r>
      <w:r/>
      <w:r>
        <w:rPr>
          <w:b/>
          <w:bCs/>
        </w:rPr>
      </w:r>
    </w:p>
    <w:p w14:paraId="503F1F43">
      <w:pPr>
        <w:pBdr/>
        <w:spacing/>
        <w:ind/>
        <w:rPr>
          <w14:ligatures w14:val="none"/>
        </w:rPr>
      </w:pPr>
      <w:r>
        <w:rPr>
          <w:b/>
          <w:bCs/>
        </w:rPr>
        <w:t xml:space="preserve">-c commit_siblings=5: </w:t>
      </w:r>
      <w:r>
        <w:t xml:space="preserve">This states that the delay timer above should only activate if there are at least 5 concurrent database operations happening at the same time, optimizing performance under load.</w:t>
      </w:r>
      <w:r/>
      <w:r/>
    </w:p>
    <w:p w14:paraId="30D5669B">
      <w:pPr>
        <w:pBdr/>
        <w:spacing/>
        <w:ind/>
        <w:rPr>
          <w14:ligatures w14:val="none"/>
        </w:rPr>
      </w:pPr>
      <w:r>
        <w:rPr>
          <w:b/>
          <w:bCs/>
        </w:rPr>
        <w:t xml:space="preserve">-c shared_buffers=256MB</w:t>
      </w:r>
      <w:r>
        <w:rPr>
          <w:b/>
          <w:bCs/>
        </w:rPr>
        <w:t xml:space="preserve">:</w:t>
      </w:r>
      <w:r>
        <w:t xml:space="preserve"> </w:t>
      </w:r>
      <w:r>
        <w:t xml:space="preserve">This allocates a dedicated 256 Megabyte chunk of your system's 8 GB RAM directly to the Postgres engine. This gives the database a roomy pool of fast memory to manage active indexing operations smoothly.</w:t>
      </w:r>
      <w:r/>
      <w:r/>
    </w:p>
    <w:p w14:paraId="19AAAB9B">
      <w:pPr>
        <w:pBdr/>
        <w:spacing/>
        <w:ind/>
        <w:rPr/>
      </w:pPr>
      <w:r/>
      <w:r/>
    </w:p>
    <w:p w14:paraId="175EC45D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One Catch: The "Power Outage" Risk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AC31EFB">
      <w:pPr>
        <w:pBdr/>
        <w:spacing/>
        <w:ind/>
        <w:rPr/>
      </w:pPr>
      <w:r>
        <w:t xml:space="preserve">Bec</w:t>
      </w:r>
      <w:r>
        <w:t xml:space="preserve">ause the database is lying to your application and keeping data in RAM temporarily, there is a minor trade-off: If your laptop battery dies or Linux (Mint) crashes at the exact millisecond you are saving something, you might lose the last 1–2 seconds of da</w:t>
      </w:r>
      <w:r>
        <w:t xml:space="preserve">ta.</w:t>
      </w:r>
      <w:r/>
    </w:p>
    <w:p w14:paraId="57B9FB14">
      <w:pPr>
        <w:pBdr/>
        <w:spacing/>
        <w:ind/>
        <w:rPr/>
      </w:pPr>
      <w:r>
        <w:t xml:space="preserve">For local development on your blog, this risk is completely irrelevant. Losing a single test comment or having to re-login after a rare system crash is worth having a completely smooth, lag-free coding experience.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AC215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1CE23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0BF84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56B84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821CF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7C44E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9B437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972BF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92F4B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373D5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1937C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18F89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2DBF8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82F80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8021C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1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138C9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0A254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EB222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2506D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76C87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  <w:jc w:val="both"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2026-07-22T09:32:47Z</dcterms:modified>
</cp:coreProperties>
</file>