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00"/>
      </w:pPr>
      <w:r>
        <w:rPr>
          <w:rFonts w:ascii="Microsoft YaHei" w:hAnsi="Microsoft YaHei" w:eastAsia="Microsoft YaHei"/>
          <w:b/>
          <w:color w:val="C79A2B"/>
          <w:sz w:val="20"/>
        </w:rPr>
        <w:t>CUSTOMER TEST ENABLEMENT PACK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7365D"/>
          <w:sz w:val="56"/>
        </w:rPr>
        <w:t>宜运 CargoPlus API</w:t>
        <w:br/>
        <w:t>真实用例一周测试计划</w:t>
      </w:r>
    </w:p>
    <w:p>
      <w:pPr>
        <w:spacing w:after="520"/>
      </w:pPr>
      <w:r>
        <w:rPr>
          <w:rFonts w:ascii="Microsoft YaHei" w:hAnsi="Microsoft YaHei" w:eastAsia="Microsoft YaHei"/>
          <w:color w:val="666666"/>
          <w:sz w:val="26"/>
        </w:rPr>
        <w:t>从文件提交、任务查询到字段核对与问题闭环的客户执行手册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430"/>
        <w:gridCol w:w="1250"/>
        <w:gridCol w:w="343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安排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测试周期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2026-09-07 至 2026-09-11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样本规模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建议 30～50 例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测试方式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异步文件 API 为主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基线策略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先测基线，再定验收门槛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识别模式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standard + 复杂样本 A/B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协作方式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双方每日 15～30 分钟对齐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9C0006"/>
                <w:sz w:val="20"/>
              </w:rPr>
              <w:t>安全前提：</w:t>
            </w:r>
            <w:r>
              <w:rPr>
                <w:rFonts w:ascii="Microsoft YaHei" w:hAnsi="Microsoft YaHei" w:eastAsia="Microsoft YaHei"/>
                <w:color w:val="9C0006"/>
                <w:sz w:val="20"/>
              </w:rPr>
              <w:t>当前 HTTP 测试地址只能在双方确认的受控网络中使用。一旦请求经过不受控公共网络，应立即停止上传未脱敏文件并切换到 HTTPS。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配套材料：测试台账 Excel、单案例上传与轮询脚本、纠错反馈脚本、完整 57 字段金标模板。</w:t>
      </w:r>
    </w:p>
    <w:p>
      <w:r>
        <w:br w:type="page"/>
      </w:r>
    </w:p>
    <w:p>
      <w:pPr>
        <w:pStyle w:val="Heading1"/>
        <w:keepNext/>
      </w:pPr>
      <w:r>
        <w:t>1. 测试目标与执行原则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本轮是一周加速测试，重点不是立即给出正式验收结论，而是用真实业务案例建立当前版本的准确性、稳定性和处理时效基线。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验证文件上传、任务处理、结果查询、失败重试和纠错反馈全流程。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建立 57 字段总体准确率、关键字段表现、空结果率和处理耗时基线。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区分文件解析、视觉识别、模型提取、标准化规则、金标口径和接口系统问题。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比较 standard 与 high_accuracy 对复杂扫描件和版面文件的收益与额外耗时。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形成问题优先级、可优化项和下一轮双方书面确认的正式门槛。</w:t>
      </w:r>
    </w:p>
    <w:p>
      <w:pPr>
        <w:pStyle w:val="Heading2"/>
        <w:keepNext/>
      </w:pPr>
      <w:r>
        <w:t>1.1 基线冻结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测试开始前记录应用/镜像版本、实际生效提示词、主模型配置名称、Base URL、测试租户和开始时间。首轮基线完成前不修改生产规则，也不审核采纳可能改变模型行为的反馈。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版本变化处理：</w:t>
            </w:r>
            <w:r>
              <w:rPr>
                <w:rFonts w:ascii="Microsoft YaHei" w:hAnsi="Microsoft YaHei" w:eastAsia="Microsoft YaHei"/>
                <w:color w:val="7F6000"/>
                <w:sz w:val="20"/>
              </w:rPr>
              <w:t>如测试周内必须变更版本，应先结束当前批次并记录变更点。变更前后的结果分别统计，不直接混合计算。</w:t>
            </w:r>
          </w:p>
        </w:tc>
      </w:tr>
    </w:tbl>
    <w:p>
      <w:pPr>
        <w:pStyle w:val="Heading2"/>
        <w:keepNext/>
      </w:pPr>
      <w:r>
        <w:t>1.2 问题等级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100"/>
        <w:gridCol w:w="33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P0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数据安全、越权、数据串租户或服务整体不可用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立即停止测试并升级处理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P1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大量空结果、关键字段严重错误或明显幻觉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阻塞正式验收，优先定位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P2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非关键字段、单位或格式问题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记录并继续其他案例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P3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页面显示、文档说明或一般操作体验问题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纳入后续体验优化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测试前准备</w:t>
      </w:r>
    </w:p>
    <w:p>
      <w:pPr>
        <w:pStyle w:val="Heading2"/>
        <w:keepNext/>
      </w:pPr>
      <w:r>
        <w:t>2.1 安全与账号检查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由双方确认访问链路属于认可的受控环境；如无法确认，只能使用脱敏样本。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API Key 仅放在测试电脑环境变量中，不写入 Excel、脚本、邮件、聊天或截图。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Webhook Secret 仅在回调验签时使用，不能作为 API Key。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确认租户已启用、账户余额充足、并发额度正常；日志不得记录完整凭据。</w:t>
      </w:r>
    </w:p>
    <w:p>
      <w:pPr>
        <w:pStyle w:val="Heading2"/>
        <w:keepNext/>
      </w:pPr>
      <w:r>
        <w:t>2.2 案例整理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登记项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案例编号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 YY-001、YY-002 等唯一编号，全程不变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原始文件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保留原件，不覆盖；记录文件名和文件组合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文件与业务类型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PDF、Word、Excel、图片、EML；订舱、托书、提单资料等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文件特征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文本型、扫描件、复杂表格、Word 内嵌截图、多附件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人工标准答案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填写完整 57 字段 JSON，并由宜运业务人员确认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责任信息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登记业务审核人、API 对接人和敏感信息状态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一个任务只对应一个业务案例。同一封邮件及其业务附件可以一起提交，但多个无关业务单据不得混入同一任务。</w:t>
      </w:r>
    </w:p>
    <w:p>
      <w:pPr>
        <w:pStyle w:val="Heading2"/>
        <w:keepNext/>
      </w:pPr>
      <w:r>
        <w:t>2.3 文件边界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单次最多 10 个文件；普通单文件最大 50MB；旧版 .doc 最大 20MB；单次合计最大 100MB。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高精度 PDF 最多 20 页。超过限制的文件先登记，不擅自拆分，待确认业务边界后处理。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无法打开、加密或内容不完整的文件先排除，不进入模型准确率统计。</w:t>
      </w:r>
    </w:p>
    <w:p>
      <w:r>
        <w:br w:type="page"/>
      </w:r>
    </w:p>
    <w:p>
      <w:pPr>
        <w:pStyle w:val="Heading1"/>
        <w:keepNext/>
      </w:pPr>
      <w:r>
        <w:t>3. 单案例具体操作</w:t>
      </w:r>
    </w:p>
    <w:p>
      <w:pPr>
        <w:pStyle w:val="Heading2"/>
        <w:keepNext/>
      </w:pPr>
      <w:r>
        <w:t>3.1 安全设置 API Key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在测试包目录打开 PowerShell，输入以下命令。输入内容不会显示，关闭窗口后环境变量失效。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$secureKey = Read-Host "API Key" -AsSecureString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$env:CARGOPLUS_API_KEY = [System.Net.NetworkCredential]::new("", $secureKey).Password</w:t>
      </w:r>
    </w:p>
    <w:p>
      <w:pPr>
        <w:pStyle w:val="Heading2"/>
        <w:keepNext/>
      </w:pPr>
      <w:r>
        <w:t>3.2 上传并自动轮询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.\Invoke-CargoPlusFileTest.ps1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-BaseUrl "http://115.29.213.72:30010"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-CaseId "YY-001"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-FilePath "C:\CargoPlusTest\YY-001.pdf"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-RecognitionMode standard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脚本调用 POST /api/v1/extract/async/upload，保存 task_id，并每 3 秒调用 GET /api/v1/tasks/{task_id}，最长等待 10 分钟。SUCCESS 保存 result_json；FAILED 保存 error_message。</w:t>
      </w:r>
    </w:p>
    <w:p>
      <w:pPr>
        <w:pStyle w:val="Heading2"/>
        <w:keepNext/>
      </w:pPr>
      <w:r>
        <w:t>3.3 幂等与重试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默认幂等键为 &lt;案例编号&gt;-&lt;模式&gt;-r&lt;次数&gt;，例如 YY-001-standard-r0。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网络中断且不确定是否创建成功时，原命令重跑，复用原幂等键。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已经取得 task_id 后只查询原任务，不重新上传。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确认需要重新调用模型时使用 -Attempt 1；同一案例最多主动复测一次。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standard 和 high_accuracy 必须使用不同幂等键。</w:t>
      </w:r>
    </w:p>
    <w:p>
      <w:pPr>
        <w:pStyle w:val="Heading2"/>
        <w:keepNext/>
      </w:pPr>
      <w:r>
        <w:t>3.4 输出文件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request-metadata.json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请求元数据，不包含 API Key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submit-response.json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任务提交响应和 task_id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task-result.json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最终状态、耗时、视觉页数、扣费和错误信息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extracted-result.json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SUCCESS 时的 57 字段结果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识别模式与 A/B 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46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输入情况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默认选择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可复制文字 PDF、Excel、EML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standard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先建立标准模式基线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扫描 PDF、图片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high_accuracy 候选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同时运行 standard 做配对比较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Word 内嵌截图或复杂版面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high_accuracy 候选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检查视觉处理页数和额外耗时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高精度 PDF 超过 20 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暂不提交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登记后由双方确认是否按业务边界拆分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从复杂案例中预先选择 8～12 例做配对 A/B。相同原始文件分别以 standard 和 high_accuracy 提交，并比较适用字段正确数、业务准确率、总耗时和视觉耗时。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选择原则：</w:t>
            </w:r>
            <w:r>
              <w:rPr>
                <w:rFonts w:ascii="Microsoft YaHei" w:hAnsi="Microsoft YaHei" w:eastAsia="Microsoft YaHei"/>
                <w:color w:val="17365D"/>
                <w:sz w:val="20"/>
              </w:rPr>
              <w:t>高精度不是所有文件的默认开关。只有扫描、图片或版面关系确实影响字段提取时，才判断其准确率提升是否值得额外耗时。</w:t>
            </w:r>
          </w:p>
        </w:tc>
      </w:tr>
    </w:tbl>
    <w:p>
      <w:pPr>
        <w:pStyle w:val="Heading1"/>
        <w:keepNext/>
      </w:pPr>
      <w:r>
        <w:t>5. 结果核对与纠错</w:t>
      </w:r>
    </w:p>
    <w:p>
      <w:pPr>
        <w:pStyle w:val="Heading2"/>
        <w:keepNext/>
      </w:pPr>
      <w:r>
        <w:t>5.1 两层核对</w:t>
      </w:r>
    </w:p>
    <w:p>
      <w:pPr>
        <w:numPr>
          <w:ilvl w:val="0"/>
          <w:numId w:val="10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程序精确对比：比较字段值、数组内容、大小写、换行、单位和格式。</w:t>
      </w:r>
    </w:p>
    <w:p>
      <w:pPr>
        <w:numPr>
          <w:ilvl w:val="0"/>
          <w:numId w:val="10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业务人工判断：由宜运判断标点、大小写或换行差异是否影响真实业务含义。</w:t>
      </w:r>
    </w:p>
    <w:p>
      <w:pPr>
        <w:pStyle w:val="Heading2"/>
        <w:keepNext/>
      </w:pPr>
      <w:r>
        <w:t>5.2 差异归因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判断依据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PARSER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文件文字、段落顺序或表格标签值关系解析错误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VISION_OCR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扫描件、图片、表格版面或印章视觉识别错误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PROMPT_LLM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字段遗漏、错位、无依据填充或业务理解错误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RULE_CLEAN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单位换算、代码映射或输出格式标准化错误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GOLD_ERROR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人工标准答案遗漏、错误或与原文不一致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BUSINESS_UNCLEAR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业务规则尚未获得客户确认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API_SYSTEM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鉴权、队列、超时、回调或服务异常</w:t>
            </w:r>
          </w:p>
        </w:tc>
      </w:tr>
    </w:tbl>
    <w:p>
      <w:pPr>
        <w:pStyle w:val="Heading1"/>
        <w:keepNext/>
      </w:pPr>
      <w:r>
        <w:t>6. 一周执行排期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300"/>
        <w:gridCol w:w="1450"/>
        <w:gridCol w:w="3700"/>
        <w:gridCol w:w="1760"/>
      </w:tblGrid>
      <w:tr>
        <w:trPr>
          <w:tblHeader w:val="true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具体操作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当日输出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9月4日前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准备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确认安全环境、账号、余额、人员、案例、金标和冻结版本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案例清单、环境表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9月7日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冒烟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API对接人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5个代表案例；单并发开始，稳定后升至2并发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冒烟记录、阻塞问题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9月8日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第一批基线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API对接人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运行约一半案例；每批5个；并发不超过3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第一批结果和差异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9月9日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第二批基线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完成剩余案例；确认关键字段、业务口径和争议金标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完整基线、口径表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9月10日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专项复测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失败与空结果最多复测一次；完成8～12例双模式对比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复测记录、问题归因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9月11日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冻结回归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固定版本回归；汇总准确率、稳定性、耗时和优化建议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最终报告、下一轮门槛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每天安排 15～30 分钟对齐：宜运确认业务正确答案和优先级；我方说明技术归因和可优化范围。无法当日确认的字段标记为 BUSINESS_UNCLEAR，不强行判错。</w:t>
      </w:r>
    </w:p>
    <w:p>
      <w:pPr>
        <w:pStyle w:val="Heading1"/>
        <w:keepNext/>
      </w:pPr>
      <w:r>
        <w:t>7. 指标与验收口径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技术指标：有效请求完成率、首次成功率、重试率、空结果率和失败原因分布。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准确性指标：57 字段精确准确率、人工确认后的业务准确率、漏提率和幻觉字段数。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关键字段：BookingNo、港口地点、ETD/ETA、船名航次、箱型箱量、件重体、品名、HSCode、运费条款和放单类型作为候选，9 月 9 日由双方确认最终范围。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时效指标：standard 与 high_accuracy 分别统计平均、P50 和 P95 耗时，并计算高精度的准确率提升与额外耗时。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本轮结论边界：</w:t>
            </w:r>
            <w:r>
              <w:rPr>
                <w:rFonts w:ascii="Microsoft YaHei" w:hAnsi="Microsoft YaHei" w:eastAsia="Microsoft YaHei"/>
                <w:color w:val="7F6000"/>
                <w:sz w:val="20"/>
              </w:rPr>
              <w:t>9 月 11 日输出当前真实基线和建议门槛，不直接宣称正式验收通过。正式指标由双方后续书面确认。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异常处理规则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状态/场景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401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停止测试，核对 API Key，不原样反复重试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402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停止提交，联系管理员检查账户余额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403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检查租户是否已审核并启用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429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遵循 Retry-After，降低提交频率，不持续快速重试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5xx 或网络中断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首次使用原幂等键重试；仍失败则登记 API_SYSTEM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仅默认 GoodsType=S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按“模型返回空提取结果”记录，不计正常成功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任务超过10分钟未结束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 task_id 并继续排查，不直接创建新任务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金标有争议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暂停该案例评分，等待宜运业务人员确认</w:t>
            </w:r>
          </w:p>
        </w:tc>
      </w:tr>
    </w:tbl>
    <w:p>
      <w:pPr>
        <w:pStyle w:val="Heading1"/>
        <w:keepNext/>
      </w:pPr>
      <w:r>
        <w:t>9. 纠错反馈流程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先在测试台账记录差异、原文证据、错误归因和问题等级。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由宜运业务人员确认标准答案；未确认的差异不得提交为最终纠错。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基线结束后，使用 Submit-CargoPlusFeedback.ps1 提交确认需要修改的字段和说明。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反馈进入待审核状态；采纳、规则修改和版本发布不在脚本中自动执行。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.\Submit-CargoPlusFeedback.ps1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-BaseUrl "http://115.29.213.72:30010"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-TaskId "&lt;task_id&gt;"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-CorrectedJsonPath ".\YY-001-corrected.json"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-Notes "YY-001: evidence and expected rule"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-BusinessConfirmed</w:t>
      </w:r>
    </w:p>
    <w:p>
      <w:r>
        <w:br w:type="page"/>
      </w:r>
    </w:p>
    <w:p>
      <w:pPr>
        <w:pStyle w:val="Heading1"/>
        <w:keepNext/>
      </w:pPr>
      <w:r>
        <w:t>10. 双方职责与最终交付</w:t>
      </w:r>
    </w:p>
    <w:p>
      <w:pPr>
        <w:pStyle w:val="Heading2"/>
        <w:keepNext/>
      </w:pPr>
      <w:r>
        <w:t>10.1 宜运侧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提供真实案例及合法使用授权，并确认测试链路和敏感信息处理要求。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提供完整人工标准答案，指定至少一名业务审核人和一名 API 对接人。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确认业务口径、关键字段和错误严重程度。</w:t>
      </w:r>
    </w:p>
    <w:p>
      <w:pPr>
        <w:pStyle w:val="Heading2"/>
        <w:keepNext/>
      </w:pPr>
      <w:r>
        <w:t>10.2 我方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保障测试服务和接口可用，协助排查解析、视觉、模型、规则和系统问题。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每日维护问题清单，输出基线分析、优化建议和下一轮验收方案。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未经确认不改变生产提示词、业务规则或测试版本。</w:t>
      </w:r>
    </w:p>
    <w:p>
      <w:pPr>
        <w:pStyle w:val="Heading2"/>
        <w:keepNext/>
      </w:pPr>
      <w:r>
        <w:t>10.3 最终交付物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案例台账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原始案例、模式、task_id、状态、耗时、结果路径和审核状态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字段差异表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精确差异、业务判断、证据、归因和严重程度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高精度 A/B 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准确率提升、额外耗时和适用文件建议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问题闭环清单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问题等级、负责人、复测任务和结论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基线报告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准确性、稳定性、时效和失败原因分布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后续计划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待确认业务规则、优化优先级和正式验收门槛</w:t>
            </w:r>
          </w:p>
        </w:tc>
      </w:tr>
    </w:tbl>
    <w:p>
      <w:pPr>
        <w:pStyle w:val="Heading2"/>
        <w:keepNext/>
      </w:pPr>
      <w:r>
        <w:t>10.4 完成检查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所有有效案例均有明确终态，不把失败任务按空 JSON 评分。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所有 P0/P1 问题均有负责人和下一步处理结论。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所有业务争议均已确认或明确列入待确认清单。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测试报告中不包含完整 API Key、Webhook Secret 或未授权敏感原文。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下一轮关键字段和验收门槛已形成双方可确认的书面建议。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66666"/>
        <w:sz w:val="18"/>
      </w:rPr>
      <w:t>CargoPlus 客户真实用例测试包  |  宜运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宜运 CargoPlus API 真实用例一周测试计划</dc:title>
  <dc:subject>客户 API 真实用例测试执行计划</dc:subject>
  <dc:creator>CargoPlus 项目组</dc:creator>
  <cp:keywords>CargoPlus, API, 真实用例, 测试计划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