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27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Batch: CSE-S-63-B</w:t>
      </w:r>
    </w:p>
    <w:tbl>
      <w:tblPr>
        <w:tblStyle w:val="Table1"/>
        <w:bidiVisual w:val="0"/>
        <w:tblW w:w="13860.0" w:type="dxa"/>
        <w:jc w:val="left"/>
        <w:tblInd w:w="3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0"/>
        <w:gridCol w:w="1530"/>
        <w:gridCol w:w="1440"/>
        <w:gridCol w:w="1080"/>
        <w:gridCol w:w="1440"/>
        <w:gridCol w:w="1440"/>
        <w:gridCol w:w="1440"/>
        <w:gridCol w:w="1440"/>
        <w:gridCol w:w="1440"/>
        <w:gridCol w:w="1350"/>
        <w:tblGridChange w:id="0">
          <w:tblGrid>
            <w:gridCol w:w="1260"/>
            <w:gridCol w:w="1530"/>
            <w:gridCol w:w="1440"/>
            <w:gridCol w:w="1080"/>
            <w:gridCol w:w="1440"/>
            <w:gridCol w:w="1440"/>
            <w:gridCol w:w="1440"/>
            <w:gridCol w:w="1440"/>
            <w:gridCol w:w="1440"/>
            <w:gridCol w:w="1350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Time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08:00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09:15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09:15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10:30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10:30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11:45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11:45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01:00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01:00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02:15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02:15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03:30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03:30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04:45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04:45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06:00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06:00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09:00pm</w:t>
            </w:r>
          </w:p>
        </w:tc>
      </w:tr>
      <w:tr>
        <w:trPr>
          <w:trHeight w:val="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Saturday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EEE 193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ECD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MATH 113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DIC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501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Sunday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115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CPC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NH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MATH 113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DIC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PHY 217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PHY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501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Monday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115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CPC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NH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EEE 193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ECD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PHY 217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PHY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Tuesday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116, CPC Sess.,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NH, MCL-B (B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Wednesday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Thursday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116, CPC Sess.,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TK, MCL-A (B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ENGL 100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B/505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ENGL 100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B/505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Friday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09.00AM-12.00PM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9705"/>
        </w:tabs>
        <w:contextualSpacing w:val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27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2240" w:w="15840"/>
      <w:pgMar w:bottom="432" w:top="432" w:left="720" w:right="720" w:header="0"/>
      <w:pgNumType w:start="2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left" w:pos="8160"/>
        <w:tab w:val="right" w:pos="8640"/>
        <w:tab w:val="right" w:pos="14400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left" w:pos="8160"/>
        <w:tab w:val="right" w:pos="8640"/>
        <w:tab w:val="right" w:pos="1440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ab/>
      <w:tab/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320"/>
        <w:tab w:val="left" w:pos="8160"/>
        <w:tab w:val="right" w:pos="8640"/>
        <w:tab w:val="right" w:pos="14400"/>
      </w:tabs>
      <w:contextualSpacing w:val="0"/>
      <w:rPr/>
    </w:pPr>
    <w:r w:rsidDel="00000000" w:rsidR="00000000" w:rsidRPr="00000000">
      <w:rPr>
        <w:rtl w:val="0"/>
      </w:rPr>
    </w:r>
  </w:p>
  <w:tbl>
    <w:tblPr>
      <w:tblStyle w:val="Table2"/>
      <w:bidiVisual w:val="0"/>
      <w:tblW w:w="7185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85"/>
      <w:gridCol w:w="6600"/>
      <w:tblGridChange w:id="0">
        <w:tblGrid>
          <w:gridCol w:w="585"/>
          <w:gridCol w:w="6600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left" w:pos="9705"/>
            </w:tabs>
            <w:contextualSpacing w:val="0"/>
            <w:rPr/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NH`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left" w:pos="9705"/>
            </w:tabs>
            <w:contextualSpacing w:val="0"/>
            <w:rPr/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Nazia Hossain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/>
      <w:tabs>
        <w:tab w:val="center" w:pos="4320"/>
        <w:tab w:val="left" w:pos="8160"/>
        <w:tab w:val="right" w:pos="8640"/>
        <w:tab w:val="right" w:pos="14400"/>
      </w:tabs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144" w:line="276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6"/>
        <w:szCs w:val="36"/>
        <w:u w:val="none"/>
        <w:vertAlign w:val="baseline"/>
        <w:rtl w:val="0"/>
      </w:rPr>
      <w:t xml:space="preserve">Stamford University Bangladesh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-34289</wp:posOffset>
          </wp:positionH>
          <wp:positionV relativeFrom="paragraph">
            <wp:posOffset>-223519</wp:posOffset>
          </wp:positionV>
          <wp:extent cx="682625" cy="791845"/>
          <wp:effectExtent b="0" l="0" r="0" t="0"/>
          <wp:wrapSquare wrapText="bothSides" distB="0" distT="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2625" cy="7918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36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  <w:rtl w:val="0"/>
      </w:rPr>
      <w:t xml:space="preserve">Department of Computer Science and Engineering</w:t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36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  <w:rtl w:val="0"/>
      </w:rPr>
      <w:t xml:space="preserve">Spring- 2017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left" w:pos="8422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