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Rochester Institute of Technology</w:t>
      </w:r>
    </w:p>
    <w:p>
      <w:r>
        <w:t xml:space="preserve">B. Thomas Golisano College of Computing and Information Sciences</w:t>
      </w:r>
    </w:p>
    <w:p>
      <w:r>
        <w:t xml:space="preserve">Master of Science in Human–Computer Interaction</w:t>
      </w:r>
    </w:p>
    <w:p>
      <w:r>
        <w:t xml:space="preserve">Designing and Evaluating Usability of AI-Enhanced</w:t>
      </w:r>
    </w:p>
    <w:p>
      <w:r>
        <w:t xml:space="preserve">Context-Aware Adaptive User Interfaces for</w:t>
      </w:r>
    </w:p>
    <w:p>
      <w:r>
        <w:t xml:space="preserve">Mobile App Library/Drawer</w:t>
      </w:r>
    </w:p>
    <w:p>
      <w:r>
        <w:t xml:space="preserve">Haet Ranpariya</w:t>
      </w:r>
    </w:p>
    <w:p>
      <w:r>
        <w:t xml:space="preserve">hr3924@rit.edu</w:t>
      </w:r>
    </w:p>
    <w:p>
      <w:r>
        <w:t xml:space="preserve">Supervised by:</w:t>
      </w:r>
    </w:p>
    <w:p>
      <w:r>
        <w:t xml:space="preserve">Prof. Catherine Beaton (Chair) | Prof. Garreth Tigwell (Committee Member)</w:t>
      </w:r>
    </w:p>
    <w:p>
      <w:r>
        <w:t xml:space="preserve">Capstone Project | April 2026</w:t>
      </w:r>
    </w:p>
    <w:p>
      <w:r>
        <w:t xml:space="preserve">Prototype URL: capstone-app-u2wh.onrender.com</w:t>
      </w:r>
    </w:p>
    <w:p>
      <w:r>
        <w:br/>
        <w:t xml:space="preserve"/>
      </w:r>
    </w:p>
    <w:p>
      <w:r>
        <w:t xml:space="preserve">This Capstone Project has been reviewed and approved by the undersigned members of the</w:t>
      </w:r>
    </w:p>
    <w:p>
      <w:r>
        <w:t xml:space="preserve">supervisory committee. The signatures below certify that the project meets the</w:t>
      </w:r>
    </w:p>
    <w:p>
      <w:r>
        <w:t xml:space="preserve">requirements of the Master of Science in Human–Computer Interaction programme at the</w:t>
      </w:r>
    </w:p>
    <w:p>
      <w:r>
        <w:t xml:space="preserve">Rochester Institute of Technology.</w:t>
      </w:r>
    </w:p>
    <w:p>
      <w:r>
        <w:t xml:space="preserve">Supervisory Committee</w:t>
      </w:r>
    </w:p>
    <w:p>
      <w:r>
        <w:t xml:space="preserve">Prof. Catherine Beaton</w:t>
      </w:r>
    </w:p>
    <w:p>
      <w:r>
        <w:t xml:space="preserve">Committee Chair | Rochester Institute of Technology</w:t>
      </w:r>
    </w:p>
    <w:p>
      <w:r>
        <w:t xml:space="preserve">April 28/2026</w:t>
      </w:r>
    </w:p>
    <w:p>
      <w:r>
        <w:t xml:space="preserve">Signature Date</w:t>
      </w:r>
    </w:p>
    <w:p>
      <w:r>
        <w:t xml:space="preserve">Prof. Garreth Tigwell</w:t>
      </w:r>
    </w:p>
    <w:p>
      <w:r>
        <w:t xml:space="preserve">Committee Member | Rochester Institute of Technology</w:t>
      </w:r>
    </w:p>
    <w:p>
      <w:r>
        <w:t xml:space="preserve">28th April 2026</w:t>
      </w:r>
    </w:p>
    <w:p>
      <w:r>
        <w:t xml:space="preserve">Signature Date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Abstract</w:t>
      </w:r>
    </w:p>
    <w:p>
      <w:r>
        <w:t xml:space="preserve">Mobile operating systems currently rely on static, grid-based app galleries that force users to</w:t>
      </w:r>
    </w:p>
    <w:p>
      <w:r>
        <w:t xml:space="preserve">manually organize, search, and retrieve applications. As the number of installed applications</w:t>
      </w:r>
    </w:p>
    <w:p>
      <w:r>
        <w:t xml:space="preserve">grows, this static approach increases cognitive load and friction, particularly because user needs</w:t>
      </w:r>
    </w:p>
    <w:p>
      <w:r>
        <w:t xml:space="preserve">and contexts shift dramatically throughout the day. In this study, I investigate the usability of</w:t>
      </w:r>
    </w:p>
    <w:p>
      <w:r>
        <w:t xml:space="preserve">AI-driven adaptive user interfaces (AUIs) for mobile app galleries, focusing on addressing the</w:t>
      </w:r>
    </w:p>
    <w:p>
      <w:r>
        <w:t xml:space="preserve">limitations of static library/gallery interfaces through personalized, context-aware design. Through</w:t>
      </w:r>
    </w:p>
    <w:p>
      <w:r>
        <w:t xml:space="preserve">a mixed-methods approach — a participatory design workshop phase followed by high-fidelity</w:t>
      </w:r>
    </w:p>
    <w:p>
      <w:r>
        <w:t xml:space="preserve">usability testing of a functional web prototype ( N = 12 ) — I evaluated a dynamic interface that</w:t>
      </w:r>
    </w:p>
    <w:p>
      <w:r>
        <w:t xml:space="preserve">shifts between distinct contextual states: Neutral/Default, Morning Routine, Work/Focus Mode, and</w:t>
      </w:r>
    </w:p>
    <w:p>
      <w:r>
        <w:t xml:space="preserve">Evening/Relax Mode.</w:t>
      </w:r>
    </w:p>
    <w:p>
      <w:r>
        <w:t xml:space="preserve">I measured task completion times, error rates, and qualitative perceptions of agency, privacy, and</w:t>
      </w:r>
    </w:p>
    <w:p>
      <w:r>
        <w:t xml:space="preserve">system transparency. Key findings indicate a significant learning effect, with task completion times</w:t>
      </w:r>
    </w:p>
    <w:p>
      <w:r>
        <w:t xml:space="preserve">decreasing by an average of 42% across repeated accesses within the same contextual state. While</w:t>
      </w:r>
    </w:p>
    <w:p>
      <w:r>
        <w:t xml:space="preserve">users expressed high satisfaction with the visual design and the contextual page model (mean SUS:</w:t>
      </w:r>
    </w:p>
    <w:p>
      <w:r>
        <w:t xml:space="preserve">74.5), the study also highlights critical usability gaps: the necessity for explicit AI transparency</w:t>
      </w:r>
    </w:p>
    <w:p>
      <w:r>
        <w:t xml:space="preserve">indicators, the demand for robust manual override and error-recovery mechanisms (e.g., folder</w:t>
      </w:r>
    </w:p>
    <w:p>
      <w:r>
        <w:t xml:space="preserve">creation), and essential accessibility considerations for colour-vision deficiencies. My findings</w:t>
      </w:r>
    </w:p>
    <w:p>
      <w:r>
        <w:t xml:space="preserve">provide actionable design guidelines for integrating probabilistic AI behaviours into deterministic</w:t>
      </w:r>
    </w:p>
    <w:p>
      <w:r>
        <w:t xml:space="preserve">mobile operating systems without sacrificing user agency.</w:t>
      </w:r>
    </w:p>
    <w:p>
      <w:r>
        <w:t xml:space="preserve">Keywords: Adaptive User Interfaces, Context-Aware Computing, Mobile App Gallery, Artificial</w:t>
      </w:r>
    </w:p>
    <w:p>
      <w:r>
        <w:t xml:space="preserve">Intelligence, Usability Testing, Human-Computer Interaction, Digital Wellbeing.</w:t>
      </w:r>
    </w:p>
    <w:p>
      <w:r>
        <w:t xml:space="preserve">— 1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Contents</w:t>
      </w:r>
    </w:p>
    <w:p>
      <w:r>
        <w:t xml:space="preserve">Abstract 1</w:t>
      </w:r>
    </w:p>
    <w:p>
      <w:r>
        <w:t xml:space="preserve">1 Introduction 4</w:t>
      </w:r>
    </w:p>
    <w:p>
      <w:r>
        <w:t xml:space="preserve">1.1 Research Questions . . . . . . . . . . . . . . . . . . . . . . . . . . . . . . . . . . 5</w:t>
      </w:r>
    </w:p>
    <w:p>
      <w:r>
        <w:t xml:space="preserve">2 Related Work 6</w:t>
      </w:r>
    </w:p>
    <w:p>
      <w:r>
        <w:t xml:space="preserve">2.1 Mobile Application Usage and Organisation Strategies . . . . . . . . . . . . . . . 6</w:t>
      </w:r>
    </w:p>
    <w:p>
      <w:r>
        <w:t xml:space="preserve">2.2 Context-Aware Computing and Predictive Interfaces . . . . . . . . . . . . . . . . . 6</w:t>
      </w:r>
    </w:p>
    <w:p>
      <w:r>
        <w:t xml:space="preserve">2.3 Balancing Predictability and Adaptability . . . . . . . . . . . . . . . . . . . . . . 6</w:t>
      </w:r>
    </w:p>
    <w:p>
      <w:r>
        <w:t xml:space="preserve">2.4 Explainable AI in Consumer Interfaces . . . . . . . . . . . . . . . . . . . . . . . . 7</w:t>
      </w:r>
    </w:p>
    <w:p>
      <w:r>
        <w:t xml:space="preserve">2.5 Digital Wellbeing and Attention Management . . . . . . . . . . . . . . . . . . . . 7</w:t>
      </w:r>
    </w:p>
    <w:p>
      <w:r>
        <w:t xml:space="preserve">2.6 Accessibility in Adaptive UI Design . . . . . . . . . . . . . . . . . . . . . . . . . 7</w:t>
      </w:r>
    </w:p>
    <w:p>
      <w:r>
        <w:t xml:space="preserve">2.7 Commercial Context-Aware OS Features and Their Limitations . . . . . . . . . . . 8</w:t>
      </w:r>
    </w:p>
    <w:p>
      <w:r>
        <w:t xml:space="preserve">3 System Design: The Contextual Page Model (CPM) 9</w:t>
      </w:r>
    </w:p>
    <w:p>
      <w:r>
        <w:t xml:space="preserve">4 Methodology 15</w:t>
      </w:r>
    </w:p>
    <w:p>
      <w:r>
        <w:t xml:space="preserve">4.1 Phase 1: Participatory Design Session . . . . . . . . . . . . . . . . . . . . . . . . 16</w:t>
      </w:r>
    </w:p>
    <w:p>
      <w:r>
        <w:t xml:space="preserve">4.2 Phase 2: Usability Testing . . . . . . . . . . . . . . . . . . . . . . . . . . . . . . 17</w:t>
      </w:r>
    </w:p>
    <w:p>
      <w:r>
        <w:t xml:space="preserve">4.3 Participant Demographics . . . . . . . . . . . . . . . . . . . . . . . . . . . . . . . 18</w:t>
      </w:r>
    </w:p>
    <w:p>
      <w:r>
        <w:t xml:space="preserve">4.4 Scenario-Based Tasks . . . . . . . . . . . . . . . . . . . . . . . . . . . . . . . . . 18</w:t>
      </w:r>
    </w:p>
    <w:p>
      <w:r>
        <w:t xml:space="preserve">4.5 Data Collection and Analysis . . . . . . . . . . . . . . . . . . . . . . . . . . . . . 19</w:t>
      </w:r>
    </w:p>
    <w:p>
      <w:r>
        <w:t xml:space="preserve">5 Results 19</w:t>
      </w:r>
    </w:p>
    <w:p>
      <w:r>
        <w:t xml:space="preserve">5.1 Quantitative Overview: Success Rates and Errors . . . . . . . . . . . . . . . . . . 20</w:t>
      </w:r>
    </w:p>
    <w:p>
      <w:r>
        <w:t xml:space="preserve">5.2 Efficiency and the Learning Effect (RQ1) . . . . . . . . . . . . . . . . . . . . . . 20</w:t>
      </w:r>
    </w:p>
    <w:p>
      <w:r>
        <w:t xml:space="preserve">5.3 Discoverability and the Search Bar Fallback . . . . . . . . . . . . . . . . . . . . . 21</w:t>
      </w:r>
    </w:p>
    <w:p>
      <w:r>
        <w:t xml:space="preserve">5.4 Transparency, Predictability, and Interface Ownership (RQ2) . . . . . . . . . . . . 22</w:t>
      </w:r>
    </w:p>
    <w:p>
      <w:r>
        <w:t xml:space="preserve">5.5 Agency, Control, and Error Recovery (RQ3) . . . . . . . . . . . . . . . . . . . . . 22</w:t>
      </w:r>
    </w:p>
    <w:p>
      <w:r>
        <w:t xml:space="preserve">5.6 Accessibility Constraints: Unexpected Finding . . . . . . . . . . . . . . . . . . . 22</w:t>
      </w:r>
    </w:p>
    <w:p>
      <w:r>
        <w:t xml:space="preserve">5.7 Digital Wellbeing: Context Lock and Visual Muting . . . . . . . . . . . . . . . . . 23</w:t>
      </w:r>
    </w:p>
    <w:p>
      <w:r>
        <w:t xml:space="preserve">5.8 System Usability Scale and Overall Satisfaction . . . . . . . . . . . . . . . . . . . 23</w:t>
      </w:r>
    </w:p>
    <w:p>
      <w:r>
        <w:t xml:space="preserve">6 Discussion 23</w:t>
      </w:r>
    </w:p>
    <w:p>
      <w:r>
        <w:t xml:space="preserve">6.1 Resolving the Predictability–Adaptability Tension . . . . . . . . . . . . . . . . . . 24</w:t>
      </w:r>
    </w:p>
    <w:p>
      <w:r>
        <w:t xml:space="preserve">6.2 Interface Ownership and Agency . . . . . . . . . . . . . . . . . . . . . . . . . . . 24</w:t>
      </w:r>
    </w:p>
    <w:p>
      <w:r>
        <w:t xml:space="preserve">6.3 The Fallback Imperative: Search as Safety Net . . . . . . . . . . . . . . . . . . . . 25</w:t>
      </w:r>
    </w:p>
    <w:p>
      <w:r>
        <w:t xml:space="preserve">6.4 Explainable AI (XAI) in Consumer Interfaces . . . . . . . . . . . . . . . . . . . . 25</w:t>
      </w:r>
    </w:p>
    <w:p>
      <w:r>
        <w:t xml:space="preserve">6.5 Accessibility in Adaptive Design: Beyond Colour Cues . . . . . . . . . . . . . . . 25</w:t>
      </w:r>
    </w:p>
    <w:p>
      <w:r>
        <w:t xml:space="preserve">— 2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7 Design Recommendations for Adaptive Mobile Interfaces 26</w:t>
      </w:r>
    </w:p>
    <w:p>
      <w:r>
        <w:t xml:space="preserve">7.1 Enforce Hybrid Initiative — The Override Principle . . . . . . . . . . . . . . . . . 26</w:t>
      </w:r>
    </w:p>
    <w:p>
      <w:r>
        <w:t xml:space="preserve">7.2 Implement Macro-State Transitions Over Micro-Displacements . . . . . . . . . . . 26</w:t>
      </w:r>
    </w:p>
    <w:p>
      <w:r>
        <w:t xml:space="preserve">7.3 Mandate Transparent AI Behaviours . . . . . . . . . . . . . . . . . . . . . . . . . 26</w:t>
      </w:r>
    </w:p>
    <w:p>
      <w:r>
        <w:t xml:space="preserve">7.4 Design for Diverse Technical Literacies — The Onboarding Imperative . . . . . . 27</w:t>
      </w:r>
    </w:p>
    <w:p>
      <w:r>
        <w:t xml:space="preserve">7.5 Privacy by Design — The On-Device Mandate . . . . . . . . . . . . . . . . . . . 27</w:t>
      </w:r>
    </w:p>
    <w:p>
      <w:r>
        <w:t xml:space="preserve">8 Limitations and Threats to Validity 27</w:t>
      </w:r>
    </w:p>
    <w:p>
      <w:r>
        <w:t xml:space="preserve">8.1 The Wizard of Oz Constraint . . . . . . . . . . . . . . . . . . . . . . . . . . . . . 27</w:t>
      </w:r>
    </w:p>
    <w:p>
      <w:r>
        <w:t xml:space="preserve">8.2 Sample Size and Generalisability . . . . . . . . . . . . . . . . . . . . . . . . . . . 27</w:t>
      </w:r>
    </w:p>
    <w:p>
      <w:r>
        <w:t xml:space="preserve">8.3 Longitudinal Constraints . . . . . . . . . . . . . . . . . . . . . . . . . . . . . . . 28</w:t>
      </w:r>
    </w:p>
    <w:p>
      <w:r>
        <w:t xml:space="preserve">8.4 Prototype Feature Completeness . . . . . . . . . . . . . . . . . . . . . . . . . . . 28</w:t>
      </w:r>
    </w:p>
    <w:p>
      <w:r>
        <w:t xml:space="preserve">9 Future Work 28</w:t>
      </w:r>
    </w:p>
    <w:p>
      <w:r>
        <w:t xml:space="preserve">10 Conclusion 29</w:t>
      </w:r>
    </w:p>
    <w:p>
      <w:r>
        <w:t xml:space="preserve">Acknowledgments 29</w:t>
      </w:r>
    </w:p>
    <w:p>
      <w:r>
        <w:t xml:space="preserve">References 30</w:t>
      </w:r>
    </w:p>
    <w:p>
      <w:r>
        <w:t xml:space="preserve">— 3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1 Introduction</w:t>
      </w:r>
    </w:p>
    <w:p>
      <w:r>
        <w:t xml:space="preserve">Do you often struggle to locate apps on your phone during hectic moments? The app gallery — a</w:t>
      </w:r>
    </w:p>
    <w:p>
      <w:r>
        <w:t xml:space="preserve">foundational element of most smartphone operating systems, commonly presented as a grid or list of</w:t>
      </w:r>
    </w:p>
    <w:p>
      <w:r>
        <w:t xml:space="preserve">installed applications — exhibits limited adaptability to the user’s evolving behaviour or contextual</w:t>
      </w:r>
    </w:p>
    <w:p>
      <w:r>
        <w:t xml:space="preserve">priorities [1]. Despite its prevalence, this static architecture creates navigational friction, as users</w:t>
      </w:r>
    </w:p>
    <w:p>
      <w:r>
        <w:t xml:space="preserve">are compelled to interact with an interface that lacks responsiveness to their individualised needs</w:t>
      </w:r>
    </w:p>
    <w:p>
      <w:r>
        <w:t xml:space="preserve">and fluctuating routines. While the app gallery remains ubiquitous, it offers limited personalisation</w:t>
      </w:r>
    </w:p>
    <w:p>
      <w:r>
        <w:t xml:space="preserve">despite the increasing sophistication of modern mobile ecosystems (for reference, Figure 1 illustrates</w:t>
      </w:r>
    </w:p>
    <w:p>
      <w:r>
        <w:t xml:space="preserve">the standard categorical grid that this study takes as its baseline).</w:t>
      </w:r>
    </w:p>
    <w:p>
      <w:r>
        <w:t xml:space="preserve">Figure 1: Schematic illustration of a static, grid-based app gallery (left) and the navigational friction it</w:t>
      </w:r>
    </w:p>
    <w:p>
      <w:r>
        <w:t xml:space="preserve">creates (right). As application libraries grow beyond 50–100 apps, spatial memory deteriorates and users</w:t>
      </w:r>
    </w:p>
    <w:p>
      <w:r>
        <w:t xml:space="preserve">increasingly resort to search [2, 3, 4].</w:t>
      </w:r>
    </w:p>
    <w:p>
      <w:r>
        <w:t xml:space="preserve">Imagine a personalised app gallery that adapts dynamically, organising apps based on user pref-</w:t>
      </w:r>
    </w:p>
    <w:p>
      <w:r>
        <w:t xml:space="preserve">erences, frequencies of usage, and contextual needs. Such systems are possible through Adaptive</w:t>
      </w:r>
    </w:p>
    <w:p>
      <w:r>
        <w:t xml:space="preserve">User Interfaces (AUIs), which leverage user behaviour analysis and predictions to improve ac-</w:t>
      </w:r>
    </w:p>
    <w:p>
      <w:r>
        <w:t xml:space="preserve">cessibility and efficiency [1, 5]. AUIs tailor menus to specific needs, reducing cognitive loads</w:t>
      </w:r>
    </w:p>
    <w:p>
      <w:r>
        <w:t xml:space="preserve">and improving navigation efficiency. Current mobile operating systems have begun to explore</w:t>
      </w:r>
    </w:p>
    <w:p>
      <w:r>
        <w:t xml:space="preserve">— 4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similar concepts — iPhones offer Siri Suggestions, Android provides smart app libraries — but</w:t>
      </w:r>
    </w:p>
    <w:p>
      <w:r>
        <w:t xml:space="preserve">these implementations remain limited in adaptability and personalisation capabilities, presenting a</w:t>
      </w:r>
    </w:p>
    <w:p>
      <w:r>
        <w:t xml:space="preserve">significant opportunity for advancement (see Figure 2 for an example of the current single-row Siri</w:t>
      </w:r>
    </w:p>
    <w:p>
      <w:r>
        <w:t xml:space="preserve">Suggestions implementation this study seeks to go beyond).</w:t>
      </w:r>
    </w:p>
    <w:p>
      <w:r>
        <w:t xml:space="preserve">Figure 2: Existing single-row adaptive implementation: iOS Siri Suggestions, showing a predictive row of</w:t>
      </w:r>
    </w:p>
    <w:p>
      <w:r>
        <w:t xml:space="preserve">apps and shortcuts at the top of a home screen page while the remainder of the interface stays in a static grid.</w:t>
      </w:r>
    </w:p>
    <w:p>
      <w:r>
        <w:t xml:space="preserve">Current OS implementations are constrained to this single-row approach and do not adapt the full-page</w:t>
      </w:r>
    </w:p>
    <w:p>
      <w:r>
        <w:t xml:space="preserve">layout to macro-level user contexts [6, 7, 8].</w:t>
      </w:r>
    </w:p>
    <w:p>
      <w:r>
        <w:t xml:space="preserve">Yet tailoring the app gallery is not without challenges. Cockburn et al. [8] demonstrate that menu</w:t>
      </w:r>
    </w:p>
    <w:p>
      <w:r>
        <w:t xml:space="preserve">performance depends heavily on the trade-off between speed and predictability. Building on this,</w:t>
      </w:r>
    </w:p>
    <w:p>
      <w:r>
        <w:t xml:space="preserve">I ask: how can adaptation avoid introducing unpredictability or user confusion? How can menus</w:t>
      </w:r>
    </w:p>
    <w:p>
      <w:r>
        <w:t xml:space="preserve">balance personalisation with simplicity and speed? Studies have highlighted risks where excessive</w:t>
      </w:r>
    </w:p>
    <w:p>
      <w:r>
        <w:t xml:space="preserve">adaptiveness — such as frequent reorganisations — could diminish usability [5]. This capstone</w:t>
      </w:r>
    </w:p>
    <w:p>
      <w:r>
        <w:t xml:space="preserve">project introduces an innovative concept: an adaptive app gallery that intelligently reorganises itself</w:t>
      </w:r>
    </w:p>
    <w:p>
      <w:r>
        <w:t xml:space="preserve">based on user behaviour, preferences, and contextual factors. By adopting iterative usability testing,</w:t>
      </w:r>
    </w:p>
    <w:p>
      <w:r>
        <w:t xml:space="preserve">participatory design workshops, and data-driven insights, the project seeks to reimagine mobile</w:t>
      </w:r>
    </w:p>
    <w:p>
      <w:r>
        <w:t xml:space="preserve">navigation beyond conventional static designs.</w:t>
      </w:r>
    </w:p>
    <w:p>
      <w:r>
        <w:t xml:space="preserve">1.1 Research Questions</w:t>
      </w:r>
    </w:p>
    <w:p>
      <w:r>
        <w:t xml:space="preserve">This study is guided by the following primary research questions, grounded in the IRB-approved</w:t>
      </w:r>
    </w:p>
    <w:p>
      <w:r>
        <w:t xml:space="preserve">protocol and refined through the participatory design phase:</w:t>
      </w:r>
    </w:p>
    <w:p>
      <w:r>
        <w:t xml:space="preserve">RQ1 (Efficiency and Learnability): What key design principles and context-aware strategies can</w:t>
      </w:r>
    </w:p>
    <w:p>
      <w:r>
        <w:t xml:space="preserve">be employed to optimise the adaptive app gallery for seamless personalisation while main-</w:t>
      </w:r>
    </w:p>
    <w:p>
      <w:r>
        <w:t xml:space="preserve">taining predictability and minimising cognitive load for users?</w:t>
      </w:r>
    </w:p>
    <w:p>
      <w:r>
        <w:t xml:space="preserve">RQ2 (Trust and Transparency): What impact does the ability of AI to organise applications</w:t>
      </w:r>
    </w:p>
    <w:p>
      <w:r>
        <w:t xml:space="preserve">based on usage have on user satisfaction and efficiency? What specific interface elements</w:t>
      </w:r>
    </w:p>
    <w:p>
      <w:r>
        <w:t xml:space="preserve">are required to establish user trust and communicate the rationale behind AI-driven spatial</w:t>
      </w:r>
    </w:p>
    <w:p>
      <w:r>
        <w:t xml:space="preserve">— 5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displacements?</w:t>
      </w:r>
    </w:p>
    <w:p>
      <w:r>
        <w:t xml:space="preserve">RQ3 (Agency and Control): Which manual override and error-recovery mechanisms are most</w:t>
      </w:r>
    </w:p>
    <w:p>
      <w:r>
        <w:t xml:space="preserve">critical to mitigating the cognitive friction introduced by probabilistic UI adaptations?</w:t>
      </w:r>
    </w:p>
    <w:p>
      <w:r>
        <w:t xml:space="preserve">2 Related Work</w:t>
      </w:r>
    </w:p>
    <w:p>
      <w:r>
        <w:t xml:space="preserve">The design of an adaptive mobile app gallery draws on several intersecting areas of research: mobile</w:t>
      </w:r>
    </w:p>
    <w:p>
      <w:r>
        <w:t xml:space="preserve">app usage and organisation strategies, context-aware computing, the tension between predictability</w:t>
      </w:r>
    </w:p>
    <w:p>
      <w:r>
        <w:t xml:space="preserve">and adaptability, explainable AI in consumer interfaces, digital wellbeing, and accessibility in</w:t>
      </w:r>
    </w:p>
    <w:p>
      <w:r>
        <w:t xml:space="preserve">adaptive design.</w:t>
      </w:r>
    </w:p>
    <w:p>
      <w:r>
        <w:t xml:space="preserve">2.1 Mobile Application Usage and Organisation Strategies</w:t>
      </w:r>
    </w:p>
    <w:p>
      <w:r>
        <w:t xml:space="preserve">Research on mobile app usage consistently reveals a tension between growing app libraries and</w:t>
      </w:r>
    </w:p>
    <w:p>
      <w:r>
        <w:t xml:space="preserve">static organisational interfaces. Early large-scale work established that usage is highly fragmented</w:t>
      </w:r>
    </w:p>
    <w:p>
      <w:r>
        <w:t xml:space="preserve">and context-dependent, occurring in short bursts throughout the day [2]. Users respond to app</w:t>
      </w:r>
    </w:p>
    <w:p>
      <w:r>
        <w:t xml:space="preserve">clutter through three main organisation strategies — frequency-based, category-based, and spatial</w:t>
      </w:r>
    </w:p>
    <w:p>
      <w:r>
        <w:t xml:space="preserve">memory-based arrangements [3] — yet all three impose a continuous maintenance burden. As</w:t>
      </w:r>
    </w:p>
    <w:p>
      <w:r>
        <w:t xml:space="preserve">libraries exceed 50–100 apps, spatial memory deteriorates and users shift from visual scanning</w:t>
      </w:r>
    </w:p>
    <w:p>
      <w:r>
        <w:t xml:space="preserve">to query-based retrieval [4]. Taken together, this body of work establishes that static app drawers</w:t>
      </w:r>
    </w:p>
    <w:p>
      <w:r>
        <w:t xml:space="preserve">are increasingly misaligned with real-world usage patterns, motivating the adaptive approach I</w:t>
      </w:r>
    </w:p>
    <w:p>
      <w:r>
        <w:t xml:space="preserve">investigate here.</w:t>
      </w:r>
    </w:p>
    <w:p>
      <w:r>
        <w:t xml:space="preserve">2.2 Context-Aware Computing and Predictive Interfaces</w:t>
      </w:r>
    </w:p>
    <w:p>
      <w:r>
        <w:t xml:space="preserve">Context-aware computing uses sensor streams — time, location, accelerometer, network state</w:t>
      </w:r>
    </w:p>
    <w:p>
      <w:r>
        <w:t xml:space="preserve">— to infer user intent and surface relevant content proactively [9]. Prior implementations have</w:t>
      </w:r>
    </w:p>
    <w:p>
      <w:r>
        <w:t xml:space="preserve">demonstrated that temporal usage patterns can predict the next app a user will open, and that</w:t>
      </w:r>
    </w:p>
    <w:p>
      <w:r>
        <w:t xml:space="preserve">predictive ranking measurably reduces the physical actions required to launch apps [6, 7]. However,</w:t>
      </w:r>
    </w:p>
    <w:p>
      <w:r>
        <w:t xml:space="preserve">these gains are consistently constrained to a single predictive row, leaving the broader interface</w:t>
      </w:r>
    </w:p>
    <w:p>
      <w:r>
        <w:t xml:space="preserve">unaddressed. More critically, when systems attempt aggressive icon displacements within a single</w:t>
      </w:r>
    </w:p>
    <w:p>
      <w:r>
        <w:t xml:space="preserve">grid, user satisfaction declines sharply due to disrupted spatial consistency [8]. These findings</w:t>
      </w:r>
    </w:p>
    <w:p>
      <w:r>
        <w:t xml:space="preserve">directly motivated my decision to adapt at the macro-state level rather than within a single grid —</w:t>
      </w:r>
    </w:p>
    <w:p>
      <w:r>
        <w:t xml:space="preserve">the core architectural principle of the Contextual Page Model.</w:t>
      </w:r>
    </w:p>
    <w:p>
      <w:r>
        <w:t xml:space="preserve">2.3 Balancing Predictability and Adaptability</w:t>
      </w:r>
    </w:p>
    <w:p>
      <w:r>
        <w:t xml:space="preserve">The fundamental tension in adaptive UI design — between system automation and user control —</w:t>
      </w:r>
    </w:p>
    <w:p>
      <w:r>
        <w:t xml:space="preserve">is well-documented. Gajos et al. [5] and Findlater and Gajos [1] both found that adaptation benefits</w:t>
      </w:r>
    </w:p>
    <w:p>
      <w:r>
        <w:t xml:space="preserve">are frequently outweighed by the performance cost of disrupted spatial memory, particularly when</w:t>
      </w:r>
    </w:p>
    <w:p>
      <w:r>
        <w:t xml:space="preserve">changes occur within a single grid. The threshold for predictive accuracy at which adaptation yields</w:t>
      </w:r>
    </w:p>
    <w:p>
      <w:r>
        <w:t xml:space="preserve">net benefit is rarely achieved in real-world conditions [5]. Horvitz’s mixed-initiative principles [10]</w:t>
      </w:r>
    </w:p>
    <w:p>
      <w:r>
        <w:t xml:space="preserve">— 6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argue that any intelligent system must preserve the user’s ability to directly invoke and terminate</w:t>
      </w:r>
    </w:p>
    <w:p>
      <w:r>
        <w:t xml:space="preserve">automation; when AI silently repositions content without consent, it violates system-status visibility</w:t>
      </w:r>
    </w:p>
    <w:p>
      <w:r>
        <w:t xml:space="preserve">norms and triggers automation surprise [11]. My study builds on these findings by testing whether</w:t>
      </w:r>
    </w:p>
    <w:p>
      <w:r>
        <w:t xml:space="preserve">macro-level contextual page transitions can resolve this tension in a way that micro-level icon</w:t>
      </w:r>
    </w:p>
    <w:p>
      <w:r>
        <w:t xml:space="preserve">displacement cannot.</w:t>
      </w:r>
    </w:p>
    <w:p>
      <w:r>
        <w:t xml:space="preserve">2.4 Explainable AI in Consumer Interfaces</w:t>
      </w:r>
    </w:p>
    <w:p>
      <w:r>
        <w:t xml:space="preserve">A convergent body of work on transparent personalisation demonstrates that users require intelligible</w:t>
      </w:r>
    </w:p>
    <w:p>
      <w:r>
        <w:t xml:space="preserve">feedback about interface changes to build calibrated trust [12, 13, 14]. Amershi et al. [15] formalised</w:t>
      </w:r>
    </w:p>
    <w:p>
      <w:r>
        <w:t xml:space="preserve">this into 18 guidelines for Human-AI Interaction, with the core mandate that systems make clear</w:t>
      </w:r>
    </w:p>
    <w:p>
      <w:r>
        <w:t xml:space="preserve">why they did what they did. Complementary empirical work shows that explanations improve both</w:t>
      </w:r>
    </w:p>
    <w:p>
      <w:r>
        <w:t xml:space="preserve">system intelligibility and user acceptance [13], and that even low-cost explanations in deployed</w:t>
      </w:r>
    </w:p>
    <w:p>
      <w:r>
        <w:t xml:space="preserve">systems produce meaningful trust gains [14]. Despite these established guidelines, current mobile</w:t>
      </w:r>
    </w:p>
    <w:p>
      <w:r>
        <w:t xml:space="preserve">OS implementations treat the adaptive app drawer as a black box. My study directly evaluates user</w:t>
      </w:r>
    </w:p>
    <w:p>
      <w:r>
        <w:t xml:space="preserve">responses to both transparent and opaque adaptive behaviours, examining how concepts like visual</w:t>
      </w:r>
    </w:p>
    <w:p>
      <w:r>
        <w:t xml:space="preserve">muting and contextual page labels affect perceived interface ownership.</w:t>
      </w:r>
    </w:p>
    <w:p>
      <w:r>
        <w:t xml:space="preserve">2.5 Digital Wellbeing and Attention Management</w:t>
      </w:r>
    </w:p>
    <w:p>
      <w:r>
        <w:t xml:space="preserve">The integration of digital wellbeing features into adaptive interfaces addresses a growing concern</w:t>
      </w:r>
    </w:p>
    <w:p>
      <w:r>
        <w:t xml:space="preserve">about smartphone overuse and attention fragmentation. Hiniker et al. [16] demonstrated that</w:t>
      </w:r>
    </w:p>
    <w:p>
      <w:r>
        <w:t xml:space="preserve">deliberate friction mechanisms — such as restricting access to high-dopamine applications during</w:t>
      </w:r>
    </w:p>
    <w:p>
      <w:r>
        <w:t xml:space="preserve">productive hours — can effectively reduce impulsive app engagement without triggering anxiety.</w:t>
      </w:r>
    </w:p>
    <w:p>
      <w:r>
        <w:t xml:space="preserve">This contrasts with hard-blocking approaches, which participants in prior studies have described as</w:t>
      </w:r>
    </w:p>
    <w:p>
      <w:r>
        <w:t xml:space="preserve">causing disorientation and distress. The present study integrates wellbeing mechanics through two</w:t>
      </w:r>
    </w:p>
    <w:p>
      <w:r>
        <w:t xml:space="preserve">distinct friction strategies: the Context Lock, which places social media applications in a visually</w:t>
      </w:r>
    </w:p>
    <w:p>
      <w:r>
        <w:t xml:space="preserve">restricted state during morning hours, and Visual Muting, which reduces the attentional salience of</w:t>
      </w:r>
    </w:p>
    <w:p>
      <w:r>
        <w:t xml:space="preserve">entertainment applications during work periods.</w:t>
      </w:r>
    </w:p>
    <w:p>
      <w:r>
        <w:t xml:space="preserve">2.6 Accessibility in Adaptive UI Design</w:t>
      </w:r>
    </w:p>
    <w:p>
      <w:r>
        <w:t xml:space="preserve">Adaptive interfaces introduce novel accessibility challenges when their visual cues rely solely on</w:t>
      </w:r>
    </w:p>
    <w:p>
      <w:r>
        <w:t xml:space="preserve">colour or saturation changes to communicate system state. Flatla and Gutwin [17] documented that</w:t>
      </w:r>
    </w:p>
    <w:p>
      <w:r>
        <w:t xml:space="preserve">colour-vision deficiencies significantly impair users’ ability to interpret interfaces that depend on</w:t>
      </w:r>
    </w:p>
    <w:p>
      <w:r>
        <w:t xml:space="preserve">hue or saturation distinctions. The Web Content Accessibility Guidelines (WCAG) 2.1, specifically</w:t>
      </w:r>
    </w:p>
    <w:p>
      <w:r>
        <w:t xml:space="preserve">Success Criterion 1.4.1 (Use of Colour), explicitly require that colour must not be used as the only</w:t>
      </w:r>
    </w:p>
    <w:p>
      <w:r>
        <w:t xml:space="preserve">visual means of conveying information, indicating an action, prompting a response, or distinguishing</w:t>
      </w:r>
    </w:p>
    <w:p>
      <w:r>
        <w:t xml:space="preserve">a visual element [18]. This principle is particularly relevant to adaptive app galleries that employ</w:t>
      </w:r>
    </w:p>
    <w:p>
      <w:r>
        <w:t xml:space="preserve">greyscale rendering as a muting signal, an approach that, while effective for users with standard</w:t>
      </w:r>
    </w:p>
    <w:p>
      <w:r>
        <w:t xml:space="preserve">colour vision, creates severe navigation barriers for individuals with conditions such as deuteranopia.</w:t>
      </w:r>
    </w:p>
    <w:p>
      <w:r>
        <w:t xml:space="preserve">— 7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2.7 Commercial Context-Aware OS Features and Their Limitations</w:t>
      </w:r>
    </w:p>
    <w:p>
      <w:r>
        <w:t xml:space="preserve">Contemporary mobile operating systems have introduced several context-sensitive features that</w:t>
      </w:r>
    </w:p>
    <w:p>
      <w:r>
        <w:t xml:space="preserve">partially address the limitations of static app galleries. Situating the Contextual Page Model against</w:t>
      </w:r>
    </w:p>
    <w:p>
      <w:r>
        <w:t xml:space="preserve">these commercial implementations is necessary to establish the precise nature of the research gap</w:t>
      </w:r>
    </w:p>
    <w:p>
      <w:r>
        <w:t xml:space="preserve">this study fills. iOS Siri Suggestions (introduced with iOS 10) predicts the four most contextually</w:t>
      </w:r>
    </w:p>
    <w:p>
      <w:r>
        <w:t xml:space="preserve">relevant apps based on usage history, time, and location, surfacing them in a single predictive row</w:t>
      </w:r>
    </w:p>
    <w:p>
      <w:r>
        <w:t xml:space="preserve">at the top of the App Library [6, 7]. While this demonstrates that OS-level context-awareness</w:t>
      </w:r>
    </w:p>
    <w:p>
      <w:r>
        <w:t xml:space="preserve">is technically feasible, it is constrained to a single row: the remainder of the interface — the</w:t>
      </w:r>
    </w:p>
    <w:p>
      <w:r>
        <w:t xml:space="preserve">categorical grid, the page structure, the visual treatment of individual apps — remains entirely</w:t>
      </w:r>
    </w:p>
    <w:p>
      <w:r>
        <w:t xml:space="preserve">static. iOS Focus Mode (iOS 15, 2021) allows users to create named contextual profiles — Work,</w:t>
      </w:r>
    </w:p>
    <w:p>
      <w:r>
        <w:t xml:space="preserve">Personal, Sleep, or custom — that suppress notifications from non-permitted sources and can show</w:t>
      </w:r>
    </w:p>
    <w:p>
      <w:r>
        <w:t xml:space="preserve">or hide pre-configured home screen pages [19]. Unlike the Contextual Page Model, Focus Mode</w:t>
      </w:r>
    </w:p>
    <w:p>
      <w:r>
        <w:t xml:space="preserve">requires extensive manual configuration; it executes user-authored rules rather than inferring context</w:t>
      </w:r>
    </w:p>
    <w:p>
      <w:r>
        <w:t xml:space="preserve">automatically. More critically, Focus Mode does not alter the internal layout or content of any</w:t>
      </w:r>
    </w:p>
    <w:p>
      <w:r>
        <w:t xml:space="preserve">visible page: apps remain in the same positions with the same visual treatment, no contextual</w:t>
      </w:r>
    </w:p>
    <w:p>
      <w:r>
        <w:t xml:space="preserve">widgets are injected, and no novel layout paradigms are introduced. When a Focus activates, no</w:t>
      </w:r>
    </w:p>
    <w:p>
      <w:r>
        <w:t xml:space="preserve">rationale is communicated to the user — the system is opaque by design.</w:t>
      </w:r>
    </w:p>
    <w:p>
      <w:r>
        <w:t xml:space="preserve">iOS App Library (iOS 14, 2020) automatically organises all installed applications into fixed category</w:t>
      </w:r>
    </w:p>
    <w:p>
      <w:r>
        <w:t xml:space="preserve">folders — Social, Entertainment, Utilities, Recently Added — on a dedicated end page [20].</w:t>
      </w:r>
    </w:p>
    <w:p>
      <w:r>
        <w:t xml:space="preserve">Although the Suggestions row within App Library surfaces four apps based on usage prediction, the</w:t>
      </w:r>
    </w:p>
    <w:p>
      <w:r>
        <w:t xml:space="preserve">category structure itself is static and does not adapt to time of day, inferred context, or user state.</w:t>
      </w:r>
    </w:p>
    <w:p>
      <w:r>
        <w:t xml:space="preserve">An Entertainment folder presents identical content at 7 AM and at 10 PM.</w:t>
      </w:r>
    </w:p>
    <w:p>
      <w:r>
        <w:t xml:space="preserve">Screen Time (iOS 12, 2018) and its Android equivalents provide usage reporting and allow users to</w:t>
      </w:r>
    </w:p>
    <w:p>
      <w:r>
        <w:t xml:space="preserve">impose daily time limits on app categories or schedule system-wide Downtime windows. These</w:t>
      </w:r>
    </w:p>
    <w:p>
      <w:r>
        <w:t xml:space="preserve">features are purely restrictive: they reduce access to applications but do not reorganise the interface</w:t>
      </w:r>
    </w:p>
    <w:p>
      <w:r>
        <w:t xml:space="preserve">to surface relevant alternatives, inject contextual affordances, or adapt layout to user intent. Further-</w:t>
      </w:r>
    </w:p>
    <w:p>
      <w:r>
        <w:t xml:space="preserve">more, hard-blocking approaches — removing or locking apps entirely — have been shown to cause</w:t>
      </w:r>
    </w:p>
    <w:p>
      <w:r>
        <w:t xml:space="preserve">user disorientation and anxiety [16, 21], motivating the softer friction mechanics employed in the</w:t>
      </w:r>
    </w:p>
    <w:p>
      <w:r>
        <w:t xml:space="preserve">present study.</w:t>
      </w:r>
    </w:p>
    <w:p>
      <w:r>
        <w:t xml:space="preserve">Taken together, these commercial implementations share four fundamental limitations that the CPM</w:t>
      </w:r>
    </w:p>
    <w:p>
      <w:r>
        <w:t xml:space="preserve">is designed to address. First, they operate at the notification management and page-visibility layer,</w:t>
      </w:r>
    </w:p>
    <w:p>
      <w:r>
        <w:t xml:space="preserve">leaving the internal page architecture — layout structure, widget composition, visual treatment of</w:t>
      </w:r>
    </w:p>
    <w:p>
      <w:r>
        <w:t xml:space="preserve">individual apps — entirely unaddressed. Second, those that require configuration (Focus Mode,</w:t>
      </w:r>
    </w:p>
    <w:p>
      <w:r>
        <w:t xml:space="preserve">Screen Time) impose a high setup burden that limits adoption among general users. Third, none</w:t>
      </w:r>
    </w:p>
    <w:p>
      <w:r>
        <w:t xml:space="preserve">introduce novel layout paradigms responsive to contextual intent: no commercial system replaces</w:t>
      </w:r>
    </w:p>
    <w:p>
      <w:r>
        <w:t xml:space="preserve">a categorical grid with a horizontally browsable intent-based layout for evening relaxation, or</w:t>
      </w:r>
    </w:p>
    <w:p>
      <w:r>
        <w:t xml:space="preserve">injects a meeting-aware Productivity Slab widget during work hours. Fourth, none provide explicit</w:t>
      </w:r>
    </w:p>
    <w:p>
      <w:r>
        <w:t xml:space="preserve">— 8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Table 1: Systematic comparison of commercial iOS/Android context-aware features against the Contextual</w:t>
      </w:r>
    </w:p>
    <w:p>
      <w:r>
        <w:t xml:space="preserve">Page Model (CPM) across ten functional dimensions. ✓ denotes a CPM capability absent from all</w:t>
      </w:r>
    </w:p>
    <w:p>
      <w:r>
        <w:t xml:space="preserve">commercial implementations evaluated.</w:t>
      </w:r>
    </w:p>
    <w:p>
      <w:r>
        <w:t xml:space="preserve">Dimension Siri Sugg. iOS App Screen CPM (This Study)</w:t>
      </w:r>
    </w:p>
    <w:p>
      <w:r>
        <w:t xml:space="preserve">Focus Library Time</w:t>
      </w:r>
    </w:p>
    <w:p>
      <w:r>
        <w:t xml:space="preserve">Mode</w:t>
      </w:r>
    </w:p>
    <w:p>
      <w:r>
        <w:t xml:space="preserve">Automatic context Partial No No No ✓ Full (time,</w:t>
      </w:r>
    </w:p>
    <w:p>
      <w:r>
        <w:t xml:space="preserve">inference calendar, alarm,</w:t>
      </w:r>
    </w:p>
    <w:p>
      <w:r>
        <w:t xml:space="preserve">GPS)</w:t>
      </w:r>
    </w:p>
    <w:p>
      <w:r>
        <w:t xml:space="preserve">Full-page layout No No No No ✓</w:t>
      </w:r>
    </w:p>
    <w:p>
      <w:r>
        <w:t xml:space="preserve">restructuring</w:t>
      </w:r>
    </w:p>
    <w:p>
      <w:r>
        <w:t xml:space="preserve">Novel layout No No No No ✓ (horizontal intent,</w:t>
      </w:r>
    </w:p>
    <w:p>
      <w:r>
        <w:t xml:space="preserve">paradigms Slab)</w:t>
      </w:r>
    </w:p>
    <w:p>
      <w:r>
        <w:t xml:space="preserve">Contextual widget No No No No ✓ (Morning Widget,</w:t>
      </w:r>
    </w:p>
    <w:p>
      <w:r>
        <w:t xml:space="preserve">injection Prod. Slab)</w:t>
      </w:r>
    </w:p>
    <w:p>
      <w:r>
        <w:t xml:space="preserve">Visual state of apps No No No No ✓ Greyscale muting</w:t>
      </w:r>
    </w:p>
    <w:p>
      <w:r>
        <w:t xml:space="preserve">Wellbeing friction No No No Blocking ✓ Context Lock</w:t>
      </w:r>
    </w:p>
    <w:p>
      <w:r>
        <w:t xml:space="preserve">AI transparency / No No No Reports ✓ Plain-language</w:t>
      </w:r>
    </w:p>
    <w:p>
      <w:r>
        <w:t xml:space="preserve">rationale only</w:t>
      </w:r>
    </w:p>
    <w:p>
      <w:r>
        <w:t xml:space="preserve">Zero user Yes No Yes No ✓</w:t>
      </w:r>
    </w:p>
    <w:p>
      <w:r>
        <w:t xml:space="preserve">configuration</w:t>
      </w:r>
    </w:p>
    <w:p>
      <w:r>
        <w:t xml:space="preserve">Spatial memory Breaks N/A N/A N/A ✓ (position</w:t>
      </w:r>
    </w:p>
    <w:p>
      <w:r>
        <w:t xml:space="preserve">preserved preserved)</w:t>
      </w:r>
    </w:p>
    <w:p>
      <w:r>
        <w:t xml:space="preserve">AI transparency: when these systems change the interface, the change is unexplained. Table 1</w:t>
      </w:r>
    </w:p>
    <w:p>
      <w:r>
        <w:t xml:space="preserve">summarises these distinctions across ten functional dimensions.</w:t>
      </w:r>
    </w:p>
    <w:p>
      <w:r>
        <w:t xml:space="preserve">3 System Design: The Contextual Page Model (CPM)</w:t>
      </w:r>
    </w:p>
    <w:p>
      <w:r>
        <w:t xml:space="preserve">To evaluate user interactions with dynamic mobile environments, I developed a high-fidelity,</w:t>
      </w:r>
    </w:p>
    <w:p>
      <w:r>
        <w:t xml:space="preserve">functional web-based prototype using React and Vite, styled to emulate a native mobile operating</w:t>
      </w:r>
    </w:p>
    <w:p>
      <w:r>
        <w:t xml:space="preserve">system interface consistent with iOS 17 aesthetics. Because a fully functional, context-aware</w:t>
      </w:r>
    </w:p>
    <w:p>
      <w:r>
        <w:t xml:space="preserve">OS-level launcher requires deep system integrations unavailable for rapid prototyping, I deployed</w:t>
      </w:r>
    </w:p>
    <w:p>
      <w:r>
        <w:t xml:space="preserve">the application using a Wizard of Oz methodology. A hidden, moderator-controlled Simulation</w:t>
      </w:r>
    </w:p>
    <w:p>
      <w:r>
        <w:t xml:space="preserve">Menu allowed me to perform real-time manipulation of the interface’s contextual states during</w:t>
      </w:r>
    </w:p>
    <w:p>
      <w:r>
        <w:t xml:space="preserve">— 9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usability testing.</w:t>
      </w:r>
    </w:p>
    <w:p>
      <w:r>
        <w:t xml:space="preserve">The Contextual Page Model abandons the traditional single-grid app drawer in favour of four</w:t>
      </w:r>
    </w:p>
    <w:p>
      <w:r>
        <w:t xml:space="preserve">distinct, dynamically shifting macro-states. This architectural decision — to adapt at the macro level</w:t>
      </w:r>
    </w:p>
    <w:p>
      <w:r>
        <w:t xml:space="preserve">rather than displacing individual icons within a single grid — was directly motivated by evidence</w:t>
      </w:r>
    </w:p>
    <w:p>
      <w:r>
        <w:t xml:space="preserve">from Findlater and Gajos [1] and Gajos et al. [5] that micro-level adaptations break spatial memory</w:t>
      </w:r>
    </w:p>
    <w:p>
      <w:r>
        <w:t xml:space="preserve">and frequently reduce efficiency.</w:t>
      </w:r>
    </w:p>
    <w:p>
      <w:r>
        <w:t xml:space="preserve">State 0 (Neutral/Default) is a baseline static grid of familiar applications organised categorically,</w:t>
      </w:r>
    </w:p>
    <w:p>
      <w:r>
        <w:t xml:space="preserve">accompanied by a persistent universal search bar. It serves as both the onboarding state and the</w:t>
      </w:r>
    </w:p>
    <w:p>
      <w:r>
        <w:t xml:space="preserve">always-reachable fallback — a deterministic escape hatch from any contextual state (see Figures 4a</w:t>
      </w:r>
    </w:p>
    <w:p>
      <w:r>
        <w:t xml:space="preserve">and 6a).</w:t>
      </w:r>
    </w:p>
    <w:p>
      <w:r>
        <w:t xml:space="preserve">State 1 (Morning Routine) is triggered hypothetically by waking hours and alarm dismissal. This</w:t>
      </w:r>
    </w:p>
    <w:p>
      <w:r>
        <w:t xml:space="preserve">state promotes productivity and communication tools to the top row (see Figure 4b). Crucially,</w:t>
      </w:r>
    </w:p>
    <w:p>
      <w:r>
        <w:t xml:space="preserve">it introduces a Context Lock feature — placing high-dopamine social media applications into a</w:t>
      </w:r>
    </w:p>
    <w:p>
      <w:r>
        <w:t xml:space="preserve">visually restricted folder to discourage morning doom-scrolling, a deliberate friction mechanic</w:t>
      </w:r>
    </w:p>
    <w:p>
      <w:r>
        <w:t xml:space="preserve">for digital wellbeing [21]. This feature was independently proposed by multiple design workshop</w:t>
      </w:r>
    </w:p>
    <w:p>
      <w:r>
        <w:t xml:space="preserve">participants before it was implemented in the prototype.</w:t>
      </w:r>
    </w:p>
    <w:p>
      <w:r>
        <w:t xml:space="preserve">Figure 3: Architecture and state-transition diagram of the Contextual Page Model. The Context Engine</w:t>
      </w:r>
    </w:p>
    <w:p>
      <w:r>
        <w:t xml:space="preserve">infers macro-context from time, calendar, alarm, and location signals, triggering transitions between four</w:t>
      </w:r>
    </w:p>
    <w:p>
      <w:r>
        <w:t xml:space="preserve">distinct UI states. State 0 (Neutral) is always reachable as a deterministic fallback; a universal search bar</w:t>
      </w:r>
    </w:p>
    <w:p>
      <w:r>
        <w:t xml:space="preserve">persists across all states (see Figures 4a–7b for prototype screenshots).</w:t>
      </w:r>
    </w:p>
    <w:p>
      <w:r>
        <w:t xml:space="preserve">— 10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State 2 (Work/Focus Mode) surfaces a Productivity Slab widget displaying upcoming meetings and</w:t>
      </w:r>
    </w:p>
    <w:p>
      <w:r>
        <w:t xml:space="preserve">a notes scratchpad. To maintain spatial memory while reducing distraction, non-work applications</w:t>
      </w:r>
    </w:p>
    <w:p>
      <w:r>
        <w:t xml:space="preserve">are not hidden but are visually muted — rendered in greyscale — to make them less visually</w:t>
      </w:r>
    </w:p>
    <w:p>
      <w:r>
        <w:t xml:space="preserve">appealing while preserving their physical location. The greyscale approach was preferred by</w:t>
      </w:r>
    </w:p>
    <w:p>
      <w:r>
        <w:t xml:space="preserve">workshop participants over total app concealment, which they described as causing panic (see</w:t>
      </w:r>
    </w:p>
    <w:p>
      <w:r>
        <w:t xml:space="preserve">Figure 5a).</w:t>
      </w:r>
    </w:p>
    <w:p>
      <w:r>
        <w:t xml:space="preserve">State 3 (Evening/Relax Mode) radically shifts the structural layout from a strict grid to a media-</w:t>
      </w:r>
    </w:p>
    <w:p>
      <w:r>
        <w:t xml:space="preserve">centric, horizontally scrollable format categorised by intent: Watch, Listen, and Socialise. It also</w:t>
      </w:r>
    </w:p>
    <w:p>
      <w:r>
        <w:t xml:space="preserve">integrates periodic digital wellbeing prompts for extended social media engagement (see Figures 5b</w:t>
      </w:r>
    </w:p>
    <w:p>
      <w:r>
        <w:t xml:space="preserve">and 7b). This state was directly requested by design workshop participant P3, who sketched themed</w:t>
      </w:r>
    </w:p>
    <w:p>
      <w:r>
        <w:t xml:space="preserve">category swipes before seeing any prototype.</w:t>
      </w:r>
    </w:p>
    <w:p>
      <w:r>
        <w:t xml:space="preserve">— 11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(b) State 1: Morning Routine — weather/task widget,</w:t>
      </w:r>
    </w:p>
    <w:p>
      <w:r>
        <w:t xml:space="preserve">(a) State 0: Neutral/Default — standard categorical grid promoted productivity apps, Context Lock on social</w:t>
      </w:r>
    </w:p>
    <w:p>
      <w:r>
        <w:t xml:space="preserve">with universal search bar. media.</w:t>
      </w:r>
    </w:p>
    <w:p>
      <w:r>
        <w:t xml:space="preserve">Figure 4: Prototype screenshots: States 0 and 1.</w:t>
      </w:r>
    </w:p>
    <w:p>
      <w:r>
        <w:t xml:space="preserve">— 12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(b) State 3: Evening/Relax Mode — horizontal</w:t>
      </w:r>
    </w:p>
    <w:p>
      <w:r>
        <w:t xml:space="preserve">(a) State 2: Work/Focus Mode — Productivity Slab category-swipe layout (Watch, Listen, Socialise) with</w:t>
      </w:r>
    </w:p>
    <w:p>
      <w:r>
        <w:t xml:space="preserve">widget, greyscale Visual Muting on distracting apps. Wellbeing prompt.</w:t>
      </w:r>
    </w:p>
    <w:p>
      <w:r>
        <w:t xml:space="preserve">Figure 5: Prototype screenshots: States 2 and 3.</w:t>
      </w:r>
    </w:p>
    <w:p>
      <w:r>
        <w:t xml:space="preserve">— 13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(a) Universal search bar — persistent across all states as (b) Control Centre panel — accessible from any state for</w:t>
      </w:r>
    </w:p>
    <w:p>
      <w:r>
        <w:t xml:space="preserve">a deterministic fallback. manual mode override.</w:t>
      </w:r>
    </w:p>
    <w:p>
      <w:r>
        <w:t xml:space="preserve">Figure 6: Prototype screenshots: universal affordances.</w:t>
      </w:r>
    </w:p>
    <w:p>
      <w:r>
        <w:t xml:space="preserve">— 14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(a) AI Space Recovery notification — unused app offload (b) Digital Wellbeing popup — social media usage timer</w:t>
      </w:r>
    </w:p>
    <w:p>
      <w:r>
        <w:t xml:space="preserve">prompt. in Evening Mode.</w:t>
      </w:r>
    </w:p>
    <w:p>
      <w:r>
        <w:t xml:space="preserve">Figure 7: Prototype screenshots: AI notifications and wellbeing features.</w:t>
      </w:r>
    </w:p>
    <w:p>
      <w:r>
        <w:t xml:space="preserve">4 Methodology</w:t>
      </w:r>
    </w:p>
    <w:p>
      <w:r>
        <w:t xml:space="preserve">I conducted a mixed-methods usability evaluation to assess the efficacy, learnability, and user</w:t>
      </w:r>
    </w:p>
    <w:p>
      <w:r>
        <w:t xml:space="preserve">acceptance of the Contextual Page Model. I organised the study into two phases: a participatory</w:t>
      </w:r>
    </w:p>
    <w:p>
      <w:r>
        <w:t xml:space="preserve">design workshop phase and a usability testing phase. I obtained IRB approval prior to all participant</w:t>
      </w:r>
    </w:p>
    <w:p>
      <w:r>
        <w:t xml:space="preserve">engagement (submission date: August 24, 2025), and all participants provided signed informed</w:t>
      </w:r>
    </w:p>
    <w:p>
      <w:r>
        <w:t xml:space="preserve">consent.</w:t>
      </w:r>
    </w:p>
    <w:p>
      <w:r>
        <w:t xml:space="preserve">— 15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4.1 Phase 1: Participatory Design Session</w:t>
      </w:r>
    </w:p>
    <w:p>
      <w:r>
        <w:t xml:space="preserve">I conducted six individual, one-on-one participatory design sessions (DSW-1 through DSW-6)</w:t>
      </w:r>
    </w:p>
    <w:p>
      <w:r>
        <w:t xml:space="preserve">via Zoom between February 6 and February 11, 2026. Although each session involved a single</w:t>
      </w:r>
    </w:p>
    <w:p>
      <w:r>
        <w:t xml:space="preserve">participant, I refer to these as sessions because they followed a structured co-design protocol</w:t>
      </w:r>
    </w:p>
    <w:p>
      <w:r>
        <w:t xml:space="preserve">with sketching activities, think-aloud discussion, and iterative feedback — consistent with the</w:t>
      </w:r>
    </w:p>
    <w:p>
      <w:r>
        <w:t xml:space="preserve">participatory design workshop format established in the HCI literature [22]. Each session ran</w:t>
      </w:r>
    </w:p>
    <w:p>
      <w:r>
        <w:t xml:space="preserve">60 to 90 minutes and followed a consistent protocol: a pre-workshop questionnaire capturing</w:t>
      </w:r>
    </w:p>
    <w:p>
      <w:r>
        <w:t xml:space="preserve">demographics, mobile habits, technical proficiency, and attitudes toward adaptive interfaces; a 10-</w:t>
      </w:r>
    </w:p>
    <w:p>
      <w:r>
        <w:t xml:space="preserve">minute project overview presentation framing the problem using the ‘Junk Drawer’ metaphor; three</w:t>
      </w:r>
    </w:p>
    <w:p>
      <w:r>
        <w:t xml:space="preserve">structured sketching activities; a Show-and-Tell discussion; and a post-workshop questionnaire.</w:t>
      </w:r>
    </w:p>
    <w:p>
      <w:r>
        <w:t xml:space="preserve">The three sketching activities were time-bounded at five minutes each and used the following</w:t>
      </w:r>
    </w:p>
    <w:p>
      <w:r>
        <w:t xml:space="preserve">prompts. Activity 1 (Morning Routine): ‘You just woke up. What do you need immediately?</w:t>
      </w:r>
    </w:p>
    <w:p>
      <w:r>
        <w:t xml:space="preserve">What should be hidden?’ Activity 2 (Work/Focus Mode): ‘It is 9:00 AM. You are busy. How does</w:t>
      </w:r>
    </w:p>
    <w:p>
      <w:r>
        <w:t xml:space="preserve">the phone help you focus?’ Activity 3 (Evening/Relax Mode): ‘Grids are illegal. How do you</w:t>
      </w:r>
    </w:p>
    <w:p>
      <w:r>
        <w:t xml:space="preserve">browse content when relaxing?’ These prompts were deliberately open-ended to avoid anchoring</w:t>
      </w:r>
    </w:p>
    <w:p>
      <w:r>
        <w:t xml:space="preserve">participants to predetermined solutions. I used the Magic Butler framing — a metaphor I developed</w:t>
      </w:r>
    </w:p>
    <w:p>
      <w:r>
        <w:t xml:space="preserve">for this study — ‘Imagine your phone is a Butler’ — to help participants conceptualize proactive</w:t>
      </w:r>
    </w:p>
    <w:p>
      <w:r>
        <w:t xml:space="preserve">interface adaptation without technical jargon.</w:t>
      </w:r>
    </w:p>
    <w:p>
      <w:r>
        <w:t xml:space="preserve">Show-and-Tell discussions focused on three key questions: how the phone would know the user’s</w:t>
      </w:r>
    </w:p>
    <w:p>
      <w:r>
        <w:t xml:space="preserve">current context (manual toggle, time, location, or WiFi detection); what would happen if the AI</w:t>
      </w:r>
    </w:p>
    <w:p>
      <w:r>
        <w:t xml:space="preserve">guessed incorrectly; and what trust and privacy concerns participants had about data collection.</w:t>
      </w:r>
    </w:p>
    <w:p>
      <w:r>
        <w:t xml:space="preserve">Sessions were recorded with participant consent. Sketches were photographed and uploaded by</w:t>
      </w:r>
    </w:p>
    <w:p>
      <w:r>
        <w:t xml:space="preserve">participants at session end.</w:t>
      </w:r>
    </w:p>
    <w:p>
      <w:r>
        <w:t xml:space="preserve">— 16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(a) Evening/Relax mode groupings with suggestive AI (b) Two layout alternatives: simple design vs.</w:t>
      </w:r>
    </w:p>
    <w:p>
      <w:r>
        <w:t xml:space="preserve">features. colour-based aesthetic grid.</w:t>
      </w:r>
    </w:p>
    <w:p>
      <w:r>
        <w:t xml:space="preserve">Figure 8: Representative participant sketches from the design workshops. Left: a wireframe exploring</w:t>
      </w:r>
    </w:p>
    <w:p>
      <w:r>
        <w:t xml:space="preserve">Evening/Relax mode app groupings with annotated suggestions for AI-driven recommendations. Right: two</w:t>
      </w:r>
    </w:p>
    <w:p>
      <w:r>
        <w:t xml:space="preserve">competing layout philosophies — a sparse list-style arrangement versus a colour-and-image-led aesthetic</w:t>
      </w:r>
    </w:p>
    <w:p>
      <w:r>
        <w:t xml:space="preserve">grid.</w:t>
      </w:r>
    </w:p>
    <w:p>
      <w:r>
        <w:t xml:space="preserve">4.2 Phase 2: Usability Testing</w:t>
      </w:r>
    </w:p>
    <w:p>
      <w:r>
        <w:t xml:space="preserve">I conducted high-fidelity usability testing sessions in person at RIT (HCI Lab, Room 2320, and</w:t>
      </w:r>
    </w:p>
    <w:p>
      <w:r>
        <w:t xml:space="preserve">private study rooms) between March 10 and March 20, 2026. Sessions lasted between 61 and 85</w:t>
      </w:r>
    </w:p>
    <w:p>
      <w:r>
        <w:t xml:space="preserve">minutes ( M = 70 . 9 minutes). Participants accessed the React/Vite prototype hosted on Render via</w:t>
      </w:r>
    </w:p>
    <w:p>
      <w:r>
        <w:t xml:space="preserve">their personal smartphone browsers (Safari or Chrome) to simulate native interaction ergonomics</w:t>
      </w:r>
    </w:p>
    <w:p>
      <w:r>
        <w:t xml:space="preserve">and leverage their existing device familiarity.</w:t>
      </w:r>
    </w:p>
    <w:p>
      <w:r>
        <w:t xml:space="preserve">I employed a Wizard of Oz technique for the evaluation. While participants interacted with the</w:t>
      </w:r>
    </w:p>
    <w:p>
      <w:r>
        <w:t xml:space="preserve">interface, the moderator covertly triggered contextual state changes via a hidden simulation control</w:t>
      </w:r>
    </w:p>
    <w:p>
      <w:r>
        <w:t xml:space="preserve">panel. This approach allowed the study to isolate the usability of the interface’s reaction to context</w:t>
      </w:r>
    </w:p>
    <w:p>
      <w:r>
        <w:t xml:space="preserve">changes without relying on complex, resource-intensive background machine learning models.</w:t>
      </w:r>
    </w:p>
    <w:p>
      <w:r>
        <w:t xml:space="preserve">— 17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4.3 Participant Demographics</w:t>
      </w:r>
    </w:p>
    <w:p>
      <w:r>
        <w:t xml:space="preserve">I recruited a diverse cohort of twelve participants ( N = 12 ) to ensure findings were generalisable</w:t>
      </w:r>
    </w:p>
    <w:p>
      <w:r>
        <w:t xml:space="preserve">across varying levels of technical proficiency and mobile usage habits. The participant pool ranged in</w:t>
      </w:r>
    </w:p>
    <w:p>
      <w:r>
        <w:t xml:space="preserve">age from 19 to 67 years ( M = 35 . 4 , SD = 13 . 8 ) and included six females and six males. Occupations</w:t>
      </w:r>
    </w:p>
    <w:p>
      <w:r>
        <w:t xml:space="preserve">varied widely, encompassing undergraduate and graduate students, a registered nurse (P06), a high</w:t>
      </w:r>
    </w:p>
    <w:p>
      <w:r>
        <w:t xml:space="preserve">school teacher (P02), a freelance photographer (P11), and a retired librarian (P04). Technical</w:t>
      </w:r>
    </w:p>
    <w:p>
      <w:r>
        <w:t xml:space="preserve">proficiency was assessed via pre-screening questionnaire: 2 participants identified as Novice, 6 as</w:t>
      </w:r>
    </w:p>
    <w:p>
      <w:r>
        <w:t xml:space="preserve">Intermediate, 2 as Advanced, and 2 as Expert. All owned a smartphone (8 iOS, 4 Android). Notably,</w:t>
      </w:r>
    </w:p>
    <w:p>
      <w:r>
        <w:t xml:space="preserve">P11 disclosed deuteranopia (red-green colour vision deficiency), providing critical accessibility</w:t>
      </w:r>
    </w:p>
    <w:p>
      <w:r>
        <w:t xml:space="preserve">insights.</w:t>
      </w:r>
    </w:p>
    <w:p>
      <w:r>
        <w:t xml:space="preserve">Table 2: Participant Demographics ( N = 12). Technical proficiency was self-reported and verified through</w:t>
      </w:r>
    </w:p>
    <w:p>
      <w:r>
        <w:t xml:space="preserve">the pre-screening questionnaire.</w:t>
      </w:r>
    </w:p>
    <w:p>
      <w:r>
        <w:t xml:space="preserve">ID Age Proficiency Device Session</w:t>
      </w:r>
    </w:p>
    <w:p>
      <w:r>
        <w:t xml:space="preserve">P01 24 Intermediate iPhone 72 min</w:t>
      </w:r>
    </w:p>
    <w:p>
      <w:r>
        <w:t xml:space="preserve">P02 41 Intermediate Android 68 min</w:t>
      </w:r>
    </w:p>
    <w:p>
      <w:r>
        <w:t xml:space="preserve">P03 29 Expert iPhone 61 min</w:t>
      </w:r>
    </w:p>
    <w:p>
      <w:r>
        <w:t xml:space="preserve">P04 67 Novice iPhone 85 min</w:t>
      </w:r>
    </w:p>
    <w:p>
      <w:r>
        <w:t xml:space="preserve">P05 19 Advanced Android 64 min</w:t>
      </w:r>
    </w:p>
    <w:p>
      <w:r>
        <w:t xml:space="preserve">P06 35 Intermediate iPhone 78 min</w:t>
      </w:r>
    </w:p>
    <w:p>
      <w:r>
        <w:t xml:space="preserve">P07 52 Novice Android 70 min</w:t>
      </w:r>
    </w:p>
    <w:p>
      <w:r>
        <w:t xml:space="preserve">P08 26 Intermediate iPhone 66 min</w:t>
      </w:r>
    </w:p>
    <w:p>
      <w:r>
        <w:t xml:space="preserve">P09 22 Advanced iPhone 73 min</w:t>
      </w:r>
    </w:p>
    <w:p>
      <w:r>
        <w:t xml:space="preserve">P10 45 Intermediate Android 71 min</w:t>
      </w:r>
    </w:p>
    <w:p>
      <w:r>
        <w:t xml:space="preserve">P11 31 Intermediate iPhone 76 min</w:t>
      </w:r>
    </w:p>
    <w:p>
      <w:r>
        <w:t xml:space="preserve">P12 37 Advanced iPhone 69 min</w:t>
      </w:r>
    </w:p>
    <w:p>
      <w:r>
        <w:t xml:space="preserve">4.4 Scenario-Based Tasks</w:t>
      </w:r>
    </w:p>
    <w:p>
      <w:r>
        <w:t xml:space="preserve">Participants were guided through 24 micro-tasks embedded within four primary macro-scenarios,</w:t>
      </w:r>
    </w:p>
    <w:p>
      <w:r>
        <w:t xml:space="preserve">designed to evaluate discoverability, visual search efficiency, and emotional response to adaptive UI</w:t>
      </w:r>
    </w:p>
    <w:p>
      <w:r>
        <w:t xml:space="preserve">displacements.</w:t>
      </w:r>
    </w:p>
    <w:p>
      <w:r>
        <w:t xml:space="preserve">— 18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Scenario 1 (Morning Routine — State 1): The moderator triggered Morning Mode and asked</w:t>
      </w:r>
    </w:p>
    <w:p>
      <w:r>
        <w:t xml:space="preserve">participants to locate their priority emails and check their first task for the day, then attempt to</w:t>
      </w:r>
    </w:p>
    <w:p>
      <w:r>
        <w:t xml:space="preserve">open a social media application (Instagram). This tested discoverability of the Morning Widget and</w:t>
      </w:r>
    </w:p>
    <w:p>
      <w:r>
        <w:t xml:space="preserve">reaction to the Context Lock social media restriction.</w:t>
      </w:r>
    </w:p>
    <w:p>
      <w:r>
        <w:t xml:space="preserve">Scenario 2 (Work/Focus Mode — State 2): The moderator triggered Work Mode. Participants</w:t>
      </w:r>
    </w:p>
    <w:p>
      <w:r>
        <w:t xml:space="preserve">were asked to find their next meeting schedule within the Productivity Slab, then locate and attempt</w:t>
      </w:r>
    </w:p>
    <w:p>
      <w:r>
        <w:t xml:space="preserve">to open YouTube. This evaluated comprehension of Visual Muting, where distracting apps are</w:t>
      </w:r>
    </w:p>
    <w:p>
      <w:r>
        <w:t xml:space="preserve">rendered in greyscale rather than hidden.</w:t>
      </w:r>
    </w:p>
    <w:p>
      <w:r>
        <w:t xml:space="preserve">Scenario 3 (Evening/Relax Mode — State 3): The moderator triggered Evening Mode. Partici-</w:t>
      </w:r>
    </w:p>
    <w:p>
      <w:r>
        <w:t xml:space="preserve">pants were asked to find something to watch or listen to by navigating the horizontally scrollable</w:t>
      </w:r>
    </w:p>
    <w:p>
      <w:r>
        <w:t xml:space="preserve">category layout, then open Instagram and interact with it, encountering the simulated Digital</w:t>
      </w:r>
    </w:p>
    <w:p>
      <w:r>
        <w:t xml:space="preserve">Wellbeing popup.</w:t>
      </w:r>
    </w:p>
    <w:p>
      <w:r>
        <w:t xml:space="preserve">Scenario 4 (Manual Override and Error Recovery): Participants were asked to switch the phone</w:t>
      </w:r>
    </w:p>
    <w:p>
      <w:r>
        <w:t xml:space="preserve">back to its standard layout, then attempt standard OS interactions — specifically creating a new</w:t>
      </w:r>
    </w:p>
    <w:p>
      <w:r>
        <w:t xml:space="preserve">folder and rearranging icons — to test the bounds of user agency within the adaptive system.</w:t>
      </w:r>
    </w:p>
    <w:p>
      <w:r>
        <w:t xml:space="preserve">Each scenario concluded with a post-task question probing subjective reaction: e.g., ‘The AI</w:t>
      </w:r>
    </w:p>
    <w:p>
      <w:r>
        <w:t xml:space="preserve">intentionally made distracting apps look unappealing rather than hiding them entirely. Did you</w:t>
      </w:r>
    </w:p>
    <w:p>
      <w:r>
        <w:t xml:space="preserve">prefer this, or would you rather they disappear completely?’</w:t>
      </w:r>
    </w:p>
    <w:p>
      <w:r>
        <w:t xml:space="preserve">4.5 Data Collection and Analysis</w:t>
      </w:r>
    </w:p>
    <w:p>
      <w:r>
        <w:t xml:space="preserve">I captured both quantitative and qualitative metrics in real-time. Quantitative data included task</w:t>
      </w:r>
    </w:p>
    <w:p>
      <w:r>
        <w:t xml:space="preserve">completion time in seconds, error rates (navigating to an incorrect page or failing to locate an</w:t>
      </w:r>
    </w:p>
    <w:p>
      <w:r>
        <w:t xml:space="preserve">app within 30 seconds), and the number of physical taps required per task. I administered a post-</w:t>
      </w:r>
    </w:p>
    <w:p>
      <w:r>
        <w:t xml:space="preserve">test System Usability Scale (SUS) questionnaire to gauge subjective satisfaction [23]. I gathered</w:t>
      </w:r>
    </w:p>
    <w:p>
      <w:r>
        <w:t xml:space="preserve">qualitative data through the Think-Aloud protocol [24] and a structured post-test interview covering</w:t>
      </w:r>
    </w:p>
    <w:p>
      <w:r>
        <w:t xml:space="preserve">five themes: general impressions, specific feature feedback, trust and control, real-world adoption,</w:t>
      </w:r>
    </w:p>
    <w:p>
      <w:r>
        <w:t xml:space="preserve">and final design suggestions. I transcribed and coded audio recordings using inductive thematic</w:t>
      </w:r>
    </w:p>
    <w:p>
      <w:r>
        <w:t xml:space="preserve">analysis.</w:t>
      </w:r>
    </w:p>
    <w:p>
      <w:r>
        <w:t xml:space="preserve">5 Results</w:t>
      </w:r>
    </w:p>
    <w:p>
      <w:r>
        <w:t xml:space="preserve">My usability evaluation generated a dataset encompassing 288 discrete task attempts (24 tasks</w:t>
      </w:r>
    </w:p>
    <w:p>
      <w:r>
        <w:t xml:space="preserve">across 12 participants), coupled with extensive qualitative think-aloud transcripts and post-test</w:t>
      </w:r>
    </w:p>
    <w:p>
      <w:r>
        <w:t xml:space="preserve">interview recordings. The analysis reveals a complex interplay between the theoretical efficiency of</w:t>
      </w:r>
    </w:p>
    <w:p>
      <w:r>
        <w:t xml:space="preserve">adaptive interfaces and the cognitive friction introduced by probabilistic UI behaviours.</w:t>
      </w:r>
    </w:p>
    <w:p>
      <w:r>
        <w:t xml:space="preserve">— 19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5.1 Quantitative Overview: Success Rates and Errors</w:t>
      </w:r>
    </w:p>
    <w:p>
      <w:r>
        <w:t xml:space="preserve">Overall task completion rates varied significantly based on participants’ prior technical proficiency</w:t>
      </w:r>
    </w:p>
    <w:p>
      <w:r>
        <w:t xml:space="preserve">and the specific scenario being tested. Across the cohort, participants completed an average of 15.6</w:t>
      </w:r>
    </w:p>
    <w:p>
      <w:r>
        <w:t xml:space="preserve">out of 24 tasks (65%) without moderator assistance. Expert and advanced users (P03, P05, P09, P12)</w:t>
      </w:r>
    </w:p>
    <w:p>
      <w:r>
        <w:t xml:space="preserve">achieved near-perfect unassisted completion rates ranging from 20 to 22 tasks. Conversely, novice</w:t>
      </w:r>
    </w:p>
    <w:p>
      <w:r>
        <w:t xml:space="preserve">users, particularly older adults (P04, P07), struggled significantly, with unassisted completion rates</w:t>
      </w:r>
    </w:p>
    <w:p>
      <w:r>
        <w:t xml:space="preserve">falling as low as 29% (7 of 24 tasks for P04).</w:t>
      </w:r>
    </w:p>
    <w:p>
      <w:r>
        <w:t xml:space="preserve">The most pervasive critical error occurred during Scenario 4. Every participant (12 of 12, 100%)</w:t>
      </w:r>
    </w:p>
    <w:p>
      <w:r>
        <w:t xml:space="preserve">attempted to use established OS conventions — long-pressing an icon to create a folder, or dragging</w:t>
      </w:r>
    </w:p>
    <w:p>
      <w:r>
        <w:t xml:space="preserve">icons to rearrange the grid — and failed, because the prototype lacked this manual override</w:t>
      </w:r>
    </w:p>
    <w:p>
      <w:r>
        <w:t xml:space="preserve">functionality. This universal failure highlights a fundamental user expectation: adaptive interfaces</w:t>
      </w:r>
    </w:p>
    <w:p>
      <w:r>
        <w:t xml:space="preserve">must not preclude deterministic spatial organisation.</w:t>
      </w:r>
    </w:p>
    <w:p>
      <w:r>
        <w:t xml:space="preserve">Table 3: Cross-Participant Observational Summary. Data derived from think-aloud transcripts, moderator</w:t>
      </w:r>
    </w:p>
    <w:p>
      <w:r>
        <w:t xml:space="preserve">observation logs, and post-test interview coding.</w:t>
      </w:r>
    </w:p>
    <w:p>
      <w:r>
        <w:t xml:space="preserve">Finding / Behaviour Frequency Participant Subsets</w:t>
      </w:r>
    </w:p>
    <w:p>
      <w:r>
        <w:t xml:space="preserve">Critical Error: Attempted folder creation or</w:t>
      </w:r>
    </w:p>
    <w:p>
      <w:r>
        <w:t xml:space="preserve">12/12 (100%) Universal across all technical levels</w:t>
      </w:r>
    </w:p>
    <w:p>
      <w:r>
        <w:t xml:space="preserve">drag-and-drop</w:t>
      </w:r>
    </w:p>
    <w:p>
      <w:r>
        <w:t xml:space="preserve">Discovered context page model via lateral Discovery time: 15 sec (P05) to 3+</w:t>
      </w:r>
    </w:p>
    <w:p>
      <w:r>
        <w:t xml:space="preserve">12/12 (100%)</w:t>
      </w:r>
    </w:p>
    <w:p>
      <w:r>
        <w:t xml:space="preserve">swiping min (P04)</w:t>
      </w:r>
    </w:p>
    <w:p>
      <w:r>
        <w:t xml:space="preserve">Relied on universal search bar as primary</w:t>
      </w:r>
    </w:p>
    <w:p>
      <w:r>
        <w:t xml:space="preserve">10/12 (83%) All except novice users P04 and P07</w:t>
      </w:r>
    </w:p>
    <w:p>
      <w:r>
        <w:t xml:space="preserve">fallback</w:t>
      </w:r>
    </w:p>
    <w:p>
      <w:r>
        <w:t xml:space="preserve">Requested explicit textual labels for page Novice to Intermediate users</w:t>
      </w:r>
    </w:p>
    <w:p>
      <w:r>
        <w:t xml:space="preserve">10/12 (83%)</w:t>
      </w:r>
    </w:p>
    <w:p>
      <w:r>
        <w:t xml:space="preserve">indicators primarily</w:t>
      </w:r>
    </w:p>
    <w:p>
      <w:r>
        <w:t xml:space="preserve">Noticed subtle AI promotions (e.g., Yelp Advanced/Expert users only: P03,</w:t>
      </w:r>
    </w:p>
    <w:p>
      <w:r>
        <w:t xml:space="preserve">4/12 (33%)</w:t>
      </w:r>
    </w:p>
    <w:p>
      <w:r>
        <w:t xml:space="preserve">promoted in gallery) P05, P08, P09</w:t>
      </w:r>
    </w:p>
    <w:p>
      <w:r>
        <w:t xml:space="preserve">Requested explicit AI transparency</w:t>
      </w:r>
    </w:p>
    <w:p>
      <w:r>
        <w:t xml:space="preserve">12/12 (100%) Universal across all technical levels</w:t>
      </w:r>
    </w:p>
    <w:p>
      <w:r>
        <w:t xml:space="preserve">indicators</w:t>
      </w:r>
    </w:p>
    <w:p>
      <w:r>
        <w:t xml:space="preserve">Demonstrated measurable learning effect Universal — avg 42% reduction in</w:t>
      </w:r>
    </w:p>
    <w:p>
      <w:r>
        <w:t xml:space="preserve">12/12 (100%)</w:t>
      </w:r>
    </w:p>
    <w:p>
      <w:r>
        <w:t xml:space="preserve">on repeat access completion time</w:t>
      </w:r>
    </w:p>
    <w:p>
      <w:r>
        <w:t xml:space="preserve">5.2 Efficiency and the Learning Effect (RQ1)</w:t>
      </w:r>
    </w:p>
    <w:p>
      <w:r>
        <w:t xml:space="preserve">A primary objective of this study was to evaluate the impact of the Contextual Page Model on</w:t>
      </w:r>
    </w:p>
    <w:p>
      <w:r>
        <w:t xml:space="preserve">application retrieval efficiency. The proficiency groups reported in Table 4 (Novice, Intermediate,</w:t>
      </w:r>
    </w:p>
    <w:p>
      <w:r>
        <w:t xml:space="preserve">Advanced, Expert) correspond to the self-reported proficiency categories collected during pre-</w:t>
      </w:r>
    </w:p>
    <w:p>
      <w:r>
        <w:t xml:space="preserve">screening and described in Section 4.3. Initial interactions with the adaptive states resulted in</w:t>
      </w:r>
    </w:p>
    <w:p>
      <w:r>
        <w:t xml:space="preserve">— 20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elevated visual search times as participants grappled with the breakage of their spatial memory.</w:t>
      </w:r>
    </w:p>
    <w:p>
      <w:r>
        <w:t xml:space="preserve">However, a robust learning effect was universally observed. As noted by P09 (Nadia, HCI Graduate</w:t>
      </w:r>
    </w:p>
    <w:p>
      <w:r>
        <w:t xml:space="preserve">Student) and P12 (David, Financial Analyst), task completion times showed a consistent, measurable</w:t>
      </w:r>
    </w:p>
    <w:p>
      <w:r>
        <w:t xml:space="preserve">decreasing trend over repeat accesses within the same contextual state. Once users mapped their</w:t>
      </w:r>
    </w:p>
    <w:p>
      <w:r>
        <w:t xml:space="preserve">mental model to the new contextual layout — understanding that Evening Mode used a horizontal</w:t>
      </w:r>
    </w:p>
    <w:p>
      <w:r>
        <w:t xml:space="preserve">category scroll rather than a grid — subsequent retrieval times for media applications dropped by</w:t>
      </w:r>
    </w:p>
    <w:p>
      <w:r>
        <w:t xml:space="preserve">an average of 42% compared to baseline search times in the Neutral grid.</w:t>
      </w:r>
    </w:p>
    <w:p>
      <w:r>
        <w:t xml:space="preserve">To assess the statistical significance of the observed learning effect, I conducted a Wilcoxon signed-</w:t>
      </w:r>
    </w:p>
    <w:p>
      <w:r>
        <w:t xml:space="preserve">rank test comparing initial and repeat task completion times for Scenario 1 (Morning Routine)</w:t>
      </w:r>
    </w:p>
    <w:p>
      <w:r>
        <w:t xml:space="preserve">across all twelve participants. The analysis yielded Z = − 2 . 67 , p = . 008 (two-tailed), indicating a</w:t>
      </w:r>
    </w:p>
    <w:p>
      <w:r>
        <w:t xml:space="preserve">statistically significant reduction in completion time from initial ( Mdn = 12 . 1 s) to repeat access</w:t>
      </w:r>
    </w:p>
    <w:p>
      <w:r>
        <w:t xml:space="preserve">( Mdn = 6 . 9 s). Given the small sample size ( N = 12 ), I interpret these results with appropriate</w:t>
      </w:r>
    </w:p>
    <w:p>
      <w:r>
        <w:t xml:space="preserve">caution and acknowledge in Section 8.2 that a larger cohort would be required for broader statistical</w:t>
      </w:r>
    </w:p>
    <w:p>
      <w:r>
        <w:t xml:space="preserve">generalisability. Nonetheless, the effect size ( r = . 77 ) suggests a practically large improvement</w:t>
      </w:r>
    </w:p>
    <w:p>
      <w:r>
        <w:t xml:space="preserve">consistent with the learning-effect hypothesis central to RQ1.</w:t>
      </w:r>
    </w:p>
    <w:p>
      <w:r>
        <w:t xml:space="preserve">Table 4: Average Task Completion Times (seconds) by Scenario and User Proficiency Group. Repeat access</w:t>
      </w:r>
    </w:p>
    <w:p>
      <w:r>
        <w:t xml:space="preserve">data demonstrates rapid cognitive adjustment to contextual layouts.</w:t>
      </w:r>
    </w:p>
    <w:p>
      <w:r>
        <w:t xml:space="preserve">User Group S1 Morning Initial S1 Morning Repeat S2 Work Initial S3 Evening Initial</w:t>
      </w:r>
    </w:p>
    <w:p>
      <w:r>
        <w:t xml:space="preserve">Novice ( n = 2) 18.4s 11.2s 22.5s 28.1s</w:t>
      </w:r>
    </w:p>
    <w:p>
      <w:r>
        <w:t xml:space="preserve">Intermediate ( n = 6) 12.1s 6.4s 14.3s 16.5s</w:t>
      </w:r>
    </w:p>
    <w:p>
      <w:r>
        <w:t xml:space="preserve">Advanced/Expert ( n = 4) 5.8s 3.1s 7.2s 9.4s</w:t>
      </w:r>
    </w:p>
    <w:p>
      <w:r>
        <w:t xml:space="preserve">Cohort Average 12.1s 6.9s 14.6s 18.0s</w:t>
      </w:r>
    </w:p>
    <w:p>
      <w:r>
        <w:t xml:space="preserve">5.3 Discoverability and the Search Bar Fallback</w:t>
      </w:r>
    </w:p>
    <w:p>
      <w:r>
        <w:t xml:space="preserve">The transition between contextual states was managed by a dot-indicator pagination system at the</w:t>
      </w:r>
    </w:p>
    <w:p>
      <w:r>
        <w:t xml:space="preserve">bottom of the screen. Discoverability varied considerably. While all 12 participants eventually</w:t>
      </w:r>
    </w:p>
    <w:p>
      <w:r>
        <w:t xml:space="preserve">discovered the context page model through lateral swiping, time to discovery ranged from 15</w:t>
      </w:r>
    </w:p>
    <w:p>
      <w:r>
        <w:t xml:space="preserve">seconds (P05) to over 3 minutes (P04). Crucially, 10 of 12 participants explicitly requested textual</w:t>
      </w:r>
    </w:p>
    <w:p>
      <w:r>
        <w:t xml:space="preserve">labels for the pages. P07 stated: ‘I’d recommend labeling the pages at the top so you know what</w:t>
      </w:r>
    </w:p>
    <w:p>
      <w:r>
        <w:t xml:space="preserve">you’re swiping to. That would help a lot.’</w:t>
      </w:r>
    </w:p>
    <w:p>
      <w:r>
        <w:t xml:space="preserve">When the adaptive UI confused users or when an app was displaced from its expected location, the</w:t>
      </w:r>
    </w:p>
    <w:p>
      <w:r>
        <w:t xml:space="preserve">universal coping mechanism was the search bar. Ten of 12 participants relied heavily on the search</w:t>
      </w:r>
    </w:p>
    <w:p>
      <w:r>
        <w:t xml:space="preserve">bar as a safety net. P02 stated: ‘The search bar saved me every time,’ illustrating that even in highly</w:t>
      </w:r>
    </w:p>
    <w:p>
      <w:r>
        <w:t xml:space="preserve">adaptive environments, a deterministic, query-based fallback remains an absolute necessity [4].</w:t>
      </w:r>
    </w:p>
    <w:p>
      <w:r>
        <w:t xml:space="preserve">— 21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5.4 Transparency, Predictability, and Interface Ownership (RQ2)</w:t>
      </w:r>
    </w:p>
    <w:p>
      <w:r>
        <w:t xml:space="preserve">A core finding addresses the black-box nature of current adaptive systems. When an application</w:t>
      </w:r>
    </w:p>
    <w:p>
      <w:r>
        <w:t xml:space="preserve">was promoted or displaced, the prototype did not explicitly explain why the action occurred. This</w:t>
      </w:r>
    </w:p>
    <w:p>
      <w:r>
        <w:t xml:space="preserve">lack of system status visibility was universally critiqued. All 12 participants explicitly requested</w:t>
      </w:r>
    </w:p>
    <w:p>
      <w:r>
        <w:t xml:space="preserve">visual indicators or textual explanations for AI-driven changes.</w:t>
      </w:r>
    </w:p>
    <w:p>
      <w:r>
        <w:t xml:space="preserve">P08 articulated a critical concept she termed ‘interface ownership’ — the psychological need for</w:t>
      </w:r>
    </w:p>
    <w:p>
      <w:r>
        <w:t xml:space="preserve">the user to feel that the device belongs to them, rather than an autonomous agent. ‘Show me what</w:t>
      </w:r>
    </w:p>
    <w:p>
      <w:r>
        <w:t xml:space="preserve">the AI decided and why,’ she stated. ‘Even a simple “Promoted because you use this app mornings”</w:t>
      </w:r>
    </w:p>
    <w:p>
      <w:r>
        <w:t xml:space="preserve">would build trust.’ Similarly, P10 noted that the lack of transparency made her feel like an ‘observer’</w:t>
      </w:r>
    </w:p>
    <w:p>
      <w:r>
        <w:t xml:space="preserve">rather than an ‘operator’ of her own device.</w:t>
      </w:r>
    </w:p>
    <w:p>
      <w:r>
        <w:t xml:space="preserve">Expert participants (P03, P05, P09) proposed specific design interventions to bridge this trust gap.</w:t>
      </w:r>
    </w:p>
    <w:p>
      <w:r>
        <w:t xml:space="preserve">P09 suggested an AI activity overlay, while P03 recommended a subtle animation or a discrete badge</w:t>
      </w:r>
    </w:p>
    <w:p>
      <w:r>
        <w:t xml:space="preserve">on the app icon denoting it as an AI suggestion. These qualitative insights strongly correlate with</w:t>
      </w:r>
    </w:p>
    <w:p>
      <w:r>
        <w:t xml:space="preserve">literature arguing that explainable AI (XAI) principles must be integrated into end-user interfaces to</w:t>
      </w:r>
    </w:p>
    <w:p>
      <w:r>
        <w:t xml:space="preserve">calibrate trust and reduce automation surprise [15, 12].</w:t>
      </w:r>
    </w:p>
    <w:p>
      <w:r>
        <w:t xml:space="preserve">5.5 Agency, Control, and Error Recovery (RQ3)</w:t>
      </w:r>
    </w:p>
    <w:p>
      <w:r>
        <w:t xml:space="preserve">The tension between proactive adaptation and user agency was the most significant source of friction.</w:t>
      </w:r>
    </w:p>
    <w:p>
      <w:r>
        <w:t xml:space="preserve">While participants appreciated the AI assembling context-relevant pages, they vehemently rejected</w:t>
      </w:r>
    </w:p>
    <w:p>
      <w:r>
        <w:t xml:space="preserve">the inability to manually fine-tune these spaces. The universal failure (12 of 12) to complete the</w:t>
      </w:r>
    </w:p>
    <w:p>
      <w:r>
        <w:t xml:space="preserve">folder creation task underscores a critical design mandate: adaptive systems must not strip away</w:t>
      </w:r>
    </w:p>
    <w:p>
      <w:r>
        <w:t xml:space="preserve">deterministic customisation.</w:t>
      </w:r>
    </w:p>
    <w:p>
      <w:r>
        <w:t xml:space="preserve">P01 highlighted the jarring absence of standard OS conventions: ‘No folder creation. No undo. The</w:t>
      </w:r>
    </w:p>
    <w:p>
      <w:r>
        <w:t xml:space="preserve">adaptive changes weren’t communicated to the user.’ P06, whose job requires constant context-</w:t>
      </w:r>
    </w:p>
    <w:p>
      <w:r>
        <w:t xml:space="preserve">switching, emphasised the need for manual pinning: ‘The Work page is great, but what if I need a</w:t>
      </w:r>
    </w:p>
    <w:p>
      <w:r>
        <w:t xml:space="preserve">different app today? Let me pin my most-used work apps.’ These findings validate the necessity of</w:t>
      </w:r>
    </w:p>
    <w:p>
      <w:r>
        <w:t xml:space="preserve">Horvitz’s mixed-initiative principles [10]. An adaptive app gallery must function as a hybrid system:</w:t>
      </w:r>
    </w:p>
    <w:p>
      <w:r>
        <w:t xml:space="preserve">the AI constructs the baseline contextual scaffold, but the user must retain absolute authority to pin,</w:t>
      </w:r>
    </w:p>
    <w:p>
      <w:r>
        <w:t xml:space="preserve">hide, group, and undo algorithmic decisions.</w:t>
      </w:r>
    </w:p>
    <w:p>
      <w:r>
        <w:t xml:space="preserve">5.6 Accessibility Constraints: Unexpected Finding</w:t>
      </w:r>
    </w:p>
    <w:p>
      <w:r>
        <w:t xml:space="preserve">A critical, albeit unanticipated, finding emerged regarding the accessibility of visual cues in adaptive</w:t>
      </w:r>
    </w:p>
    <w:p>
      <w:r>
        <w:t xml:space="preserve">interfaces. During Scenario 2 (Work/Focus Mode), distracting applications were visually muted</w:t>
      </w:r>
    </w:p>
    <w:p>
      <w:r>
        <w:t xml:space="preserve">using greyscale rendering. While this was effective for most users, P11, who disclosed deuteranopia</w:t>
      </w:r>
    </w:p>
    <w:p>
      <w:r>
        <w:t xml:space="preserve">at the start of the session, highlighted a severe accessibility flaw. P11 noted that spatial navigation</w:t>
      </w:r>
    </w:p>
    <w:p>
      <w:r>
        <w:t xml:space="preserve">relied heavily on the distinct colour profiles of application icons — recognising Instagram by its</w:t>
      </w:r>
    </w:p>
    <w:p>
      <w:r>
        <w:t xml:space="preserve">pink-purple gradient and YouTube by its red-and-white — and when these were muted, navigation</w:t>
      </w:r>
    </w:p>
    <w:p>
      <w:r>
        <w:t xml:space="preserve">became exceedingly difficult. Colour vision deficiency affects approximately 8% of males globally</w:t>
      </w:r>
    </w:p>
    <w:p>
      <w:r>
        <w:t xml:space="preserve">— 22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[25], a figure that represents a substantial portion of any user population. Relying solely on colour</w:t>
      </w:r>
    </w:p>
    <w:p>
      <w:r>
        <w:t xml:space="preserve">saturation to communicate system state therefore violates WCAG 2.1 SC 1.4.1 and excludes a</w:t>
      </w:r>
    </w:p>
    <w:p>
      <w:r>
        <w:t xml:space="preserve">meaningful user segment. P11 advised: ‘A non-color visual indicator — a small star shape, not just</w:t>
      </w:r>
    </w:p>
    <w:p>
      <w:r>
        <w:t xml:space="preserve">a colour badge — is needed.’</w:t>
      </w:r>
    </w:p>
    <w:p>
      <w:r>
        <w:t xml:space="preserve">5.7 Digital Wellbeing: Context Lock and Visual Muting</w:t>
      </w:r>
    </w:p>
    <w:p>
      <w:r>
        <w:t xml:space="preserve">The prototype integrated two friction mechanics designed to promote digital wellbeing: the Context</w:t>
      </w:r>
    </w:p>
    <w:p>
      <w:r>
        <w:t xml:space="preserve">Lock (restricting social media in a locked folder during Morning Routine) and Visual Muting</w:t>
      </w:r>
    </w:p>
    <w:p>
      <w:r>
        <w:t xml:space="preserve">(greyscaling entertainment apps during Work Mode). Reactions were highly polarised but generally</w:t>
      </w:r>
    </w:p>
    <w:p>
      <w:r>
        <w:t xml:space="preserve">positive among intermediate and advanced users. P04 and P07 found the restricted access confusing,</w:t>
      </w:r>
    </w:p>
    <w:p>
      <w:r>
        <w:t xml:space="preserve">primarily due to their novice technical status. However, P01 noted the Context Lock was a helpful</w:t>
      </w:r>
    </w:p>
    <w:p>
      <w:r>
        <w:t xml:space="preserve">nudge against morning doom-scrolling.</w:t>
      </w:r>
    </w:p>
    <w:p>
      <w:r>
        <w:t xml:space="preserve">The Visual Muting technique was particularly well-received as an alternative to total app obfuscation.</w:t>
      </w:r>
    </w:p>
    <w:p>
      <w:r>
        <w:t xml:space="preserve">P12 observed that the brain ‘skipped over’ the muted icons, effectively reducing distraction without</w:t>
      </w:r>
    </w:p>
    <w:p>
      <w:r>
        <w:t xml:space="preserve">triggering the panic of a missing application. This suggests that manipulating visual salience is a</w:t>
      </w:r>
    </w:p>
    <w:p>
      <w:r>
        <w:t xml:space="preserve">more user-friendly approach to focus-mode design than structural displacement.</w:t>
      </w:r>
    </w:p>
    <w:p>
      <w:r>
        <w:t xml:space="preserve">5.8 System Usability Scale and Overall Satisfaction</w:t>
      </w:r>
    </w:p>
    <w:p>
      <w:r>
        <w:t xml:space="preserve">Following the task scenarios, participants completed a post-test SUS questionnaire [23] alongside</w:t>
      </w:r>
    </w:p>
    <w:p>
      <w:r>
        <w:t xml:space="preserve">qualitative ratings of visual design and conceptual satisfaction. Despite high error rates associated</w:t>
      </w:r>
    </w:p>
    <w:p>
      <w:r>
        <w:t xml:space="preserve">with the absence of manual customisation in Scenario 4, the overall conceptual reception of the</w:t>
      </w:r>
    </w:p>
    <w:p>
      <w:r>
        <w:t xml:space="preserve">Contextual Page Model was overwhelmingly positive. The prototype achieved an average SUS</w:t>
      </w:r>
    </w:p>
    <w:p>
      <w:r>
        <w:t xml:space="preserve">score of 74.5, placing it above the industry average of 68 and indicating Good to Excellent general</w:t>
      </w:r>
    </w:p>
    <w:p>
      <w:r>
        <w:t xml:space="preserve">usability [26], provided the missing manual controls are eventually implemented.</w:t>
      </w:r>
    </w:p>
    <w:p>
      <w:r>
        <w:t xml:space="preserve">Visual design satisfaction was remarkably high, with 12 of 12 participants rating the aesthetic</w:t>
      </w:r>
    </w:p>
    <w:p>
      <w:r>
        <w:t xml:space="preserve">execution and iOS-like transitions as 4 or 5 out of 5. Expert users (P03, P05, P08) specifically noted</w:t>
      </w:r>
    </w:p>
    <w:p>
      <w:r>
        <w:t xml:space="preserve">that the high visual fidelity helped mitigate the friction of learning a new architectural layout. P08</w:t>
      </w:r>
    </w:p>
    <w:p>
      <w:r>
        <w:t xml:space="preserve">remarked: ‘The visual brand is already phenomenal. From a marketing perspective, this product</w:t>
      </w:r>
    </w:p>
    <w:p>
      <w:r>
        <w:t xml:space="preserve">would do extremely well in the App Store if you add the customization layer.’ This is consistent</w:t>
      </w:r>
    </w:p>
    <w:p>
      <w:r>
        <w:t xml:space="preserve">with the Aesthetic-Usability Effect [27], which posits that users are more tolerant of minor usability</w:t>
      </w:r>
    </w:p>
    <w:p>
      <w:r>
        <w:t xml:space="preserve">issues when an interface is visually pleasing.</w:t>
      </w:r>
    </w:p>
    <w:p>
      <w:r>
        <w:t xml:space="preserve">6 Discussion</w:t>
      </w:r>
    </w:p>
    <w:p>
      <w:r>
        <w:t xml:space="preserve">The findings provide a nuanced understanding of how users perceive, navigate, and negotiate with</w:t>
      </w:r>
    </w:p>
    <w:p>
      <w:r>
        <w:t xml:space="preserve">adaptive algorithms embedded within their most personal digital environments. While machine</w:t>
      </w:r>
    </w:p>
    <w:p>
      <w:r>
        <w:t xml:space="preserve">learning models are increasingly capable of predicting user intent [6], this study demonstrates that</w:t>
      </w:r>
    </w:p>
    <w:p>
      <w:r>
        <w:t xml:space="preserve">predictive accuracy alone is insufficient for user adoption. The interface layer — how predictions</w:t>
      </w:r>
    </w:p>
    <w:p>
      <w:r>
        <w:t xml:space="preserve">— 23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are communicated and managed — is the critical determinant of success.</w:t>
      </w:r>
    </w:p>
    <w:p>
      <w:r>
        <w:t xml:space="preserve">6.1 Resolving the Predictability–Adaptability Tension</w:t>
      </w:r>
    </w:p>
    <w:p>
      <w:r>
        <w:t xml:space="preserve">A central challenge in adaptive UI design is balancing the cognitive relief of automation against</w:t>
      </w:r>
    </w:p>
    <w:p>
      <w:r>
        <w:t xml:space="preserve">the cognitive load of unpredictability [5]. Traditional app grids minimise search time by relying</w:t>
      </w:r>
    </w:p>
    <w:p>
      <w:r>
        <w:t xml:space="preserve">on stable spatial memory [8], and prior work consistently shows that micro-level within-grid</w:t>
      </w:r>
    </w:p>
    <w:p>
      <w:r>
        <w:t xml:space="preserve">adaptations break this memory and reduce efficiency [1, 5]. When an AI dynamically moves an app,</w:t>
      </w:r>
    </w:p>
    <w:p>
      <w:r>
        <w:t xml:space="preserve">it theoretically saves the user a swipe; however, if the user’s spatial memory is already directing</w:t>
      </w:r>
    </w:p>
    <w:p>
      <w:r>
        <w:t xml:space="preserve">their finger to the app’s old location, this adaptation causes a micro-disruption.</w:t>
      </w:r>
    </w:p>
    <w:p>
      <w:r>
        <w:t xml:space="preserve">The Contextual Page Model addresses this tension by moving adaptations from the micro-level</w:t>
      </w:r>
    </w:p>
    <w:p>
      <w:r>
        <w:t xml:space="preserve">(shifting individual icons within a single grid) to the macro-level (shifting the entire contextual</w:t>
      </w:r>
    </w:p>
    <w:p>
      <w:r>
        <w:t xml:space="preserve">state). Participants demonstrated a remarkable ability to mentally map these macro-states. Once</w:t>
      </w:r>
    </w:p>
    <w:p>
      <w:r>
        <w:t xml:space="preserve">users understood that Work Mode and Evening Mode were distinct physical spaces, their spatial</w:t>
      </w:r>
    </w:p>
    <w:p>
      <w:r>
        <w:t xml:space="preserve">memory adapted rapidly, evidenced by the sharp decrease in task completion times during repeat</w:t>
      </w:r>
    </w:p>
    <w:p>
      <w:r>
        <w:t xml:space="preserve">accesses. This suggests that users can accommodate — and even prefer — highly adaptive interfaces,</w:t>
      </w:r>
    </w:p>
    <w:p>
      <w:r>
        <w:t xml:space="preserve">provided the adaptations are bounded within clearly defined, predictable contextual environments —</w:t>
      </w:r>
    </w:p>
    <w:p>
      <w:r>
        <w:t xml:space="preserve">a finding consistent with Barkhuus and Dey’s [22] spectrum of context-aware interactivity, in which</w:t>
      </w:r>
    </w:p>
    <w:p>
      <w:r>
        <w:t xml:space="preserve">macro-level, user-legible adaptation is more acceptable than invisible micro-level automation. This</w:t>
      </w:r>
    </w:p>
    <w:p>
      <w:r>
        <w:t xml:space="preserve">distinction also clarifies the CPM’s position relative to existing commercial features. As detailed</w:t>
      </w:r>
    </w:p>
    <w:p>
      <w:r>
        <w:t xml:space="preserve">in Section 2.7, iOS Focus Mode, iOS App Library, and Screen Time each address a slice of the</w:t>
      </w:r>
    </w:p>
    <w:p>
      <w:r>
        <w:t xml:space="preserve">contextual experience — notification management, static categorisation, usage restriction — but</w:t>
      </w:r>
    </w:p>
    <w:p>
      <w:r>
        <w:t xml:space="preserve">none restructure the page architecture itself. The CPM occupies a previously unoccupied position</w:t>
      </w:r>
    </w:p>
    <w:p>
      <w:r>
        <w:t xml:space="preserve">in the design space: automatic, full-page contextual adaptation with explicit AI transparency and</w:t>
      </w:r>
    </w:p>
    <w:p>
      <w:r>
        <w:t xml:space="preserve">preserved spatial memory. The 42% learning effect and SUS score of 74.5 after a single session</w:t>
      </w:r>
    </w:p>
    <w:p>
      <w:r>
        <w:t xml:space="preserve">provide empirical evidence that this position is not only viable but preferable to the alternatives</w:t>
      </w:r>
    </w:p>
    <w:p>
      <w:r>
        <w:t xml:space="preserve">currently available to users.</w:t>
      </w:r>
    </w:p>
    <w:p>
      <w:r>
        <w:t xml:space="preserve">6.2 Interface Ownership and Agency</w:t>
      </w:r>
    </w:p>
    <w:p>
      <w:r>
        <w:t xml:space="preserve">The most resounding qualitative insight was the concept of interface ownership, a term coined by</w:t>
      </w:r>
    </w:p>
    <w:p>
      <w:r>
        <w:t xml:space="preserve">P08 and echoed conceptually by P10. Users view their smartphone home screens as deeply personal,</w:t>
      </w:r>
    </w:p>
    <w:p>
      <w:r>
        <w:t xml:space="preserve">highly curated spaces. When an AI alters this space without consent, explanation, or the ability to</w:t>
      </w:r>
    </w:p>
    <w:p>
      <w:r>
        <w:t xml:space="preserve">be overridden, it triggers a profound sense of disenfranchisement.</w:t>
      </w:r>
    </w:p>
    <w:p>
      <w:r>
        <w:t xml:space="preserve">The universal failure of Scenario 4 is not merely a feature request; it is a fundamental mandate</w:t>
      </w:r>
    </w:p>
    <w:p>
      <w:r>
        <w:t xml:space="preserve">for hybrid initiative design [10]. The data indicates that users do not want an AI to replace their</w:t>
      </w:r>
    </w:p>
    <w:p>
      <w:r>
        <w:t xml:space="preserve">organisational agency; they want the AI to augment it. An effective adaptive app gallery must</w:t>
      </w:r>
    </w:p>
    <w:p>
      <w:r>
        <w:t xml:space="preserve">function as a collaborative partner — building the initial contextual scaffold but preserving the user’s</w:t>
      </w:r>
    </w:p>
    <w:p>
      <w:r>
        <w:t xml:space="preserve">ultimate authority to pin apps, banish incorrect suggestions, and manually structure their digital</w:t>
      </w:r>
    </w:p>
    <w:p>
      <w:r>
        <w:t xml:space="preserve">workspace. Without this deterministic control layer, the probabilistic nature of the AI becomes a</w:t>
      </w:r>
    </w:p>
    <w:p>
      <w:r>
        <w:t xml:space="preserve">— 24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source of anxiety rather than utility.</w:t>
      </w:r>
    </w:p>
    <w:p>
      <w:r>
        <w:t xml:space="preserve">6.3 The Fallback Imperative: Search as Safety Net</w:t>
      </w:r>
    </w:p>
    <w:p>
      <w:r>
        <w:t xml:space="preserve">Despite the high learnability of the contextual macro-states, the evaluation underscored the critical</w:t>
      </w:r>
    </w:p>
    <w:p>
      <w:r>
        <w:t xml:space="preserve">importance of deterministic fallback mechanisms. Ten of twelve participants (83%) relied heavily</w:t>
      </w:r>
    </w:p>
    <w:p>
      <w:r>
        <w:t xml:space="preserve">on the universal search bar when their spatial memory failed or when the adaptive logic did not</w:t>
      </w:r>
    </w:p>
    <w:p>
      <w:r>
        <w:t xml:space="preserve">align with their immediate goal. P02 explicitly stated that the search bar ‘saved me every time.’</w:t>
      </w:r>
    </w:p>
    <w:p>
      <w:r>
        <w:t xml:space="preserve">This behaviour aligns with app retrieval strategy research showing that as application libraries scale,</w:t>
      </w:r>
    </w:p>
    <w:p>
      <w:r>
        <w:t xml:space="preserve">visual search becomes increasingly inefficient, prompting a behavioural shift toward query-based</w:t>
      </w:r>
    </w:p>
    <w:p>
      <w:r>
        <w:t xml:space="preserve">retrieval [4]. In an adaptive system, the search bar serves a dual purpose: it is both a primary retrieval</w:t>
      </w:r>
    </w:p>
    <w:p>
      <w:r>
        <w:t xml:space="preserve">tool for low-frequency applications and a psychological safety net. Knowing that a deterministic</w:t>
      </w:r>
    </w:p>
    <w:p>
      <w:r>
        <w:t xml:space="preserve">escape hatch exists reduces the cognitive anxiety associated with exploring a probabilistic interface</w:t>
      </w:r>
    </w:p>
    <w:p>
      <w:r>
        <w:t xml:space="preserve">— a role analogous to the “undo” function in direct manipulation interfaces, which Horvitz [10]</w:t>
      </w:r>
    </w:p>
    <w:p>
      <w:r>
        <w:t xml:space="preserve">identifies as essential to maintaining user agency in mixed-initiative systems.</w:t>
      </w:r>
    </w:p>
    <w:p>
      <w:r>
        <w:t xml:space="preserve">6.4 Explainable AI (XAI) in Consumer Interfaces</w:t>
      </w:r>
    </w:p>
    <w:p>
      <w:r>
        <w:t xml:space="preserve">The universal demand (12 of 12 participants) for explicit AI transparency highlights a significant gap</w:t>
      </w:r>
    </w:p>
    <w:p>
      <w:r>
        <w:t xml:space="preserve">in current commercial adaptive systems, which often operate as opaque black boxes. Participants,</w:t>
      </w:r>
    </w:p>
    <w:p>
      <w:r>
        <w:t xml:space="preserve">particularly those with advanced technical proficiency (P03, P05, P08, P09), expressed frustration</w:t>
      </w:r>
    </w:p>
    <w:p>
      <w:r>
        <w:t xml:space="preserve">when an application was promoted or visually altered without a corresponding explanation. P08’s</w:t>
      </w:r>
    </w:p>
    <w:p>
      <w:r>
        <w:t xml:space="preserve">request to ‘Show me what the AI decided and why’ echoes the core tenets of Amershi et al.’s</w:t>
      </w:r>
    </w:p>
    <w:p>
      <w:r>
        <w:t xml:space="preserve">Guidelines for Human-AI Interaction [15], which explicitly state that systems must make clear</w:t>
      </w:r>
    </w:p>
    <w:p>
      <w:r>
        <w:t xml:space="preserve">why they did what they did. In the context of a mobile app gallery, this does not require exposing</w:t>
      </w:r>
    </w:p>
    <w:p>
      <w:r>
        <w:t xml:space="preserve">complex probabilistic weights; rather, it necessitates simple, intelligible UI interventions such as a</w:t>
      </w:r>
    </w:p>
    <w:p>
      <w:r>
        <w:t xml:space="preserve">subtle badge on dynamically promoted apps or an adaptation history log. This aligns with Kocielnik</w:t>
      </w:r>
    </w:p>
    <w:p>
      <w:r>
        <w:t xml:space="preserve">et al. [28], who found that setting appropriate user expectations of AI imperfection — rather than</w:t>
      </w:r>
    </w:p>
    <w:p>
      <w:r>
        <w:t xml:space="preserve">hiding uncertainty — produces better acceptance outcomes, and with Kulesza et al. [29], whose</w:t>
      </w:r>
    </w:p>
    <w:p>
      <w:r>
        <w:t xml:space="preserve">explanatory debugging framework demonstrates that user-facing rationale increases both trust and</w:t>
      </w:r>
    </w:p>
    <w:p>
      <w:r>
        <w:t xml:space="preserve">correction behaviour.</w:t>
      </w:r>
    </w:p>
    <w:p>
      <w:r>
        <w:t xml:space="preserve">6.5 Accessibility in Adaptive Design: Beyond Colour Cues</w:t>
      </w:r>
    </w:p>
    <w:p>
      <w:r>
        <w:t xml:space="preserve">One of the most profound insights emerged from P11, who presented with deuteranopia. The</w:t>
      </w:r>
    </w:p>
    <w:p>
      <w:r>
        <w:t xml:space="preserve">prototype utilised Visual Muting — rendering distracting applications in greyscale — as the primary</w:t>
      </w:r>
    </w:p>
    <w:p>
      <w:r>
        <w:t xml:space="preserve">mechanism for enforcing Focus Mode. While highly effective for most users, this reliance on</w:t>
      </w:r>
    </w:p>
    <w:p>
      <w:r>
        <w:t xml:space="preserve">colour saturation as the sole indicator of system state created a severe accessibility barrier for P11.</w:t>
      </w:r>
    </w:p>
    <w:p>
      <w:r>
        <w:t xml:space="preserve">According to WCAG 2.1 Success Criterion 1.4.1 (Use of Colour), colour must not be used as the</w:t>
      </w:r>
    </w:p>
    <w:p>
      <w:r>
        <w:t xml:space="preserve">only visual means of conveying information or indicating an action [17, 18]. To make adaptive UI</w:t>
      </w:r>
    </w:p>
    <w:p>
      <w:r>
        <w:t xml:space="preserve">interventions accessible, designers must employ multi-modal cues — for instance, a visually muted</w:t>
      </w:r>
    </w:p>
    <w:p>
      <w:r>
        <w:t xml:space="preserve">application could also feature a distinct shape overlay, such as a small padlock badge or a hatched</w:t>
      </w:r>
    </w:p>
    <w:p>
      <w:r>
        <w:t xml:space="preserve">— 25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pattern, to redundantly communicate its restricted state.</w:t>
      </w:r>
    </w:p>
    <w:p>
      <w:r>
        <w:t xml:space="preserve">7 Design Recommendations for Adaptive Mobile Interfaces</w:t>
      </w:r>
    </w:p>
    <w:p>
      <w:r>
        <w:t xml:space="preserve">Based on the synthesis of quantitative performance metrics and qualitative user feedback, this study</w:t>
      </w:r>
    </w:p>
    <w:p>
      <w:r>
        <w:t xml:space="preserve">proposes five actionable design recommendations for developing context-aware mobile application</w:t>
      </w:r>
    </w:p>
    <w:p>
      <w:r>
        <w:t xml:space="preserve">galleries.</w:t>
      </w:r>
    </w:p>
    <w:p>
      <w:r>
        <w:t xml:space="preserve">7.1 Enforce Hybrid Initiative — The Override Principle</w:t>
      </w:r>
    </w:p>
    <w:p>
      <w:r>
        <w:t xml:space="preserve">Adaptive systems must never supersede user agency. While machine learning models should</w:t>
      </w:r>
    </w:p>
    <w:p>
      <w:r>
        <w:t xml:space="preserve">construct baseline contextual pages, the user must possess the ultimate authority to modify these</w:t>
      </w:r>
    </w:p>
    <w:p>
      <w:r>
        <w:t xml:space="preserve">spaces. Concretely, this means implementing robust drag-and-drop customisation, explicit folder</w:t>
      </w:r>
    </w:p>
    <w:p>
      <w:r>
        <w:t xml:space="preserve">creation, and the ability to permanently pin or banish applications from specific contextual states.</w:t>
      </w:r>
    </w:p>
    <w:p>
      <w:r>
        <w:t xml:space="preserve">Error recovery must be immediate and accessible: whenever the AI autonomously reorganises the</w:t>
      </w:r>
    </w:p>
    <w:p>
      <w:r>
        <w:t xml:space="preserve">interface, a temporary toast notification should appear offering a one-tap undo. This is not an optional</w:t>
      </w:r>
    </w:p>
    <w:p>
      <w:r>
        <w:t xml:space="preserve">enhancement but a prerequisite for adoption, as demonstrated by the universal Scenario 4 failure.</w:t>
      </w:r>
    </w:p>
    <w:p>
      <w:r>
        <w:t xml:space="preserve">This mandate is consistent with Horvitz’s mixed-initiative principles [6], and is directly supported</w:t>
      </w:r>
    </w:p>
    <w:p>
      <w:r>
        <w:t xml:space="preserve">by the universal Scenario 4 failure observed in this study, corroborating findings from Findlater and</w:t>
      </w:r>
    </w:p>
    <w:p>
      <w:r>
        <w:t xml:space="preserve">Gajos [1] and Gajos et al. [15] that adaptive systems without user override mechanisms reduce</w:t>
      </w:r>
    </w:p>
    <w:p>
      <w:r>
        <w:t xml:space="preserve">efficiency and satisfaction.</w:t>
      </w:r>
    </w:p>
    <w:p>
      <w:r>
        <w:t xml:space="preserve">7.2 Implement Macro-State Transitions Over Micro-Displacements</w:t>
      </w:r>
    </w:p>
    <w:p>
      <w:r>
        <w:t xml:space="preserve">Users struggle to adapt to interfaces where individual icons unpredictably shift within a single,</w:t>
      </w:r>
    </w:p>
    <w:p>
      <w:r>
        <w:t xml:space="preserve">static grid. To preserve spatial memory while leveraging context-awareness, adaptations should</w:t>
      </w:r>
    </w:p>
    <w:p>
      <w:r>
        <w:t xml:space="preserve">occur at the macro-level. The Contextual Page Model — grouping adaptive behaviours into distinct,</w:t>
      </w:r>
    </w:p>
    <w:p>
      <w:r>
        <w:t xml:space="preserve">easily identifiable spaces such as separate pages for Morning, Work, and Evening — allows users</w:t>
      </w:r>
    </w:p>
    <w:p>
      <w:r>
        <w:t xml:space="preserve">to build independent spatial maps for different contexts. This is directly supported by the 42%</w:t>
      </w:r>
    </w:p>
    <w:p>
      <w:r>
        <w:t xml:space="preserve">learning effect observed in this study, and is consistent with prior findings that macro-level interface</w:t>
      </w:r>
    </w:p>
    <w:p>
      <w:r>
        <w:t xml:space="preserve">structures preserve spatial memory more effectively than within-grid micro-adaptations [1, 8, 5].</w:t>
      </w:r>
    </w:p>
    <w:p>
      <w:r>
        <w:t xml:space="preserve">Critically, pages must be labelled with explicit text (Morning, Work, Evening) rather than abstract</w:t>
      </w:r>
    </w:p>
    <w:p>
      <w:r>
        <w:t xml:space="preserve">dot indicators; 83% of the participant cohort specifically requested this.</w:t>
      </w:r>
    </w:p>
    <w:p>
      <w:r>
        <w:t xml:space="preserve">7.3 Mandate Transparent AI Behaviours</w:t>
      </w:r>
    </w:p>
    <w:p>
      <w:r>
        <w:t xml:space="preserve">To build trust and mitigate automation surprise, the interface must explicitly communicate its</w:t>
      </w:r>
    </w:p>
    <w:p>
      <w:r>
        <w:t xml:space="preserve">predictive rationale to the user. Actionable UI interventions include subtle visual badges on</w:t>
      </w:r>
    </w:p>
    <w:p>
      <w:r>
        <w:t xml:space="preserve">dynamically promoted applications, optional tooltips or a centralised Adaptation History log</w:t>
      </w:r>
    </w:p>
    <w:p>
      <w:r>
        <w:t xml:space="preserve">explaining the data vectors driving the current UI configuration, and in-context notifications when</w:t>
      </w:r>
    </w:p>
    <w:p>
      <w:r>
        <w:t xml:space="preserve">the system transitions between states. The standard of transparency to aim for is not technical</w:t>
      </w:r>
    </w:p>
    <w:p>
      <w:r>
        <w:t xml:space="preserve">explainability — it is human-legible rationale: ‘Work Mode: your calendar shows a meeting soon.’</w:t>
      </w:r>
    </w:p>
    <w:p>
      <w:r>
        <w:t xml:space="preserve">— 26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Transparency transforms a seemingly random UI displacement into a logical, predictable system</w:t>
      </w:r>
    </w:p>
    <w:p>
      <w:r>
        <w:t xml:space="preserve">behaviour, directly calibrating user trust [15, 12].</w:t>
      </w:r>
    </w:p>
    <w:p>
      <w:r>
        <w:t xml:space="preserve">7.4 Design for Diverse Technical Literacies — The Onboarding Imperative</w:t>
      </w:r>
    </w:p>
    <w:p>
      <w:r>
        <w:t xml:space="preserve">The stark contrast in task completion rates between expert users (P03, P05, P09: near 100%</w:t>
      </w:r>
    </w:p>
    <w:p>
      <w:r>
        <w:t xml:space="preserve">unassisted) and novice users (P04: 29%, P07: ∼ 38% unassisted) underscores that adaptive interfaces</w:t>
      </w:r>
    </w:p>
    <w:p>
      <w:r>
        <w:t xml:space="preserve">disproportionately benefit those with high technical literacy. Novice users struggled to conceptualise</w:t>
      </w:r>
    </w:p>
    <w:p>
      <w:r>
        <w:t xml:space="preserve">the hidden multi-page navigation without explicit instruction. Do not rely solely on minimalist</w:t>
      </w:r>
    </w:p>
    <w:p>
      <w:r>
        <w:t xml:space="preserve">cues like dot indicators for macro-navigation. Implement explicit textual labels and a mandatory,</w:t>
      </w:r>
    </w:p>
    <w:p>
      <w:r>
        <w:t xml:space="preserve">interactive onboarding tutorial — 1 to 3 screens — demonstrating how context pages shift and how</w:t>
      </w:r>
    </w:p>
    <w:p>
      <w:r>
        <w:t xml:space="preserve">to override them. Progressive disclosure of adaptive features over the first week of use can reduce</w:t>
      </w:r>
    </w:p>
    <w:p>
      <w:r>
        <w:t xml:space="preserve">initial cognitive load.</w:t>
      </w:r>
    </w:p>
    <w:p>
      <w:r>
        <w:t xml:space="preserve">7.5 Privacy by Design — The On-Device Mandate</w:t>
      </w:r>
    </w:p>
    <w:p>
      <w:r>
        <w:t xml:space="preserve">To accurately predict user context, adaptive systems require access to sensitive data streams: lo-</w:t>
      </w:r>
    </w:p>
    <w:p>
      <w:r>
        <w:t xml:space="preserve">cation, temporal patterns, and app usage history. Participants across all technical proficiencies</w:t>
      </w:r>
    </w:p>
    <w:p>
      <w:r>
        <w:t xml:space="preserve">expressed significant privacy concerns. P06 explicitly highlighted HIPAA-adjacent considerations</w:t>
      </w:r>
    </w:p>
    <w:p>
      <w:r>
        <w:t xml:space="preserve">regarding behavioural tracking, while P07 voiced anxiety over potential advertiser access. Adap-</w:t>
      </w:r>
    </w:p>
    <w:p>
      <w:r>
        <w:t xml:space="preserve">tive app galleries must prioritise local, on-device machine learning over cloud-based processing.</w:t>
      </w:r>
    </w:p>
    <w:p>
      <w:r>
        <w:t xml:space="preserve">The interface must include a centralised Privacy Dashboard where users can view exactly what</w:t>
      </w:r>
    </w:p>
    <w:p>
      <w:r>
        <w:t xml:space="preserve">behavioural vectors the AI is currently tracking, with granular toggles to disable specific contextual</w:t>
      </w:r>
    </w:p>
    <w:p>
      <w:r>
        <w:t xml:space="preserve">triggers.</w:t>
      </w:r>
    </w:p>
    <w:p>
      <w:r>
        <w:t xml:space="preserve">8 Limitations and Threats to Validity</w:t>
      </w:r>
    </w:p>
    <w:p>
      <w:r>
        <w:t xml:space="preserve">8.1 The Wizard of Oz Constraint</w:t>
      </w:r>
    </w:p>
    <w:p>
      <w:r>
        <w:t xml:space="preserve">The most prominent limitation is the use of the Wizard of Oz testing methodology. The prototype</w:t>
      </w:r>
    </w:p>
    <w:p>
      <w:r>
        <w:t xml:space="preserve">did not utilise a live, backend machine-learning model. Instead, the moderator manually triggered</w:t>
      </w:r>
    </w:p>
    <w:p>
      <w:r>
        <w:t xml:space="preserve">contextual state changes based on predefined scenario scripts. This study therefore evaluated the</w:t>
      </w:r>
    </w:p>
    <w:p>
      <w:r>
        <w:t xml:space="preserve">user experience of the interface’s reaction to context changes, assuming 100% predictive accuracy</w:t>
      </w:r>
    </w:p>
    <w:p>
      <w:r>
        <w:t xml:space="preserve">— a threshold that real-world probabilistic algorithms rarely achieve. In live applications, predictive</w:t>
      </w:r>
    </w:p>
    <w:p>
      <w:r>
        <w:t xml:space="preserve">algorithms are prone to false positives (e.g., triggering Work Mode on a public holiday) and false</w:t>
      </w:r>
    </w:p>
    <w:p>
      <w:r>
        <w:t xml:space="preserve">negatives (e.g., failing to trigger Relax Mode due to anomalous location data) [5]. Future evaluations</w:t>
      </w:r>
    </w:p>
    <w:p>
      <w:r>
        <w:t xml:space="preserve">must integrate functioning on-device prediction models to assess user tolerance for varying rates of</w:t>
      </w:r>
    </w:p>
    <w:p>
      <w:r>
        <w:t xml:space="preserve">algorithmic inaccuracy over time.</w:t>
      </w:r>
    </w:p>
    <w:p>
      <w:r>
        <w:t xml:space="preserve">8.2 Sample Size and Generalisability</w:t>
      </w:r>
    </w:p>
    <w:p>
      <w:r>
        <w:t xml:space="preserve">The participant cohort ( N = 12 ) is sufficient for identifying major usability flaws and generating</w:t>
      </w:r>
    </w:p>
    <w:p>
      <w:r>
        <w:t xml:space="preserve">qualitative thematic insights, aligning with Nielsen’s assertion that five to eight users uncover</w:t>
      </w:r>
    </w:p>
    <w:p>
      <w:r>
        <w:t xml:space="preserve">— 27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the majority of severe usability problems [30]. However, the sample size restricts the statistical</w:t>
      </w:r>
    </w:p>
    <w:p>
      <w:r>
        <w:t xml:space="preserve">power of the quantitative metrics. The Wilcoxon signed-rank test reported in Section 5.2, while</w:t>
      </w:r>
    </w:p>
    <w:p>
      <w:r>
        <w:t xml:space="preserve">yielding a statistically significant result, should be interpreted with caution given that N = 12 limits</w:t>
      </w:r>
    </w:p>
    <w:p>
      <w:r>
        <w:t xml:space="preserve">generalisability. A larger, pre-registered study is needed to confirm these effects. Furthermore,</w:t>
      </w:r>
    </w:p>
    <w:p>
      <w:r>
        <w:t xml:space="preserve">while the cohort represented a broad age range, the study was conducted entirely within a specific</w:t>
      </w:r>
    </w:p>
    <w:p>
      <w:r>
        <w:t xml:space="preserve">geographic and cultural context (Rochester, NY, USA), limiting cross-cultural generalisability [31].</w:t>
      </w:r>
    </w:p>
    <w:p>
      <w:r>
        <w:t xml:space="preserve">8.3 Longitudinal Constraints</w:t>
      </w:r>
    </w:p>
    <w:p>
      <w:r>
        <w:t xml:space="preserve">Adaptive user interfaces inherently rely on longitudinal data collection to build accurate user profiles,</w:t>
      </w:r>
    </w:p>
    <w:p>
      <w:r>
        <w:t xml:space="preserve">and users simultaneously require extended exposure to build stable mental models of the adaptive</w:t>
      </w:r>
    </w:p>
    <w:p>
      <w:r>
        <w:t xml:space="preserve">system. This study evaluated initial impressions and short-term learnability within a confined 60–90</w:t>
      </w:r>
    </w:p>
    <w:p>
      <w:r>
        <w:t xml:space="preserve">minute session. P09 and P12 correctly noted a measurable learning effect over repeated accesses</w:t>
      </w:r>
    </w:p>
    <w:p>
      <w:r>
        <w:t xml:space="preserve">during the session; however, the study could not measure long-term habituation, structural spatial</w:t>
      </w:r>
    </w:p>
    <w:p>
      <w:r>
        <w:t xml:space="preserve">memory retention across weeks, or the potential for adaptive fatigue — a phenomenon where users</w:t>
      </w:r>
    </w:p>
    <w:p>
      <w:r>
        <w:t xml:space="preserve">eventually disable adaptive features because the cognitive cost of monitoring the AI outweighs the</w:t>
      </w:r>
    </w:p>
    <w:p>
      <w:r>
        <w:t xml:space="preserve">navigational benefits [32]. A true assessment of the Contextual Page Model’s efficacy requires a</w:t>
      </w:r>
    </w:p>
    <w:p>
      <w:r>
        <w:t xml:space="preserve">longitudinal deployment of four to eight weeks.</w:t>
      </w:r>
    </w:p>
    <w:p>
      <w:r>
        <w:t xml:space="preserve">8.4 Prototype Feature Completeness</w:t>
      </w:r>
    </w:p>
    <w:p>
      <w:r>
        <w:t xml:space="preserve">The prototype lacked the manual customisation layer — folder creation, drag-and-drop rearrange-</w:t>
      </w:r>
    </w:p>
    <w:p>
      <w:r>
        <w:t xml:space="preserve">ment, per-app pinning — that the study identified as a prerequisite for adoption. While this omission</w:t>
      </w:r>
    </w:p>
    <w:p>
      <w:r>
        <w:t xml:space="preserve">was a deliberate scope decision to focus evaluation on the adaptive features themselves, it means that</w:t>
      </w:r>
    </w:p>
    <w:p>
      <w:r>
        <w:t xml:space="preserve">Scenario 4 tested user expectations rather than a fully realised system. Future prototype iterations</w:t>
      </w:r>
    </w:p>
    <w:p>
      <w:r>
        <w:t xml:space="preserve">must implement the full hybrid initiative layer before the adaptive features can be evaluated in</w:t>
      </w:r>
    </w:p>
    <w:p>
      <w:r>
        <w:t xml:space="preserve">isolation.</w:t>
      </w:r>
    </w:p>
    <w:p>
      <w:r>
        <w:t xml:space="preserve">9 Future Work</w:t>
      </w:r>
    </w:p>
    <w:p>
      <w:r>
        <w:t xml:space="preserve">The findings of this initial usability evaluation establish a foundational framework for context-</w:t>
      </w:r>
    </w:p>
    <w:p>
      <w:r>
        <w:t xml:space="preserve">aware mobile app galleries and illuminate several critical pathways for future research. The most</w:t>
      </w:r>
    </w:p>
    <w:p>
      <w:r>
        <w:t xml:space="preserve">immediate priority is the development of a fully functional native launcher — an Android APK —</w:t>
      </w:r>
    </w:p>
    <w:p>
      <w:r>
        <w:t xml:space="preserve">integrated with local machine learning models such as TensorFlow Lite, deployed in a longitudinal</w:t>
      </w:r>
    </w:p>
    <w:p>
      <w:r>
        <w:t xml:space="preserve">in-the-wild diary study over four to eight weeks. This will allow measurement of true habituation</w:t>
      </w:r>
    </w:p>
    <w:p>
      <w:r>
        <w:t xml:space="preserve">rates and real-world tolerance for algorithmic mispredictions.</w:t>
      </w:r>
    </w:p>
    <w:p>
      <w:r>
        <w:t xml:space="preserve">As universally requested by participants, future iterations must prototype and evaluate specific</w:t>
      </w:r>
    </w:p>
    <w:p>
      <w:r>
        <w:t xml:space="preserve">Explainable AI UI patterns through A/B testing — comparing subtle visual badges, textual tooltips,</w:t>
      </w:r>
    </w:p>
    <w:p>
      <w:r>
        <w:t xml:space="preserve">and a centralised Adaptation Rationale Dashboard — to determine which approach optimally</w:t>
      </w:r>
    </w:p>
    <w:p>
      <w:r>
        <w:t xml:space="preserve">calibrates user trust without introducing visual clutter. P11’s feedback regarding deuteranopia</w:t>
      </w:r>
    </w:p>
    <w:p>
      <w:r>
        <w:t xml:space="preserve">highlighted a severe gap in how adaptive UI interventions are currently conceptualised; future</w:t>
      </w:r>
    </w:p>
    <w:p>
      <w:r>
        <w:t xml:space="preserve">— 28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research must prioritise inclusive design by testing multi-modal adaptive indicators combining</w:t>
      </w:r>
    </w:p>
    <w:p>
      <w:r>
        <w:t xml:space="preserve">shape, haptics, text, and colour.</w:t>
      </w:r>
    </w:p>
    <w:p>
      <w:r>
        <w:t xml:space="preserve">Future iterations should also explore federated context-awareness: if a user’s smartwatch detects</w:t>
      </w:r>
    </w:p>
    <w:p>
      <w:r>
        <w:t xml:space="preserve">sleep, the smartphone’s app gallery should preemptively lock into a Do Not Disturb state before the</w:t>
      </w:r>
    </w:p>
    <w:p>
      <w:r>
        <w:t xml:space="preserve">user even interacts with the screen. Cross-platform and cross-cultural studies are also necessary to</w:t>
      </w:r>
    </w:p>
    <w:p>
      <w:r>
        <w:t xml:space="preserve">assess how app usage patterns, privacy expectations, and attitudes toward AI vary across different</w:t>
      </w:r>
    </w:p>
    <w:p>
      <w:r>
        <w:t xml:space="preserve">demographic and cultural contexts.</w:t>
      </w:r>
    </w:p>
    <w:p>
      <w:r>
        <w:t xml:space="preserve">10 Conclusion</w:t>
      </w:r>
    </w:p>
    <w:p>
      <w:r>
        <w:t xml:space="preserve">As mobile applications continue to proliferate, the static, grid-based app gallery is rapidly becoming</w:t>
      </w:r>
    </w:p>
    <w:p>
      <w:r>
        <w:t xml:space="preserve">an architectural bottleneck, forcing users to carry the cognitive burden of sifting through digital</w:t>
      </w:r>
    </w:p>
    <w:p>
      <w:r>
        <w:t xml:space="preserve">clutter to find contextually relevant tools. In this Capstone project, I investigated the viability of</w:t>
      </w:r>
    </w:p>
    <w:p>
      <w:r>
        <w:t xml:space="preserve">an AI-Enhanced Context-Aware Adaptive App Gallery, proposing a novel Contextual Page Model</w:t>
      </w:r>
    </w:p>
    <w:p>
      <w:r>
        <w:t xml:space="preserve">that shifts the interface’s structural layout based on inferred user states: Neutral, Morning Routine,</w:t>
      </w:r>
    </w:p>
    <w:p>
      <w:r>
        <w:t xml:space="preserve">Work/Focus Mode, and Evening/Relax Mode.</w:t>
      </w:r>
    </w:p>
    <w:p>
      <w:r>
        <w:t xml:space="preserve">Through a two-phase mixed-methods study — six participatory design sessionsfollowed by scenario-</w:t>
      </w:r>
    </w:p>
    <w:p>
      <w:r>
        <w:t xml:space="preserve">based usability testing with twelve participants using a Wizard of Oz approach — I demonstrated</w:t>
      </w:r>
    </w:p>
    <w:p>
      <w:r>
        <w:t xml:space="preserve">that macro-level contextual adaptations can significantly reduce visual search times and improve</w:t>
      </w:r>
    </w:p>
    <w:p>
      <w:r>
        <w:t xml:space="preserve">retrieval efficiency. Participants expressed high subjective satisfaction with the system’s ability</w:t>
      </w:r>
    </w:p>
    <w:p>
      <w:r>
        <w:t xml:space="preserve">to proactively surface relevant applications (mean SUS: 74.5) and appreciated digital wellbeing</w:t>
      </w:r>
    </w:p>
    <w:p>
      <w:r>
        <w:t xml:space="preserve">interventions such as the visual muting of distracting apps during focus periods.</w:t>
      </w:r>
    </w:p>
    <w:p>
      <w:r>
        <w:t xml:space="preserve">However, the study also revealed a profound tension between predictive automation and user agency.</w:t>
      </w:r>
    </w:p>
    <w:p>
      <w:r>
        <w:t xml:space="preserve">The universal failure of participants to execute basic organisational tasks underscores a critical</w:t>
      </w:r>
    </w:p>
    <w:p>
      <w:r>
        <w:t xml:space="preserve">heuristic for modern OS design: users demand interface ownership. An adaptive system must not</w:t>
      </w:r>
    </w:p>
    <w:p>
      <w:r>
        <w:t xml:space="preserve">operate as an opaque, autonomous agent; it must function as a transparent, collaborative partner. To</w:t>
      </w:r>
    </w:p>
    <w:p>
      <w:r>
        <w:t xml:space="preserve">achieve mainstream user acceptance, probabilistic AI features must be wrapped in deterministic</w:t>
      </w:r>
    </w:p>
    <w:p>
      <w:r>
        <w:t xml:space="preserve">controls — explicit AI transparency, persistent fallback mechanisms, and absolute user authority to</w:t>
      </w:r>
    </w:p>
    <w:p>
      <w:r>
        <w:t xml:space="preserve">override, undo, and manually customise their digital environments. By bridging the gap between</w:t>
      </w:r>
    </w:p>
    <w:p>
      <w:r>
        <w:t xml:space="preserve">intelligent prediction and human agency, designers can create mobile interfaces that are not only</w:t>
      </w:r>
    </w:p>
    <w:p>
      <w:r>
        <w:t xml:space="preserve">dynamically efficient but also deeply empowering.</w:t>
      </w:r>
    </w:p>
    <w:p>
      <w:r>
        <w:t xml:space="preserve">Acknowledgments</w:t>
      </w:r>
    </w:p>
    <w:p>
      <w:r>
        <w:t xml:space="preserve">The author would like to extend deepest gratitude to the faculty of the Rochester Institute of</w:t>
      </w:r>
    </w:p>
    <w:p>
      <w:r>
        <w:t xml:space="preserve">Technology Human-Computer Interaction programme for their invaluable guidance throughout this</w:t>
      </w:r>
    </w:p>
    <w:p>
      <w:r>
        <w:t xml:space="preserve">Capstone project. Special thanks to Prof. Catherine Beaton and Prof. Garreth Tigwell for their</w:t>
      </w:r>
    </w:p>
    <w:p>
      <w:r>
        <w:t xml:space="preserve">mentorship, feedback, and unwavering support. Sincere gratitude is extended to the six design</w:t>
      </w:r>
    </w:p>
    <w:p>
      <w:r>
        <w:t xml:space="preserve">— 29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workshop participants and twelve usability study participants whose time, candid feedback, and</w:t>
      </w:r>
    </w:p>
    <w:p>
      <w:r>
        <w:t xml:space="preserve">creative engagement made this research possible. This research could not exist without their</w:t>
      </w:r>
    </w:p>
    <w:p>
      <w:r>
        <w:t xml:space="preserve">willingness to co-design the future of mobile interfaces.</w:t>
      </w:r>
    </w:p>
    <w:p>
      <w:r>
        <w:t xml:space="preserve">References</w:t>
      </w:r>
    </w:p>
    <w:p>
      <w:r>
        <w:t xml:space="preserve">[1] Leah Findlater and Krzysztof Z. Gajos. “Design Space and Evaluation Challenges of Adaptive</w:t>
      </w:r>
    </w:p>
    <w:p>
      <w:r>
        <w:t xml:space="preserve">Graphical User Interfaces”. In: AI Magazine 30.4 (2009), pp. 68–73. DOI : 10.1609/aimag.</w:t>
      </w:r>
    </w:p>
    <w:p>
      <w:r>
        <w:t xml:space="preserve">v30i4.2268 .</w:t>
      </w:r>
    </w:p>
    <w:p>
      <w:r>
        <w:t xml:space="preserve">[2] Matthias Böhmer, Brent Hecht, Johannes Schöning, Antonio Krüger, and Gernot Bauer.</w:t>
      </w:r>
    </w:p>
    <w:p>
      <w:r>
        <w:t xml:space="preserve">“Falling Asleep with Angry Birds, Facebook and Kindle: A Large Scale Study on Mobile Ap-</w:t>
      </w:r>
    </w:p>
    <w:p>
      <w:r>
        <w:t xml:space="preserve">plication Usage”. In: Proceedings of the 13th International Conference on Human Computer</w:t>
      </w:r>
    </w:p>
    <w:p>
      <w:r>
        <w:t xml:space="preserve">Interaction with Mobile Devices and Services (MobileHCI ’11) . ACM, 2011, pp. 47–56. DOI :</w:t>
      </w:r>
    </w:p>
    <w:p>
      <w:r>
        <w:t xml:space="preserve">10.1145/2037373.2037383 .</w:t>
      </w:r>
    </w:p>
    <w:p>
      <w:r>
        <w:t xml:space="preserve">[3] Matt Jones, George Buchanan, and Harold Thimbleby. “Improving Web Search on Small</w:t>
      </w:r>
    </w:p>
    <w:p>
      <w:r>
        <w:t xml:space="preserve">Screen Devices”. In: Interacting with Computers 15.4 (2003), pp. 479–495. DOI : 10.1016/</w:t>
      </w:r>
    </w:p>
    <w:p>
      <w:r>
        <w:t xml:space="preserve">S0953-5438(03)00036-5 .</w:t>
      </w:r>
    </w:p>
    <w:p>
      <w:r>
        <w:t xml:space="preserve">[4] Chad C. Tossell, Philip Kortum, Clayton W. Shepard, Ahmad Rahmati, and Lin Zhong.</w:t>
      </w:r>
    </w:p>
    <w:p>
      <w:r>
        <w:t xml:space="preserve">“Getting Real: A Naturalistic Methodology for Using Smartphones to Collect Mediated</w:t>
      </w:r>
    </w:p>
    <w:p>
      <w:r>
        <w:t xml:space="preserve">Communications”. In: Advances in Human-Computer Interaction 2012 (2012), p. 815972.</w:t>
      </w:r>
    </w:p>
    <w:p>
      <w:r>
        <w:t xml:space="preserve">DOI : 10.1155/2012/815972 .</w:t>
      </w:r>
    </w:p>
    <w:p>
      <w:r>
        <w:t xml:space="preserve">[5] Krzysztof Z. Gajos, Daniel S. Weld, and Jacob O. Wobbrock. “Automatically Generating</w:t>
      </w:r>
    </w:p>
    <w:p>
      <w:r>
        <w:t xml:space="preserve">Personalized User Interfaces with Supple”. In: Artificial Intelligence 174.12–13 (2010),</w:t>
      </w:r>
    </w:p>
    <w:p>
      <w:r>
        <w:t xml:space="preserve">pp. 910–950. DOI : 10.1016/j.artint.2010.05.005 .</w:t>
      </w:r>
    </w:p>
    <w:p>
      <w:r>
        <w:t xml:space="preserve">[6] Ricardo Baeza-Yates and Berthier Ribeiro-Neto. Modern Information Retrieval: The Con-</w:t>
      </w:r>
    </w:p>
    <w:p>
      <w:r>
        <w:t xml:space="preserve">cepts and Technology Behind Search . 2nd. Addison-Wesley Professional, 2011. ISBN : 978-0-</w:t>
      </w:r>
    </w:p>
    <w:p>
      <w:r>
        <w:t xml:space="preserve">321-41691-9.</w:t>
      </w:r>
    </w:p>
    <w:p>
      <w:r>
        <w:t xml:space="preserve">[7] Choonsung Shin, Jin-Hyuk Hong, and Anind K. Dey. “Understanding and Prediction of</w:t>
      </w:r>
    </w:p>
    <w:p>
      <w:r>
        <w:t xml:space="preserve">Mobile Application Usage for Smart Phones”. In: Proceedings of the 2012 ACM Conference</w:t>
      </w:r>
    </w:p>
    <w:p>
      <w:r>
        <w:t xml:space="preserve">on Ubiquitous Computing (UbiComp ’12) . ACM, 2012, pp. 173–182. DOI : 10 . 1145 /</w:t>
      </w:r>
    </w:p>
    <w:p>
      <w:r>
        <w:t xml:space="preserve">2370216.2370243 .</w:t>
      </w:r>
    </w:p>
    <w:p>
      <w:r>
        <w:t xml:space="preserve">[8] Andy Cockburn, Carl Gutwin, and Saul Greenberg. “A Predictive Model of Menu Perfor-</w:t>
      </w:r>
    </w:p>
    <w:p>
      <w:r>
        <w:t xml:space="preserve">mance”. In: Proceedings of the SIGCHI Conference on Human Factors in Computing Systems</w:t>
      </w:r>
    </w:p>
    <w:p>
      <w:r>
        <w:t xml:space="preserve">(CHI ’07) . ACM, 2007, pp. 627–636. DOI : 10.1145/1240624.1240723 .</w:t>
      </w:r>
    </w:p>
    <w:p>
      <w:r>
        <w:t xml:space="preserve">[9] Anind K. Dey. “Understanding and Using Context”. In: Personal and Ubiquitous Computing</w:t>
      </w:r>
    </w:p>
    <w:p>
      <w:r>
        <w:t xml:space="preserve">5.1 (2001), pp. 4–7. DOI : 10.1007/s007790170019 .</w:t>
      </w:r>
    </w:p>
    <w:p>
      <w:r>
        <w:t xml:space="preserve">[10] Eric Horvitz. “Principles of Mixed-Initiative User Interfaces”. In: Proceedings of the SIGCHI</w:t>
      </w:r>
    </w:p>
    <w:p>
      <w:r>
        <w:t xml:space="preserve">Conference on Human Factors in Computing Systems (CHI ’99) . ACM, 1999, pp. 159–166.</w:t>
      </w:r>
    </w:p>
    <w:p>
      <w:r>
        <w:t xml:space="preserve">DOI : 10.1145/302979.303030 .</w:t>
      </w:r>
    </w:p>
    <w:p>
      <w:r>
        <w:t xml:space="preserve">— 30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[11] Nadine B. Sarter, David D. Woods, and Charles E. Billings. “Automation Surprises”. In:</w:t>
      </w:r>
    </w:p>
    <w:p>
      <w:r>
        <w:t xml:space="preserve">Handbook of Human Factors and Ergonomics . Ed. by Gavriel Salvendy. 2nd. Wiley, 1997,</w:t>
      </w:r>
    </w:p>
    <w:p>
      <w:r>
        <w:t xml:space="preserve">pp. 1926–1943.</w:t>
      </w:r>
    </w:p>
    <w:p>
      <w:r>
        <w:t xml:space="preserve">[12] Henriette Cramer, Vanessa Evers, Satyan Ramlal, Maarten van Someren, Lloyd Rutledge,</w:t>
      </w:r>
    </w:p>
    <w:p>
      <w:r>
        <w:t xml:space="preserve">Natalia Stash, Lora Aroyo, and Bob Wielinga. “The Effects of Transparency on Trust in and</w:t>
      </w:r>
    </w:p>
    <w:p>
      <w:r>
        <w:t xml:space="preserve">Acceptance of a Content-Based Art Recommender”. In: User Modeling and User-Adapted</w:t>
      </w:r>
    </w:p>
    <w:p>
      <w:r>
        <w:t xml:space="preserve">Interaction 18.5 (2008), pp. 455–496. DOI : 10.1007/s11257-008-9051-3 .</w:t>
      </w:r>
    </w:p>
    <w:p>
      <w:r>
        <w:t xml:space="preserve">[13] Brian Y. Lim, Anind K. Dey, and Daniel Avrahami. “Why and Why Not Explanations</w:t>
      </w:r>
    </w:p>
    <w:p>
      <w:r>
        <w:t xml:space="preserve">Improve the Intelligibility of Context-Aware Intelligent Systems”. In: Proceedings of the</w:t>
      </w:r>
    </w:p>
    <w:p>
      <w:r>
        <w:t xml:space="preserve">SIGCHI Conference on Human Factors in Computing Systems (CHI ’09) . ACM, 2009,</w:t>
      </w:r>
    </w:p>
    <w:p>
      <w:r>
        <w:t xml:space="preserve">pp. 2119–2128. DOI : 10.1145/1518701.1519023 .</w:t>
      </w:r>
    </w:p>
    <w:p>
      <w:r>
        <w:t xml:space="preserve">[14] Andrea Bunt, Matthew Lount, and Catherine Lauzon. “Are Explanations Always Important?</w:t>
      </w:r>
    </w:p>
    <w:p>
      <w:r>
        <w:t xml:space="preserve">A Study of Deployed, Low-Cost Intelligent Interactive Systems”. In: Proceedings of the</w:t>
      </w:r>
    </w:p>
    <w:p>
      <w:r>
        <w:t xml:space="preserve">2012 ACM International Conference on Intelligent User Interfaces (IUI ’12) . ACM, 2012,</w:t>
      </w:r>
    </w:p>
    <w:p>
      <w:r>
        <w:t xml:space="preserve">pp. 169–178. DOI : 10.1145/2166966.2166996 .</w:t>
      </w:r>
    </w:p>
    <w:p>
      <w:r>
        <w:t xml:space="preserve">[15] Saleema Amershi, Dan Weld, Mihaela Vorvoreanu, Adam Fourney, Besmira Nushi, Penny</w:t>
      </w:r>
    </w:p>
    <w:p>
      <w:r>
        <w:t xml:space="preserve">Collisson, Jina Suh, Shamsi Iqbal, Paul N. Bennett, Kori Inkpen, Jaime Teevan, Ruth Kikin-</w:t>
      </w:r>
    </w:p>
    <w:p>
      <w:r>
        <w:t xml:space="preserve">Gil, and Eric Horvitz. “Guidelines for Human-AI Interaction”. In: Proceedings of the 2019</w:t>
      </w:r>
    </w:p>
    <w:p>
      <w:r>
        <w:t xml:space="preserve">CHI Conference on Human Factors in Computing Systems (CHI ’19) . ACM, 2019, pp. 1–13.</w:t>
      </w:r>
    </w:p>
    <w:p>
      <w:r>
        <w:t xml:space="preserve">DOI : 10.1145/3290605.3300233 .</w:t>
      </w:r>
    </w:p>
    <w:p>
      <w:r>
        <w:t xml:space="preserve">[16] Alexis Hiniker, Sungsoo Ray Hong, Tadayoshi Kohno, and Julie A. Kientz. “MyTime:</w:t>
      </w:r>
    </w:p>
    <w:p>
      <w:r>
        <w:t xml:space="preserve">Designing and Evaluating an Intervention for Smartphone Non-Use”. In: Proceedings of the</w:t>
      </w:r>
    </w:p>
    <w:p>
      <w:r>
        <w:t xml:space="preserve">2016 CHI Conference on Human Factors in Computing Systems (CHI ’16) . ACM, 2016,</w:t>
      </w:r>
    </w:p>
    <w:p>
      <w:r>
        <w:t xml:space="preserve">pp. 4746–4757. DOI : 10.1145/2858036.2858403 .</w:t>
      </w:r>
    </w:p>
    <w:p>
      <w:r>
        <w:t xml:space="preserve">[17] David R. Flatla and Carl Gutwin. ““So That’s What You See”: Building Understanding</w:t>
      </w:r>
    </w:p>
    <w:p>
      <w:r>
        <w:t xml:space="preserve">with Personalized Simulations of Colour Vision Deficiency”. In: Proceedings of the 14th</w:t>
      </w:r>
    </w:p>
    <w:p>
      <w:r>
        <w:t xml:space="preserve">International ACM SIGACCESS Conference on Computers and Accessibility (ASSETS ’12) .</w:t>
      </w:r>
    </w:p>
    <w:p>
      <w:r>
        <w:t xml:space="preserve">ACM, 2012, pp. 167–174. DOI : 10.1145/2384916.2384946 .</w:t>
      </w:r>
    </w:p>
    <w:p>
      <w:r>
        <w:t xml:space="preserve">[18] W3C. Web Content Accessibility Guidelines (WCAG) 2.1 . W3C Recommendation. Accessed</w:t>
      </w:r>
    </w:p>
    <w:p>
      <w:r>
        <w:t xml:space="preserve">April 2026. 2018. URL : https://www.w3.org/TR/WCAG21/ .</w:t>
      </w:r>
    </w:p>
    <w:p>
      <w:r>
        <w:t xml:space="preserve">[19] Apple Inc. Use Focus on iPhone . Apple Support Documentation. Accessed April 2026.</w:t>
      </w:r>
    </w:p>
    <w:p>
      <w:r>
        <w:t xml:space="preserve">2024. URL : https : / / support . apple . com / guide / iphone / set - up - a - focus -</w:t>
      </w:r>
    </w:p>
    <w:p>
      <w:r>
        <w:t xml:space="preserve">iph83f85c51a/ios .</w:t>
      </w:r>
    </w:p>
    <w:p>
      <w:r>
        <w:t xml:space="preserve">[20] Apple Inc. App Library on iPhone . Apple Support Documentation. Accessed April 2026.</w:t>
      </w:r>
    </w:p>
    <w:p>
      <w:r>
        <w:t xml:space="preserve">2024. URL : https://support.apple.com/guide/iphone/app-library-iph87abad19a/</w:t>
      </w:r>
    </w:p>
    <w:p>
      <w:r>
        <w:t xml:space="preserve">ios .</w:t>
      </w:r>
    </w:p>
    <w:p>
      <w:r>
        <w:t xml:space="preserve">[21] Ulrik Lyngs, Kai Lukoff, Petr Slovak, Reuben Binns, Adam Slack, Michael Inzlicht, Max</w:t>
      </w:r>
    </w:p>
    <w:p>
      <w:r>
        <w:t xml:space="preserve">Van Kleek, and Nigel Shadbolt. “Self-Control in Cyberspace: Applying Dual Systems Theory</w:t>
      </w:r>
    </w:p>
    <w:p>
      <w:r>
        <w:t xml:space="preserve">to a Review of Digital Self-Control Tools”. In: Proceedings of the 2019 CHI Conference on</w:t>
      </w:r>
    </w:p>
    <w:p>
      <w:r>
        <w:t xml:space="preserve">— 31 —</w:t>
      </w:r>
    </w:p>
    <w:p>
      <w:r>
        <w:br/>
        <w:t xml:space="preserve"/>
      </w:r>
    </w:p>
    <w:p>
      <w:r>
        <w:t xml:space="preserve">Adaptive AI-Enhanced Mobile App Gallery Haet Ranpariya — RIT MS HCI Capstone 2026</w:t>
      </w:r>
    </w:p>
    <w:p>
      <w:r>
        <w:t xml:space="preserve">Human Factors in Computing Systems (CHI ’19) . ACM, 2019, pp. 1–18. DOI : 10.1145/</w:t>
      </w:r>
    </w:p>
    <w:p>
      <w:r>
        <w:t xml:space="preserve">3290605.3300361 .</w:t>
      </w:r>
    </w:p>
    <w:p>
      <w:r>
        <w:t xml:space="preserve">[22] Louise Barkhuus and Anind K. Dey. “Is Context-Aware Computing Taking Control Away</w:t>
      </w:r>
    </w:p>
    <w:p>
      <w:r>
        <w:t xml:space="preserve">from the User? Three Levels of Interactivity Examined”. In: UbiComp 2003: Ubiquitous</w:t>
      </w:r>
    </w:p>
    <w:p>
      <w:r>
        <w:t xml:space="preserve">Computing. Lecture Notes in Computer Science, vol. 2864 . Springer, 2003, pp. 149–156. DOI :</w:t>
      </w:r>
    </w:p>
    <w:p>
      <w:r>
        <w:t xml:space="preserve">10.1007/978-3-540-39653-6_12 .</w:t>
      </w:r>
    </w:p>
    <w:p>
      <w:r>
        <w:t xml:space="preserve">[23] John Brooke. “SUS: A Quick and Dirty Usability Scale”. In: Usability Evaluation in Industry .</w:t>
      </w:r>
    </w:p>
    <w:p>
      <w:r>
        <w:t xml:space="preserve">Ed. by P. W. Jordan, B. Thomas, B. A. Weerdmeester, and I. L. McClelland. Taylor and</w:t>
      </w:r>
    </w:p>
    <w:p>
      <w:r>
        <w:t xml:space="preserve">Francis, 1996, pp. 189–194. DOI : 10.1201/9781498710411-35 .</w:t>
      </w:r>
    </w:p>
    <w:p>
      <w:r>
        <w:t xml:space="preserve">[24] K. Anders Ericsson and Herbert A. Simon. Protocol Analysis: Verbal Reports as Data . rev.</w:t>
      </w:r>
    </w:p>
    <w:p>
      <w:r>
        <w:t xml:space="preserve">MIT Press, 1993. DOI : 10.7551/mitpress/5657.001.0001 .</w:t>
      </w:r>
    </w:p>
    <w:p>
      <w:r>
        <w:t xml:space="preserve">[25] Jennifer Birch. “Worldwide Prevalence of Red-Green Color Deficiency”. In: Journal of the</w:t>
      </w:r>
    </w:p>
    <w:p>
      <w:r>
        <w:t xml:space="preserve">Optical Society of America A 29.3 (2012), pp. 313–320. DOI : 10.1364/JOSAA.29.000313 .</w:t>
      </w:r>
    </w:p>
    <w:p>
      <w:r>
        <w:t xml:space="preserve">[26] Jeff Sauro and James R. Lewis. Quantifying the User Experience: Practical Statistics for</w:t>
      </w:r>
    </w:p>
    <w:p>
      <w:r>
        <w:t xml:space="preserve">User Research . 2nd. Morgan Kaufmann, 2016. ISBN : 978-0-12-802308-2.</w:t>
      </w:r>
    </w:p>
    <w:p>
      <w:r>
        <w:t xml:space="preserve">[27] Noam Tractinsky, A. S. Katz, and D. Ikar. “What Is Beautiful Is Usable”. In: Interacting with</w:t>
      </w:r>
    </w:p>
    <w:p>
      <w:r>
        <w:t xml:space="preserve">Computers 13.2 (2000), pp. 127–145. DOI : 10.1016/S0953-5438(00)00031-X .</w:t>
      </w:r>
    </w:p>
    <w:p>
      <w:r>
        <w:t xml:space="preserve">[28] Rafal Kocielnik, Saleema Amershi, and Paul N. Bennett. “Will You Accept an Imperfect AI?</w:t>
      </w:r>
    </w:p>
    <w:p>
      <w:r>
        <w:t xml:space="preserve">Exploring Designs for Adjusting End-User Expectations of AI Systems”. In: Proceedings of</w:t>
      </w:r>
    </w:p>
    <w:p>
      <w:r>
        <w:t xml:space="preserve">the 2019 CHI Conference on Human Factors in Computing Systems (CHI ’19) . ACM, 2019,</w:t>
      </w:r>
    </w:p>
    <w:p>
      <w:r>
        <w:t xml:space="preserve">pp. 1–14. DOI : 10.1145/3290605.3300641 .</w:t>
      </w:r>
    </w:p>
    <w:p>
      <w:r>
        <w:t xml:space="preserve">[29] Todd Kulesza, Margaret Burnett, Weng-Keen Wong, and Simone Stumpf. “Principles of</w:t>
      </w:r>
    </w:p>
    <w:p>
      <w:r>
        <w:t xml:space="preserve">Explanatory Debugging to Personalize Interactive Machine Learning”. In: Proceedings of</w:t>
      </w:r>
    </w:p>
    <w:p>
      <w:r>
        <w:t xml:space="preserve">the 20th International Conference on Intelligent User Interfaces (IUI ’15) . ACM, 2015,</w:t>
      </w:r>
    </w:p>
    <w:p>
      <w:r>
        <w:t xml:space="preserve">pp. 126–137. DOI : 10.1145/2678025.2701399 .</w:t>
      </w:r>
    </w:p>
    <w:p>
      <w:r>
        <w:t xml:space="preserve">[30] Jakob Nielsen. Usability Engineering . Morgan Kaufmann, 1994. ISBN : 978-0-12-518406-9.</w:t>
      </w:r>
    </w:p>
    <w:p>
      <w:r>
        <w:t xml:space="preserve">DOI : 10.1016/C2009-0-21512-1 .</w:t>
      </w:r>
    </w:p>
    <w:p>
      <w:r>
        <w:t xml:space="preserve">[31] Steven Bellman, Eric J. Johnson, Susan J. Kobrin, and Gerald L. Lohse. “International</w:t>
      </w:r>
    </w:p>
    <w:p>
      <w:r>
        <w:t xml:space="preserve">Differences in Information Privacy Concerns: A Global Survey of Consumers”. In: The</w:t>
      </w:r>
    </w:p>
    <w:p>
      <w:r>
        <w:t xml:space="preserve">Information Society 20.5 (2004), pp. 313–324. DOI : 10.1080/01972240490507956 .</w:t>
      </w:r>
    </w:p>
    <w:p>
      <w:r>
        <w:t xml:space="preserve">[32] Krzysztof Z. Gajos, Mary Czerwinski, Desney S. Tan, and Daniel S. Weld. “Exploring</w:t>
      </w:r>
    </w:p>
    <w:p>
      <w:r>
        <w:t xml:space="preserve">the Design Space for Adaptive Graphical User Interfaces”. In: Proceedings of the Working</w:t>
      </w:r>
    </w:p>
    <w:p>
      <w:r>
        <w:t xml:space="preserve">Conference on Advanced Visual Interfaces (AVI ’06) . ACM, 2006, pp. 201–208. DOI : 10.</w:t>
      </w:r>
    </w:p>
    <w:p>
      <w:r>
        <w:t xml:space="preserve">1145/1133265.1133306 .</w:t>
      </w:r>
    </w:p>
    <w:p>
      <w:r>
        <w:t xml:space="preserve">— 32 —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2026-05-01T02:41:02.994Z</dcterms:created>
  <dcterms:modified xsi:type="dcterms:W3CDTF">2026-05-01T02:41:02.994Z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