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74982">
      <w:pPr>
        <w:ind w:left="0" w:leftChars="0" w:right="0" w:rightChars="0" w:firstLine="0" w:firstLineChars="0"/>
        <w:jc w:val="center"/>
        <w:rPr>
          <w:rFonts w:hint="eastAsia"/>
          <w:b/>
          <w:bCs/>
          <w:sz w:val="36"/>
          <w:szCs w:val="44"/>
          <w:lang w:val="en-US" w:eastAsia="zh-CN"/>
        </w:rPr>
      </w:pPr>
      <w:bookmarkStart w:id="0" w:name="_GoBack"/>
      <w:r>
        <w:rPr>
          <w:rFonts w:hint="eastAsia"/>
          <w:b/>
          <w:bCs/>
          <w:sz w:val="36"/>
          <w:szCs w:val="44"/>
          <w:lang w:val="en-US" w:eastAsia="zh-CN"/>
        </w:rPr>
        <w:t>抛开摩擦 元启新生</w:t>
      </w:r>
    </w:p>
    <w:p w14:paraId="0920B36F">
      <w:pPr>
        <w:ind w:left="0" w:leftChars="0" w:right="0" w:rightChars="0" w:firstLine="0" w:firstLineChars="0"/>
        <w:jc w:val="center"/>
        <w:rPr>
          <w:rFonts w:hint="default"/>
          <w:b/>
          <w:bCs/>
          <w:sz w:val="36"/>
          <w:szCs w:val="44"/>
          <w:lang w:val="en-US" w:eastAsia="zh-CN"/>
        </w:rPr>
      </w:pPr>
      <w:r>
        <w:rPr>
          <w:rFonts w:hint="eastAsia"/>
          <w:b/>
          <w:bCs/>
          <w:sz w:val="36"/>
          <w:szCs w:val="44"/>
          <w:lang w:val="en-US" w:eastAsia="zh-CN"/>
        </w:rPr>
        <w:t>——开元新能源科技发展（山东）有限公司  宣传片 策划</w:t>
      </w:r>
    </w:p>
    <w:bookmarkEnd w:id="0"/>
    <w:p w14:paraId="7FCB550B">
      <w:pPr>
        <w:rPr>
          <w:rFonts w:hint="eastAsia"/>
          <w:sz w:val="28"/>
          <w:szCs w:val="36"/>
          <w:lang w:val="en-US" w:eastAsia="zh-CN"/>
        </w:rPr>
      </w:pPr>
    </w:p>
    <w:p w14:paraId="55C90D5B">
      <w:pPr>
        <w:rPr>
          <w:rFonts w:hint="eastAsia"/>
          <w:sz w:val="28"/>
          <w:szCs w:val="36"/>
          <w:lang w:val="en-US" w:eastAsia="zh-CN"/>
        </w:rPr>
      </w:pPr>
    </w:p>
    <w:tbl>
      <w:tblPr>
        <w:tblStyle w:val="5"/>
        <w:tblW w:w="14536" w:type="dxa"/>
        <w:jc w:val="center"/>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Layout w:type="autofit"/>
        <w:tblCellMar>
          <w:top w:w="0" w:type="dxa"/>
          <w:left w:w="108" w:type="dxa"/>
          <w:bottom w:w="0" w:type="dxa"/>
          <w:right w:w="108" w:type="dxa"/>
        </w:tblCellMar>
      </w:tblPr>
      <w:tblGrid>
        <w:gridCol w:w="2009"/>
        <w:gridCol w:w="12527"/>
      </w:tblGrid>
      <w:tr w14:paraId="2F73599F">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14536" w:type="dxa"/>
            <w:gridSpan w:val="2"/>
            <w:tcBorders>
              <w:tl2br w:val="nil"/>
              <w:tr2bl w:val="nil"/>
            </w:tcBorders>
            <w:vAlign w:val="center"/>
          </w:tcPr>
          <w:p w14:paraId="3EC5880A">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一、创意阐释</w:t>
            </w:r>
          </w:p>
        </w:tc>
      </w:tr>
      <w:tr w14:paraId="3F6CBC8C">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14:paraId="1BC823DD">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结构</w:t>
            </w:r>
          </w:p>
        </w:tc>
        <w:tc>
          <w:tcPr>
            <w:tcW w:w="12527" w:type="dxa"/>
            <w:tcBorders>
              <w:tl2br w:val="nil"/>
              <w:tr2bl w:val="nil"/>
            </w:tcBorders>
            <w:vAlign w:val="center"/>
          </w:tcPr>
          <w:p w14:paraId="4DF2DA22">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内容</w:t>
            </w:r>
          </w:p>
        </w:tc>
      </w:tr>
      <w:tr w14:paraId="75CD335A">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14:paraId="3BA937CD">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片尾</w:t>
            </w:r>
          </w:p>
        </w:tc>
        <w:tc>
          <w:tcPr>
            <w:tcW w:w="12527" w:type="dxa"/>
            <w:tcBorders>
              <w:tl2br w:val="nil"/>
              <w:tr2bl w:val="nil"/>
            </w:tcBorders>
            <w:vAlign w:val="center"/>
          </w:tcPr>
          <w:p w14:paraId="7E463614">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“开启新纪元，润滑全世界”是开元已有宣传语，大气磅礴、志存高远，是基于准确的公司定位和美好的发展前景而发出的开元自我宣言，作为标准的 公司形象宣传语 ，放在开元宣传片的末尾，可以起到震撼的点题和印象植入的作用。</w:t>
            </w:r>
          </w:p>
        </w:tc>
      </w:tr>
      <w:tr w14:paraId="6B3C262B">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14:paraId="559F13BB">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片头</w:t>
            </w:r>
          </w:p>
        </w:tc>
        <w:tc>
          <w:tcPr>
            <w:tcW w:w="12527" w:type="dxa"/>
            <w:tcBorders>
              <w:tl2br w:val="nil"/>
              <w:tr2bl w:val="nil"/>
            </w:tcBorders>
            <w:vAlign w:val="center"/>
          </w:tcPr>
          <w:p w14:paraId="15813D7C">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另一方面，站在开元宣传片的受众视角考虑，产品的使用感受和效能体现，能以更亲切的方式快速拉近受众与公司的距离，以切身的情绪感染将公司的品牌优势和价值理念高效地传达给受众。</w:t>
            </w:r>
          </w:p>
          <w:p w14:paraId="7F92A941">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世界上最好的润滑油，莫过于能在使用后给予汽车新生般的顺滑体验。因此将“开元”拆释为“抛开摩擦，元启新生”并作为开元宣传片的开头和主题。前四字引出开元主要产品为润滑油，后四字塑造开元“赋予汽车全新生命”的企业灵魂和面向受众的企业形象。脱离宣传片，这八个字以后可以作为开元的 产品形象宣传语 。</w:t>
            </w:r>
          </w:p>
        </w:tc>
      </w:tr>
      <w:tr w14:paraId="0254B9E9">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14:paraId="360301DC">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 xml:space="preserve">核心 </w:t>
            </w:r>
          </w:p>
        </w:tc>
        <w:tc>
          <w:tcPr>
            <w:tcW w:w="12527" w:type="dxa"/>
            <w:tcBorders>
              <w:tl2br w:val="nil"/>
              <w:tr2bl w:val="nil"/>
            </w:tcBorders>
            <w:vAlign w:val="center"/>
          </w:tcPr>
          <w:p w14:paraId="737338F1">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本次宣传片，我们将通过“抛开摩擦，元启新生”的主题，向受众传达开元“科技型、技术派、现代化”的企业形象和“开元领先科技，赋予汽车全新生命”的品牌价值。同时，本片的主题“新生”与开元LOGO的绿色，以及公司由“埃萨”到“开元”的成长历程非常契合。</w:t>
            </w:r>
          </w:p>
        </w:tc>
      </w:tr>
      <w:tr w14:paraId="4901E972">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14536" w:type="dxa"/>
            <w:gridSpan w:val="2"/>
            <w:tcBorders>
              <w:tl2br w:val="nil"/>
              <w:tr2bl w:val="nil"/>
            </w:tcBorders>
            <w:vAlign w:val="center"/>
          </w:tcPr>
          <w:p w14:paraId="272798FD">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二、策划方案</w:t>
            </w:r>
          </w:p>
        </w:tc>
      </w:tr>
      <w:tr w14:paraId="740B1CFD">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14:paraId="6E6C67E8">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结构</w:t>
            </w:r>
          </w:p>
        </w:tc>
        <w:tc>
          <w:tcPr>
            <w:tcW w:w="12527" w:type="dxa"/>
            <w:tcBorders>
              <w:tl2br w:val="nil"/>
              <w:tr2bl w:val="nil"/>
            </w:tcBorders>
            <w:vAlign w:val="center"/>
          </w:tcPr>
          <w:p w14:paraId="1506B53E">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配音</w:t>
            </w:r>
          </w:p>
        </w:tc>
      </w:tr>
      <w:tr w14:paraId="30BDDECC">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14:paraId="6D79173D">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意象引入</w:t>
            </w:r>
          </w:p>
        </w:tc>
        <w:tc>
          <w:tcPr>
            <w:tcW w:w="12527" w:type="dxa"/>
            <w:tcBorders>
              <w:tl2br w:val="nil"/>
              <w:tr2bl w:val="nil"/>
            </w:tcBorders>
            <w:vAlign w:val="center"/>
          </w:tcPr>
          <w:p w14:paraId="705F8DA9">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光，赋能万物。</w:t>
            </w:r>
          </w:p>
          <w:p w14:paraId="2277C623">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水，滋养生命。</w:t>
            </w:r>
          </w:p>
          <w:p w14:paraId="2A5F74AA">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而我，润滑世界。</w:t>
            </w:r>
          </w:p>
          <w:p w14:paraId="662D9B38">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开元！</w:t>
            </w:r>
          </w:p>
          <w:p w14:paraId="301A9D7C">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抛开摩擦，元启新生。</w:t>
            </w:r>
          </w:p>
          <w:p w14:paraId="06D461B8">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开元领先科技，赋予汽车全新生命！</w:t>
            </w:r>
          </w:p>
          <w:p w14:paraId="21C9EF70">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我为汽车新生而来！</w:t>
            </w:r>
          </w:p>
        </w:tc>
      </w:tr>
      <w:tr w14:paraId="4270B0B3">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14:paraId="3D29BE89">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基本情况</w:t>
            </w:r>
          </w:p>
        </w:tc>
        <w:tc>
          <w:tcPr>
            <w:tcW w:w="12527" w:type="dxa"/>
            <w:tcBorders>
              <w:tl2br w:val="nil"/>
              <w:tr2bl w:val="nil"/>
            </w:tcBorders>
            <w:vAlign w:val="center"/>
          </w:tcPr>
          <w:p w14:paraId="5F749780">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作为汽车生命的重塑者，开元的前身为成立于2016年的山东埃萨润滑油，是一家专注于高端润滑油研发与生产的现代化高新科技企业。</w:t>
            </w:r>
          </w:p>
          <w:p w14:paraId="73792CD9">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公司坐落于山东潍坊滨海区先进制造化工产业园，占地260亩，总投资5亿元。综合楼6000m2，国家级实验室及技术研发中心6800m2。</w:t>
            </w:r>
          </w:p>
          <w:p w14:paraId="05C8C7E2">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开元拥有总面积8万m2的10个生产车间，包括润滑油防冻液调配、添加剂生产、汽车养护生产分装车间共7栋，纸制品印刷、包装吹塑、成品油存储车间各1栋，年产油能力40万吨，润滑油产能居国内前列，自动变速箱油产量全国第一！16个450吨的基础油储罐，26个25吨、5个40吨的调和油罐，以及198个35吨的成品油罐形成庞大的油品储运量，赋予了开元无与伦比的上游资源可控能力和成品油输出实力。</w:t>
            </w:r>
          </w:p>
        </w:tc>
      </w:tr>
      <w:tr w14:paraId="03CAE5BB">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14:paraId="54BA9ACB">
            <w:pPr>
              <w:snapToGrid w:val="0"/>
              <w:ind w:left="0" w:leftChars="0" w:right="0" w:rightChars="0" w:firstLine="0" w:firstLineChars="0"/>
              <w:jc w:val="center"/>
              <w:rPr>
                <w:rFonts w:hint="eastAsia"/>
                <w:b/>
                <w:sz w:val="28"/>
                <w:szCs w:val="36"/>
                <w:lang w:val="en-US" w:eastAsia="zh-CN"/>
              </w:rPr>
            </w:pPr>
            <w:r>
              <w:rPr>
                <w:rFonts w:hint="eastAsia"/>
                <w:b/>
                <w:sz w:val="28"/>
                <w:szCs w:val="36"/>
                <w:lang w:val="en-US" w:eastAsia="zh-CN"/>
              </w:rPr>
              <w:t>总</w:t>
            </w:r>
          </w:p>
        </w:tc>
        <w:tc>
          <w:tcPr>
            <w:tcW w:w="12527" w:type="dxa"/>
            <w:tcBorders>
              <w:tl2br w:val="nil"/>
              <w:tr2bl w:val="nil"/>
            </w:tcBorders>
            <w:vAlign w:val="center"/>
          </w:tcPr>
          <w:p w14:paraId="0D59334E">
            <w:pPr>
              <w:snapToGrid w:val="0"/>
              <w:ind w:left="0" w:leftChars="0" w:right="0" w:rightChars="0" w:firstLine="0" w:firstLineChars="0"/>
              <w:jc w:val="left"/>
              <w:rPr>
                <w:rFonts w:hint="eastAsia"/>
                <w:b/>
                <w:sz w:val="28"/>
                <w:szCs w:val="36"/>
                <w:lang w:val="en-US" w:eastAsia="zh-CN"/>
              </w:rPr>
            </w:pPr>
            <w:r>
              <w:rPr>
                <w:rFonts w:hint="eastAsia"/>
                <w:b/>
                <w:sz w:val="28"/>
                <w:szCs w:val="36"/>
                <w:lang w:val="en-US" w:eastAsia="zh-CN"/>
              </w:rPr>
              <w:t>凭借先进研发、强大产力、丰富品类、卓越品质、广阔辐射、专业售后6大优势，开元的企业实力不断壮大，品牌影响力不断攀升。</w:t>
            </w:r>
          </w:p>
        </w:tc>
      </w:tr>
      <w:tr w14:paraId="120DAE8D">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14:paraId="633CCDC5">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分1：</w:t>
            </w:r>
          </w:p>
          <w:p w14:paraId="38C3CE6A">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创新研发</w:t>
            </w:r>
          </w:p>
        </w:tc>
        <w:tc>
          <w:tcPr>
            <w:tcW w:w="12527" w:type="dxa"/>
            <w:tcBorders>
              <w:tl2br w:val="nil"/>
              <w:tr2bl w:val="nil"/>
            </w:tcBorders>
            <w:vAlign w:val="center"/>
          </w:tcPr>
          <w:p w14:paraId="7705FA64">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作为汽车生命的重塑者，开元以创新研发为企业之魂，斥资5000万元建成总面积达6800m2的国家级实验室及技术研发中心，配备高精尖研发、试制、分析检测类仪器和设备200余套，高水平行业领军人才20余人，在润滑抗摩、长效清洁等领域取得重大突破的同时，对每一滴出厂油精检精验，严格把控质量标准。实验室正致力于成为国内润滑油研究的知名机构、润滑油探索与技术创新的智力高地和优秀润滑油人才培养的重要基地。</w:t>
            </w:r>
          </w:p>
        </w:tc>
      </w:tr>
      <w:tr w14:paraId="0798527A">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14:paraId="0A54BA8C">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分2：</w:t>
            </w:r>
          </w:p>
          <w:p w14:paraId="27B7FCA4">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科技智造</w:t>
            </w:r>
          </w:p>
        </w:tc>
        <w:tc>
          <w:tcPr>
            <w:tcW w:w="12527" w:type="dxa"/>
            <w:tcBorders>
              <w:tl2br w:val="nil"/>
              <w:tr2bl w:val="nil"/>
            </w:tcBorders>
            <w:vAlign w:val="center"/>
          </w:tcPr>
          <w:p w14:paraId="1CA3F1C8">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作为汽车生命的重塑者，开元以科技智造为企业之骨，通过全自动智能系统，对润滑油的生产调和、理瓶贴标、灌装传送、旋盖称重、封箱码垛、包装出库的全过程进行中央集成管控和智能化运营，以在线检测、实时修正实现产品的稳定一致和卓越品质。同时，配套的纸制品印刷车间和包装吹塑车间，让开元完全实现产品包装的自产自用。</w:t>
            </w:r>
          </w:p>
        </w:tc>
      </w:tr>
      <w:tr w14:paraId="6F120214">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14:paraId="1F5E2273">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分3：</w:t>
            </w:r>
          </w:p>
          <w:p w14:paraId="3A34F757">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卓越品质、丰富品类、广阔辐射</w:t>
            </w:r>
          </w:p>
        </w:tc>
        <w:tc>
          <w:tcPr>
            <w:tcW w:w="12527" w:type="dxa"/>
            <w:tcBorders>
              <w:tl2br w:val="nil"/>
              <w:tr2bl w:val="nil"/>
            </w:tcBorders>
            <w:vAlign w:val="center"/>
          </w:tcPr>
          <w:p w14:paraId="179A3658">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作为汽车生命的重塑者，开元以卓越品质和丰富品类形成广阔辐射。开元高端润滑油涵盖车用、工业、工程机械、船用等多个领域，从轿车货车到工程用车，从重载设备到工业机床，从游艇赛船到远洋货轮，提供全方位润滑方案。开元与国内外各大公司展开OEM深入合作，拥有62个国内联盟品牌、4个自有品牌和2个美国百年企业品牌，为共计68个品牌提供生产和代工服务，业务合作商遍及全国各省达2000余家，成为万千车主的信赖之选。从高寒雪原到干热沙漠、从潮湿沼泽到颠簸山路，从越野探险到都市休闲，都离不开开元润滑油的可靠守护。</w:t>
            </w:r>
          </w:p>
        </w:tc>
      </w:tr>
      <w:tr w14:paraId="78BFF902">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0" w:type="auto"/>
            <w:tcBorders>
              <w:tl2br w:val="nil"/>
              <w:tr2bl w:val="nil"/>
            </w:tcBorders>
            <w:vAlign w:val="center"/>
          </w:tcPr>
          <w:p w14:paraId="4CBAA6D2">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温情攻势</w:t>
            </w:r>
          </w:p>
        </w:tc>
        <w:tc>
          <w:tcPr>
            <w:tcW w:w="12527" w:type="dxa"/>
            <w:tcBorders>
              <w:tl2br w:val="nil"/>
              <w:tr2bl w:val="nil"/>
            </w:tcBorders>
            <w:vAlign w:val="center"/>
          </w:tcPr>
          <w:p w14:paraId="2F8559E1">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从前，信任是父亲有力的双手。</w:t>
            </w:r>
          </w:p>
          <w:p w14:paraId="057ED7AB">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后来，信任是伴侣温暖的陪伴。</w:t>
            </w:r>
          </w:p>
          <w:p w14:paraId="221F8354">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而现在，信任是极致的润滑顺畅！</w:t>
            </w:r>
          </w:p>
          <w:p w14:paraId="1E0F9905">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抛开摩擦，元启新生。</w:t>
            </w:r>
          </w:p>
          <w:p w14:paraId="0B2A1890">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开元！</w:t>
            </w:r>
          </w:p>
        </w:tc>
      </w:tr>
      <w:tr w14:paraId="002A0D78">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0" w:hRule="atLeast"/>
          <w:jc w:val="center"/>
        </w:trPr>
        <w:tc>
          <w:tcPr>
            <w:tcW w:w="2009" w:type="dxa"/>
            <w:tcBorders>
              <w:tl2br w:val="nil"/>
              <w:tr2bl w:val="nil"/>
            </w:tcBorders>
            <w:vAlign w:val="center"/>
          </w:tcPr>
          <w:p w14:paraId="2AB6CBA4">
            <w:pPr>
              <w:snapToGrid w:val="0"/>
              <w:ind w:left="0" w:leftChars="0" w:right="0" w:rightChars="0" w:firstLine="0" w:firstLineChars="0"/>
              <w:jc w:val="center"/>
              <w:rPr>
                <w:rFonts w:hint="eastAsia"/>
                <w:sz w:val="28"/>
                <w:szCs w:val="36"/>
                <w:lang w:val="en-US" w:eastAsia="zh-CN"/>
              </w:rPr>
            </w:pPr>
            <w:r>
              <w:rPr>
                <w:rFonts w:hint="eastAsia"/>
                <w:sz w:val="28"/>
                <w:szCs w:val="36"/>
                <w:lang w:val="en-US" w:eastAsia="zh-CN"/>
              </w:rPr>
              <w:t>印象植入</w:t>
            </w:r>
          </w:p>
        </w:tc>
        <w:tc>
          <w:tcPr>
            <w:tcW w:w="12527" w:type="dxa"/>
            <w:tcBorders>
              <w:tl2br w:val="nil"/>
              <w:tr2bl w:val="nil"/>
            </w:tcBorders>
            <w:vAlign w:val="center"/>
          </w:tcPr>
          <w:p w14:paraId="66D47C7B">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以匠心塑造企业口碑，以科技铸造产品高度，以服务成就品牌巅峰。开元正搭乘时代东风，向着更高、更远的目标昂扬进发。</w:t>
            </w:r>
          </w:p>
          <w:p w14:paraId="6922BFC4">
            <w:pPr>
              <w:snapToGrid w:val="0"/>
              <w:ind w:left="0" w:leftChars="0" w:right="0" w:rightChars="0" w:firstLine="0" w:firstLineChars="0"/>
              <w:jc w:val="left"/>
              <w:rPr>
                <w:rFonts w:hint="eastAsia"/>
                <w:sz w:val="28"/>
                <w:szCs w:val="36"/>
                <w:lang w:val="en-US" w:eastAsia="zh-CN"/>
              </w:rPr>
            </w:pPr>
            <w:r>
              <w:rPr>
                <w:rFonts w:hint="eastAsia"/>
                <w:sz w:val="28"/>
                <w:szCs w:val="36"/>
                <w:lang w:val="en-US" w:eastAsia="zh-CN"/>
              </w:rPr>
              <w:t>开启新纪元，润滑全世界。</w:t>
            </w:r>
          </w:p>
        </w:tc>
      </w:tr>
    </w:tbl>
    <w:p w14:paraId="17E1AE75">
      <w:pPr>
        <w:ind w:left="0" w:leftChars="0" w:right="0" w:rightChars="0" w:firstLine="0" w:firstLineChars="0"/>
        <w:jc w:val="center"/>
        <w:rPr>
          <w:rFonts w:hint="eastAsia"/>
          <w:b/>
          <w:bCs/>
          <w:sz w:val="36"/>
          <w:szCs w:val="44"/>
          <w:lang w:val="en-US" w:eastAsia="zh-CN"/>
        </w:rPr>
      </w:pPr>
    </w:p>
    <w:p w14:paraId="7EAACD0B">
      <w:pPr>
        <w:rPr>
          <w:rFonts w:hint="eastAsia"/>
          <w:sz w:val="28"/>
          <w:szCs w:val="36"/>
          <w:lang w:val="en-US" w:eastAsia="zh-CN"/>
        </w:rPr>
      </w:pPr>
    </w:p>
    <w:p w14:paraId="508FB2C7">
      <w:pPr>
        <w:rPr>
          <w:rFonts w:hint="eastAsia"/>
          <w:sz w:val="28"/>
          <w:szCs w:val="36"/>
          <w:lang w:val="en-US" w:eastAsia="zh-CN"/>
        </w:rPr>
      </w:pPr>
    </w:p>
    <w:sectPr>
      <w:footerReference r:id="rId3" w:type="default"/>
      <w:pgSz w:w="16838" w:h="11906" w:orient="landscape"/>
      <w:pgMar w:top="1446" w:right="1259" w:bottom="1446" w:left="1259"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5F52A">
    <w:pPr>
      <w:pStyle w:val="2"/>
    </w:pPr>
    <w:r>
      <w:rPr>
        <w:sz w:val="18"/>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66DB2E34">
                          <w:pPr>
                            <w:pStyle w:val="2"/>
                            <w:rPr>
                              <w:rFonts w:hint="eastAsia" w:ascii="微软雅黑" w:hAnsi="微软雅黑" w:eastAsia="微软雅黑" w:cs="微软雅黑"/>
                              <w:b w:val="0"/>
                              <w:bCs w:val="0"/>
                              <w:color w:val="auto"/>
                            </w:rPr>
                          </w:pPr>
                          <w:r>
                            <w:rPr>
                              <w:rFonts w:hint="eastAsia" w:ascii="微软雅黑" w:hAnsi="微软雅黑" w:eastAsia="微软雅黑" w:cs="微软雅黑"/>
                              <w:b w:val="0"/>
                              <w:bCs w:val="0"/>
                              <w:color w:val="auto"/>
                            </w:rPr>
                            <w:t xml:space="preserve">第 </w:t>
                          </w:r>
                          <w:r>
                            <w:rPr>
                              <w:rFonts w:hint="eastAsia" w:ascii="微软雅黑" w:hAnsi="微软雅黑" w:eastAsia="微软雅黑" w:cs="微软雅黑"/>
                              <w:b w:val="0"/>
                              <w:bCs w:val="0"/>
                              <w:color w:val="auto"/>
                            </w:rPr>
                            <w:fldChar w:fldCharType="begin"/>
                          </w:r>
                          <w:r>
                            <w:rPr>
                              <w:rFonts w:hint="eastAsia" w:ascii="微软雅黑" w:hAnsi="微软雅黑" w:eastAsia="微软雅黑" w:cs="微软雅黑"/>
                              <w:b w:val="0"/>
                              <w:bCs w:val="0"/>
                              <w:color w:val="auto"/>
                            </w:rPr>
                            <w:instrText xml:space="preserve"> PAGE  \* MERGEFORMAT </w:instrText>
                          </w:r>
                          <w:r>
                            <w:rPr>
                              <w:rFonts w:hint="eastAsia" w:ascii="微软雅黑" w:hAnsi="微软雅黑" w:eastAsia="微软雅黑" w:cs="微软雅黑"/>
                              <w:b w:val="0"/>
                              <w:bCs w:val="0"/>
                              <w:color w:val="auto"/>
                            </w:rPr>
                            <w:fldChar w:fldCharType="separate"/>
                          </w:r>
                          <w:r>
                            <w:rPr>
                              <w:rFonts w:hint="eastAsia" w:ascii="微软雅黑" w:hAnsi="微软雅黑" w:eastAsia="微软雅黑" w:cs="微软雅黑"/>
                              <w:b w:val="0"/>
                              <w:bCs w:val="0"/>
                              <w:color w:val="auto"/>
                            </w:rPr>
                            <w:t>1</w:t>
                          </w:r>
                          <w:r>
                            <w:rPr>
                              <w:rFonts w:hint="eastAsia" w:ascii="微软雅黑" w:hAnsi="微软雅黑" w:eastAsia="微软雅黑" w:cs="微软雅黑"/>
                              <w:b w:val="0"/>
                              <w:bCs w:val="0"/>
                              <w:color w:val="auto"/>
                            </w:rPr>
                            <w:fldChar w:fldCharType="end"/>
                          </w:r>
                          <w:r>
                            <w:rPr>
                              <w:rFonts w:hint="eastAsia" w:ascii="微软雅黑" w:hAnsi="微软雅黑" w:eastAsia="微软雅黑" w:cs="微软雅黑"/>
                              <w:b w:val="0"/>
                              <w:bCs w:val="0"/>
                              <w:color w:val="auto"/>
                            </w:rPr>
                            <w:t xml:space="preserve"> 页 共 </w:t>
                          </w:r>
                          <w:r>
                            <w:rPr>
                              <w:rFonts w:hint="eastAsia" w:ascii="微软雅黑" w:hAnsi="微软雅黑" w:eastAsia="微软雅黑" w:cs="微软雅黑"/>
                              <w:b w:val="0"/>
                              <w:bCs w:val="0"/>
                              <w:color w:val="auto"/>
                              <w:lang w:val="en-US" w:eastAsia="zh-CN"/>
                            </w:rPr>
                            <w:t>3</w:t>
                          </w:r>
                          <w:r>
                            <w:rPr>
                              <w:rFonts w:hint="eastAsia" w:ascii="微软雅黑" w:hAnsi="微软雅黑" w:eastAsia="微软雅黑" w:cs="微软雅黑"/>
                              <w:b w:val="0"/>
                              <w:bCs w:val="0"/>
                              <w:color w:val="auto"/>
                            </w:rPr>
                            <w:t>页</w:t>
                          </w:r>
                        </w:p>
                      </w:txbxContent>
                    </wps:txbx>
                    <wps:bodyPr vert="horz" wrap="none" lIns="0" tIns="0" rIns="0" bIns="0" anchor="t" upright="0">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ySV/7SAQAAn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8jZMYA+dHmSEg0Mb4+RqGSeqfHYbeJDz5aVTiOW5uLvPJ96+K22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5dblS0AAAAAUBAAAPAAAAAAAAAAEAIAAAACIAAABkcnMv&#10;ZG93bnJldi54bWxQSwECFAAUAAAACACHTuJATJJX/tIBAACeAwAADgAAAAAAAAABACAAAAAfAQAA&#10;ZHJzL2Uyb0RvYy54bWxQSwUGAAAAAAYABgBZAQAAYwUAAAAA&#10;">
              <v:fill on="f" focussize="0,0"/>
              <v:stroke on="f"/>
              <v:imagedata o:title=""/>
              <o:lock v:ext="edit" aspectratio="f"/>
              <v:textbox inset="0mm,0mm,0mm,0mm" style="mso-fit-shape-to-text:t;">
                <w:txbxContent>
                  <w:p w14:paraId="66DB2E34">
                    <w:pPr>
                      <w:pStyle w:val="2"/>
                      <w:rPr>
                        <w:rFonts w:hint="eastAsia" w:ascii="微软雅黑" w:hAnsi="微软雅黑" w:eastAsia="微软雅黑" w:cs="微软雅黑"/>
                        <w:b w:val="0"/>
                        <w:bCs w:val="0"/>
                        <w:color w:val="auto"/>
                      </w:rPr>
                    </w:pPr>
                    <w:r>
                      <w:rPr>
                        <w:rFonts w:hint="eastAsia" w:ascii="微软雅黑" w:hAnsi="微软雅黑" w:eastAsia="微软雅黑" w:cs="微软雅黑"/>
                        <w:b w:val="0"/>
                        <w:bCs w:val="0"/>
                        <w:color w:val="auto"/>
                      </w:rPr>
                      <w:t xml:space="preserve">第 </w:t>
                    </w:r>
                    <w:r>
                      <w:rPr>
                        <w:rFonts w:hint="eastAsia" w:ascii="微软雅黑" w:hAnsi="微软雅黑" w:eastAsia="微软雅黑" w:cs="微软雅黑"/>
                        <w:b w:val="0"/>
                        <w:bCs w:val="0"/>
                        <w:color w:val="auto"/>
                      </w:rPr>
                      <w:fldChar w:fldCharType="begin"/>
                    </w:r>
                    <w:r>
                      <w:rPr>
                        <w:rFonts w:hint="eastAsia" w:ascii="微软雅黑" w:hAnsi="微软雅黑" w:eastAsia="微软雅黑" w:cs="微软雅黑"/>
                        <w:b w:val="0"/>
                        <w:bCs w:val="0"/>
                        <w:color w:val="auto"/>
                      </w:rPr>
                      <w:instrText xml:space="preserve"> PAGE  \* MERGEFORMAT </w:instrText>
                    </w:r>
                    <w:r>
                      <w:rPr>
                        <w:rFonts w:hint="eastAsia" w:ascii="微软雅黑" w:hAnsi="微软雅黑" w:eastAsia="微软雅黑" w:cs="微软雅黑"/>
                        <w:b w:val="0"/>
                        <w:bCs w:val="0"/>
                        <w:color w:val="auto"/>
                      </w:rPr>
                      <w:fldChar w:fldCharType="separate"/>
                    </w:r>
                    <w:r>
                      <w:rPr>
                        <w:rFonts w:hint="eastAsia" w:ascii="微软雅黑" w:hAnsi="微软雅黑" w:eastAsia="微软雅黑" w:cs="微软雅黑"/>
                        <w:b w:val="0"/>
                        <w:bCs w:val="0"/>
                        <w:color w:val="auto"/>
                      </w:rPr>
                      <w:t>1</w:t>
                    </w:r>
                    <w:r>
                      <w:rPr>
                        <w:rFonts w:hint="eastAsia" w:ascii="微软雅黑" w:hAnsi="微软雅黑" w:eastAsia="微软雅黑" w:cs="微软雅黑"/>
                        <w:b w:val="0"/>
                        <w:bCs w:val="0"/>
                        <w:color w:val="auto"/>
                      </w:rPr>
                      <w:fldChar w:fldCharType="end"/>
                    </w:r>
                    <w:r>
                      <w:rPr>
                        <w:rFonts w:hint="eastAsia" w:ascii="微软雅黑" w:hAnsi="微软雅黑" w:eastAsia="微软雅黑" w:cs="微软雅黑"/>
                        <w:b w:val="0"/>
                        <w:bCs w:val="0"/>
                        <w:color w:val="auto"/>
                      </w:rPr>
                      <w:t xml:space="preserve"> 页 共 </w:t>
                    </w:r>
                    <w:r>
                      <w:rPr>
                        <w:rFonts w:hint="eastAsia" w:ascii="微软雅黑" w:hAnsi="微软雅黑" w:eastAsia="微软雅黑" w:cs="微软雅黑"/>
                        <w:b w:val="0"/>
                        <w:bCs w:val="0"/>
                        <w:color w:val="auto"/>
                        <w:lang w:val="en-US" w:eastAsia="zh-CN"/>
                      </w:rPr>
                      <w:t>3</w:t>
                    </w:r>
                    <w:r>
                      <w:rPr>
                        <w:rFonts w:hint="eastAsia" w:ascii="微软雅黑" w:hAnsi="微软雅黑" w:eastAsia="微软雅黑" w:cs="微软雅黑"/>
                        <w:b w:val="0"/>
                        <w:bCs w:val="0"/>
                        <w:color w:val="auto"/>
                      </w:rPr>
                      <w:t>页</w:t>
                    </w:r>
                  </w:p>
                </w:txbxContent>
              </v:textbox>
            </v:rect>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540D84"/>
    <w:rsid w:val="32FD1212"/>
    <w:rsid w:val="59F4633A"/>
    <w:rsid w:val="5B832A48"/>
    <w:rsid w:val="5BEA4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6">
    <w:name w:val="Default Paragraph Font"/>
    <w:qFormat/>
    <w:uiPriority w:val="0"/>
  </w:style>
  <w:style w:type="table" w:default="1" w:styleId="4">
    <w:name w:val="Normal Table"/>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E0E0E0"/>
      </a:dk1>
      <a:lt1>
        <a:sysClr val="window" lastClr="20202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1668</Words>
  <Characters>1716</Characters>
  <Paragraphs>82</Paragraphs>
  <TotalTime>11</TotalTime>
  <ScaleCrop>false</ScaleCrop>
  <LinksUpToDate>false</LinksUpToDate>
  <CharactersWithSpaces>1726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2023-06-21T01:02:00Z</dcterms:created>
  <dc:creator>Administrator</dc:creator>
  <cp:lastModifiedBy>小税</cp:lastModifiedBy>
  <dcterms:modified xsi:type="dcterms:W3CDTF">2026-03-25T01:59:07Z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cdcef527b46b4a0cbd4faad6b6c7b4bf_23</vt:lpwstr>
  </property>
  <property fmtid="{D5CDD505-2E9C-101B-9397-08002B2CF9AE}" pid="4" name="KSOTemplateDocerSaveRecord">
    <vt:lpwstr>eyJoZGlkIjoiYzYxOTNkYTc4YmEyNDNjZDM4NjdmNzExYTU2ZjAwZTgiLCJ1c2VySWQiOiIxMTIyNDA3ODcyIn0=</vt:lpwstr>
  </property>
</Properties>
</file>