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4EA" w:rsidRPr="009D1606" w:rsidRDefault="003154EA" w:rsidP="004D3D9D">
      <w:pPr>
        <w:spacing w:after="0"/>
        <w:jc w:val="center"/>
        <w:rPr>
          <w:rFonts w:ascii="Times New Roman" w:eastAsiaTheme="minorEastAsia" w:hAnsi="Times New Roman" w:cs="Times New Roman"/>
          <w:b/>
          <w:color w:val="000000" w:themeColor="text1"/>
          <w:kern w:val="24"/>
        </w:rPr>
      </w:pPr>
      <w:r w:rsidRPr="009D1606">
        <w:rPr>
          <w:rFonts w:ascii="Times New Roman" w:eastAsiaTheme="minorEastAsia" w:hAnsi="Times New Roman" w:cs="Times New Roman"/>
          <w:b/>
          <w:color w:val="000000" w:themeColor="text1"/>
          <w:kern w:val="24"/>
        </w:rPr>
        <w:t>Biological Measurements for LTAR Network</w:t>
      </w:r>
    </w:p>
    <w:p w:rsidR="006B11C4" w:rsidRDefault="006B11C4" w:rsidP="004D3D9D">
      <w:pPr>
        <w:spacing w:after="0"/>
        <w:rPr>
          <w:rFonts w:ascii="Times New Roman" w:eastAsiaTheme="minorEastAsia" w:hAnsi="Times New Roman" w:cs="Times New Roman"/>
          <w:color w:val="000000" w:themeColor="text1"/>
          <w:kern w:val="24"/>
        </w:rPr>
      </w:pPr>
    </w:p>
    <w:p w:rsidR="003154EA" w:rsidRPr="00060CA6" w:rsidRDefault="003154EA" w:rsidP="004D3D9D">
      <w:pPr>
        <w:spacing w:after="0"/>
        <w:rPr>
          <w:rFonts w:ascii="Times New Roman" w:eastAsiaTheme="minorEastAsia" w:hAnsi="Times New Roman" w:cs="Times New Roman"/>
          <w:color w:val="000000" w:themeColor="text1"/>
          <w:kern w:val="24"/>
        </w:rPr>
      </w:pPr>
      <w:r w:rsidRPr="00060CA6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Committee Leaders:  Betsey </w:t>
      </w:r>
      <w:proofErr w:type="spellStart"/>
      <w:r w:rsidRPr="00060CA6">
        <w:rPr>
          <w:rFonts w:ascii="Times New Roman" w:eastAsiaTheme="minorEastAsia" w:hAnsi="Times New Roman" w:cs="Times New Roman"/>
          <w:color w:val="000000" w:themeColor="text1"/>
          <w:kern w:val="24"/>
        </w:rPr>
        <w:t>Boughton</w:t>
      </w:r>
      <w:proofErr w:type="spellEnd"/>
      <w:r w:rsidRPr="00060CA6">
        <w:rPr>
          <w:rFonts w:ascii="Times New Roman" w:eastAsiaTheme="minorEastAsia" w:hAnsi="Times New Roman" w:cs="Times New Roman"/>
          <w:color w:val="000000" w:themeColor="text1"/>
          <w:kern w:val="24"/>
        </w:rPr>
        <w:t>, David Augustine</w:t>
      </w:r>
    </w:p>
    <w:p w:rsidR="006B11C4" w:rsidRDefault="006B11C4" w:rsidP="00AF50F9">
      <w:pPr>
        <w:spacing w:after="0"/>
        <w:rPr>
          <w:rFonts w:ascii="Times New Roman" w:eastAsiaTheme="minorEastAsia" w:hAnsi="Times New Roman" w:cs="Times New Roman"/>
          <w:color w:val="000000" w:themeColor="text1"/>
          <w:kern w:val="24"/>
        </w:rPr>
      </w:pPr>
    </w:p>
    <w:p w:rsidR="003154EA" w:rsidRDefault="003154EA" w:rsidP="00AF50F9">
      <w:pPr>
        <w:spacing w:after="0"/>
        <w:rPr>
          <w:rFonts w:ascii="Times New Roman" w:eastAsiaTheme="minorEastAsia" w:hAnsi="Times New Roman" w:cs="Times New Roman"/>
          <w:color w:val="000000" w:themeColor="text1"/>
          <w:kern w:val="24"/>
        </w:rPr>
      </w:pPr>
      <w:r w:rsidRPr="00060CA6">
        <w:rPr>
          <w:rFonts w:ascii="Times New Roman" w:eastAsiaTheme="minorEastAsia" w:hAnsi="Times New Roman" w:cs="Times New Roman"/>
          <w:color w:val="000000" w:themeColor="text1"/>
          <w:kern w:val="24"/>
        </w:rPr>
        <w:t>Site Representatives:</w:t>
      </w:r>
    </w:p>
    <w:p w:rsidR="006B11C4" w:rsidRDefault="006B11C4" w:rsidP="00AF50F9">
      <w:pPr>
        <w:spacing w:after="0"/>
        <w:rPr>
          <w:rFonts w:ascii="Times New Roman" w:eastAsiaTheme="minorEastAsia" w:hAnsi="Times New Roman" w:cs="Times New Roman"/>
          <w:color w:val="000000" w:themeColor="text1"/>
          <w:kern w:val="24"/>
        </w:rPr>
      </w:pPr>
    </w:p>
    <w:tbl>
      <w:tblPr>
        <w:tblW w:w="928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35"/>
        <w:gridCol w:w="1080"/>
        <w:gridCol w:w="810"/>
        <w:gridCol w:w="3420"/>
        <w:gridCol w:w="1440"/>
      </w:tblGrid>
      <w:tr w:rsidR="00A75900" w:rsidRPr="00A75900" w:rsidTr="00A75900">
        <w:trPr>
          <w:trHeight w:val="570"/>
        </w:trPr>
        <w:tc>
          <w:tcPr>
            <w:tcW w:w="25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b/>
                <w:bCs/>
                <w:color w:val="000000"/>
              </w:rPr>
              <w:t>Site Name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b/>
                <w:bCs/>
                <w:color w:val="000000"/>
              </w:rPr>
              <w:t>Acronym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b/>
                <w:bCs/>
                <w:color w:val="000000"/>
              </w:rPr>
              <w:t>Biological Working Group Representatives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b/>
                <w:bCs/>
                <w:color w:val="000000"/>
              </w:rPr>
              <w:t>Attended DC Workshop?</w:t>
            </w:r>
          </w:p>
        </w:tc>
      </w:tr>
      <w:tr w:rsidR="00A75900" w:rsidRPr="00A75900" w:rsidTr="00A75900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 w:rsidP="00AF50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Central Mississippi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CMRB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MO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John Sadler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5900" w:rsidRPr="00A75900" w:rsidTr="00A75900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 w:rsidP="00AF50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Central Plains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CPER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CO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David Augustine, Lauren Porensky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A75900" w:rsidRPr="00A75900" w:rsidTr="00A75900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 w:rsidP="00AF50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Cook Farm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CAF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WA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David Huggins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A75900" w:rsidRPr="00A75900" w:rsidTr="00A75900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 w:rsidP="00AF50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5900">
              <w:rPr>
                <w:rFonts w:ascii="Calibri" w:eastAsia="Times New Roman" w:hAnsi="Calibri" w:cs="Times New Roman"/>
                <w:color w:val="000000"/>
              </w:rPr>
              <w:t>Jornada</w:t>
            </w:r>
            <w:proofErr w:type="spellEnd"/>
            <w:r w:rsidRPr="00A7590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JER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NM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Brandon Bestelmeyer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A75900" w:rsidRPr="00A75900" w:rsidTr="00A75900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 w:rsidP="00AF50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Northern Plains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NP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ND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Matt Sanderson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A75900" w:rsidRPr="00A75900" w:rsidTr="00A75900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 w:rsidP="00AF50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Southeast Coastal Plain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GACP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GA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Alisa Coffin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A75900" w:rsidRPr="00A75900" w:rsidTr="00A75900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 w:rsidP="00AF50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Southern Plains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SP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Brekke Peterson-</w:t>
            </w:r>
            <w:proofErr w:type="spellStart"/>
            <w:r w:rsidRPr="00A75900">
              <w:rPr>
                <w:rFonts w:ascii="Calibri" w:eastAsia="Times New Roman" w:hAnsi="Calibri" w:cs="Times New Roman"/>
                <w:color w:val="000000"/>
              </w:rPr>
              <w:t>Munks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A75900" w:rsidRPr="00A75900" w:rsidTr="00A75900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 w:rsidP="00AF50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Upper Chesapeake Bay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UCB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PA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Peter Kleinman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5900" w:rsidRPr="00A75900" w:rsidTr="00A75900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 w:rsidP="00AF50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Upper Mississippi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UMRB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IA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Tom Moorman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5900" w:rsidRPr="00A75900" w:rsidTr="00A75900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 w:rsidP="00AF50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 xml:space="preserve">Walnut </w:t>
            </w:r>
            <w:proofErr w:type="spellStart"/>
            <w:r w:rsidRPr="00A75900">
              <w:rPr>
                <w:rFonts w:ascii="Calibri" w:eastAsia="Times New Roman" w:hAnsi="Calibri" w:cs="Times New Roman"/>
                <w:color w:val="000000"/>
              </w:rPr>
              <w:t>Gultch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WGER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AZ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Phil Heilman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5900" w:rsidRPr="00A75900" w:rsidTr="00A75900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 w:rsidP="00AF50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Archbold-UF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ABS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Betsey Boughton, Raoul Boughton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A75900" w:rsidRPr="00A75900" w:rsidTr="00A75900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 w:rsidP="00AF50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Eastern Corn Belt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ECB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OH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FC15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Rocky Smiley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5900" w:rsidRPr="00A75900" w:rsidTr="00A75900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 w:rsidP="00AF50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Great Basin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GB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Fred Pierson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75900" w:rsidRPr="00A75900" w:rsidTr="00A75900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 w:rsidP="00AF50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 xml:space="preserve">Kellogg Bio </w:t>
            </w:r>
            <w:proofErr w:type="spellStart"/>
            <w:r w:rsidRPr="00A75900">
              <w:rPr>
                <w:rFonts w:ascii="Calibri" w:eastAsia="Times New Roman" w:hAnsi="Calibri" w:cs="Times New Roman"/>
                <w:color w:val="000000"/>
              </w:rPr>
              <w:t>Stn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KBS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MI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75900">
              <w:rPr>
                <w:rFonts w:ascii="Calibri" w:eastAsia="Times New Roman" w:hAnsi="Calibri" w:cs="Times New Roman"/>
                <w:color w:val="000000"/>
              </w:rPr>
              <w:t>Sieglinde</w:t>
            </w:r>
            <w:proofErr w:type="spellEnd"/>
            <w:r w:rsidRPr="00A7590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75900">
              <w:rPr>
                <w:rFonts w:ascii="Calibri" w:eastAsia="Times New Roman" w:hAnsi="Calibri" w:cs="Times New Roman"/>
                <w:color w:val="000000"/>
              </w:rPr>
              <w:t>Snapp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A75900" w:rsidRPr="00A75900" w:rsidTr="00A75900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 w:rsidP="00AF50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Lower Chesapeake Bay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LCB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MD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Steve Mirsky, Jude Maul, Michael Cavigelli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A75900" w:rsidRPr="00A75900" w:rsidTr="00A75900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 w:rsidP="00AF50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Lower Mississippi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LMRB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MS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Martin Locke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A75900" w:rsidRPr="00A75900" w:rsidTr="00A75900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 w:rsidP="00AF50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Platte River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PRHP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NE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Brian W</w:t>
            </w:r>
            <w:r w:rsidR="008B0AAF">
              <w:rPr>
                <w:rFonts w:ascii="Calibri" w:eastAsia="Times New Roman" w:hAnsi="Calibri" w:cs="Times New Roman"/>
                <w:color w:val="000000"/>
              </w:rPr>
              <w:t>ie</w:t>
            </w:r>
            <w:r w:rsidRPr="00A75900">
              <w:rPr>
                <w:rFonts w:ascii="Calibri" w:eastAsia="Times New Roman" w:hAnsi="Calibri" w:cs="Times New Roman"/>
                <w:color w:val="000000"/>
              </w:rPr>
              <w:t>nhold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A75900" w:rsidRPr="00A75900" w:rsidTr="00A75900">
        <w:trPr>
          <w:trHeight w:val="315"/>
        </w:trPr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 w:rsidP="00AF50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Texas Gulf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TG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TX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Phil Fay, Hal Collins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75900" w:rsidRPr="00A75900" w:rsidRDefault="00A75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590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</w:tbl>
    <w:p w:rsidR="00A75900" w:rsidRPr="00060CA6" w:rsidRDefault="00A75900" w:rsidP="00AF50F9">
      <w:pPr>
        <w:spacing w:after="0"/>
        <w:rPr>
          <w:rFonts w:ascii="Times New Roman" w:eastAsiaTheme="minorEastAsia" w:hAnsi="Times New Roman" w:cs="Times New Roman"/>
          <w:color w:val="000000" w:themeColor="text1"/>
          <w:kern w:val="24"/>
        </w:rPr>
      </w:pPr>
    </w:p>
    <w:p w:rsidR="00AF50F9" w:rsidRDefault="00AF50F9">
      <w:pPr>
        <w:rPr>
          <w:rFonts w:ascii="Times New Roman" w:eastAsiaTheme="minorEastAsia" w:hAnsi="Times New Roman" w:cs="Times New Roman"/>
          <w:b/>
          <w:color w:val="000000" w:themeColor="text1"/>
          <w:kern w:val="24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kern w:val="24"/>
        </w:rPr>
        <w:br w:type="page"/>
      </w:r>
    </w:p>
    <w:p w:rsidR="00AF50F9" w:rsidRDefault="00CC5725" w:rsidP="00AF50F9">
      <w:pPr>
        <w:spacing w:after="0"/>
        <w:rPr>
          <w:rFonts w:ascii="Times New Roman" w:eastAsiaTheme="minorEastAsia" w:hAnsi="Times New Roman" w:cs="Times New Roman"/>
          <w:color w:val="000000" w:themeColor="text1"/>
          <w:kern w:val="24"/>
        </w:rPr>
      </w:pPr>
      <w:r w:rsidRPr="006B11C4">
        <w:rPr>
          <w:rFonts w:ascii="Times New Roman" w:eastAsiaTheme="minorEastAsia" w:hAnsi="Times New Roman" w:cs="Times New Roman"/>
          <w:b/>
          <w:color w:val="000000" w:themeColor="text1"/>
          <w:kern w:val="24"/>
        </w:rPr>
        <w:lastRenderedPageBreak/>
        <w:t>Scale of measurements:</w:t>
      </w:r>
      <w:r w:rsidR="002D7903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</w:t>
      </w:r>
    </w:p>
    <w:p w:rsidR="00CC5725" w:rsidRDefault="00CC5725" w:rsidP="00AF50F9">
      <w:pPr>
        <w:spacing w:after="0"/>
        <w:rPr>
          <w:rFonts w:ascii="Times New Roman" w:eastAsiaTheme="minorEastAsia" w:hAnsi="Times New Roman" w:cs="Times New Roman"/>
          <w:color w:val="000000" w:themeColor="text1"/>
          <w:kern w:val="24"/>
        </w:rPr>
      </w:pPr>
      <w:r w:rsidRPr="00060CA6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The expectation is that </w:t>
      </w:r>
      <w:r w:rsidR="0084219E">
        <w:rPr>
          <w:rFonts w:ascii="Times New Roman" w:eastAsiaTheme="minorEastAsia" w:hAnsi="Times New Roman" w:cs="Times New Roman"/>
          <w:color w:val="000000" w:themeColor="text1"/>
          <w:kern w:val="24"/>
        </w:rPr>
        <w:t>six of the nine</w:t>
      </w:r>
      <w:r w:rsidR="0084219E" w:rsidRPr="00060CA6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</w:t>
      </w:r>
      <w:r w:rsidRPr="00060CA6">
        <w:rPr>
          <w:rFonts w:ascii="Times New Roman" w:eastAsiaTheme="minorEastAsia" w:hAnsi="Times New Roman" w:cs="Times New Roman"/>
          <w:color w:val="000000" w:themeColor="text1"/>
          <w:kern w:val="24"/>
        </w:rPr>
        <w:t>Core Measurements will be conducted at all LTAR sites at a scale associated with the fetch area of at least 1 EC tower</w:t>
      </w:r>
      <w:r w:rsidR="0084219E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and three will be collected at the farm or field scale</w:t>
      </w:r>
      <w:r w:rsidR="00D67562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(see table below</w:t>
      </w:r>
      <w:r w:rsidR="008E1665">
        <w:rPr>
          <w:rFonts w:ascii="Times New Roman" w:eastAsiaTheme="minorEastAsia" w:hAnsi="Times New Roman" w:cs="Times New Roman"/>
          <w:color w:val="000000" w:themeColor="text1"/>
          <w:kern w:val="24"/>
        </w:rPr>
        <w:t>)</w:t>
      </w:r>
      <w:r w:rsidRPr="00060CA6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.   Measurement of most Core biological parameters at </w:t>
      </w:r>
      <w:r w:rsidR="00AF50F9">
        <w:rPr>
          <w:rFonts w:ascii="Times New Roman" w:eastAsiaTheme="minorEastAsia" w:hAnsi="Times New Roman" w:cs="Times New Roman"/>
          <w:color w:val="000000" w:themeColor="text1"/>
          <w:kern w:val="24"/>
        </w:rPr>
        <w:t>an EC fetch area</w:t>
      </w:r>
      <w:r w:rsidR="00AF50F9" w:rsidRPr="00060CA6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</w:t>
      </w:r>
      <w:r w:rsidRPr="00060CA6">
        <w:rPr>
          <w:rFonts w:ascii="Times New Roman" w:eastAsiaTheme="minorEastAsia" w:hAnsi="Times New Roman" w:cs="Times New Roman"/>
          <w:color w:val="000000" w:themeColor="text1"/>
          <w:kern w:val="24"/>
        </w:rPr>
        <w:t>scale</w:t>
      </w:r>
      <w:r w:rsidR="0054171A" w:rsidRPr="00060CA6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(e.g. ANPP)</w:t>
      </w:r>
      <w:r w:rsidRPr="00060CA6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will be insufficient to characterize variation related to the landscape or management pr</w:t>
      </w:r>
      <w:r w:rsidR="0054171A" w:rsidRPr="00060CA6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actices.  </w:t>
      </w:r>
      <w:r w:rsidRPr="00060CA6">
        <w:rPr>
          <w:rFonts w:ascii="Times New Roman" w:eastAsiaTheme="minorEastAsia" w:hAnsi="Times New Roman" w:cs="Times New Roman"/>
          <w:color w:val="000000" w:themeColor="text1"/>
          <w:kern w:val="24"/>
        </w:rPr>
        <w:t>Replication of measurements at the EC fetch area scale across landscapes and treatments will clearly be necessary, but decisions on s</w:t>
      </w:r>
      <w:r w:rsidR="0054171A" w:rsidRPr="00060CA6">
        <w:rPr>
          <w:rFonts w:ascii="Times New Roman" w:eastAsiaTheme="minorEastAsia" w:hAnsi="Times New Roman" w:cs="Times New Roman"/>
          <w:color w:val="000000" w:themeColor="text1"/>
          <w:kern w:val="24"/>
        </w:rPr>
        <w:t>amplin</w:t>
      </w:r>
      <w:bookmarkStart w:id="0" w:name="_GoBack"/>
      <w:bookmarkEnd w:id="0"/>
      <w:r w:rsidR="0054171A" w:rsidRPr="00060CA6">
        <w:rPr>
          <w:rFonts w:ascii="Times New Roman" w:eastAsiaTheme="minorEastAsia" w:hAnsi="Times New Roman" w:cs="Times New Roman"/>
          <w:color w:val="000000" w:themeColor="text1"/>
          <w:kern w:val="24"/>
        </w:rPr>
        <w:t>g schemes will</w:t>
      </w:r>
      <w:r w:rsidRPr="00060CA6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vary by site.  We recommend replication </w:t>
      </w:r>
      <w:r w:rsidR="0054171A" w:rsidRPr="00060CA6">
        <w:rPr>
          <w:rFonts w:ascii="Times New Roman" w:eastAsiaTheme="minorEastAsia" w:hAnsi="Times New Roman" w:cs="Times New Roman"/>
          <w:color w:val="000000" w:themeColor="text1"/>
          <w:kern w:val="24"/>
        </w:rPr>
        <w:t>of Core biological measurements at all EC towers at each site, and across some or all replicates of the BAU/Aspirational treatments at each site, but this will vary depending on available resources, site size, etc.</w:t>
      </w:r>
    </w:p>
    <w:p w:rsidR="00C377C6" w:rsidRDefault="00C377C6" w:rsidP="00AF50F9">
      <w:pPr>
        <w:spacing w:after="0"/>
        <w:rPr>
          <w:rFonts w:ascii="Times New Roman" w:eastAsiaTheme="minorEastAsia" w:hAnsi="Times New Roman" w:cs="Times New Roman"/>
          <w:color w:val="000000" w:themeColor="text1"/>
          <w:kern w:val="24"/>
        </w:rPr>
      </w:pPr>
    </w:p>
    <w:p w:rsidR="00C377C6" w:rsidRPr="00060CA6" w:rsidRDefault="00C377C6" w:rsidP="00AF50F9">
      <w:pPr>
        <w:spacing w:after="0"/>
        <w:rPr>
          <w:rFonts w:ascii="Times New Roman" w:eastAsiaTheme="minorEastAsia" w:hAnsi="Times New Roman" w:cs="Times New Roman"/>
          <w:color w:val="000000" w:themeColor="text1"/>
          <w:kern w:val="24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</w:rPr>
        <w:t>Biological measurements at the watershed scale (including in aquatic habitats) are not directly addressed under the tier 1 measurements, but could be added for measurements (5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kern w:val="24"/>
        </w:rPr>
        <w:t>,6,7,8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) below under tier 2.  </w:t>
      </w:r>
    </w:p>
    <w:p w:rsidR="00AF50F9" w:rsidRPr="00736F6A" w:rsidRDefault="00AF50F9" w:rsidP="00AF50F9">
      <w:pPr>
        <w:pStyle w:val="ListParagraph"/>
        <w:ind w:left="1440"/>
        <w:rPr>
          <w:color w:val="1F497D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8"/>
        <w:gridCol w:w="3899"/>
        <w:gridCol w:w="2606"/>
        <w:gridCol w:w="2255"/>
      </w:tblGrid>
      <w:tr w:rsidR="00A816A2" w:rsidTr="003624D5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A2" w:rsidRDefault="00A816A2" w:rsidP="007B4926">
            <w:pPr>
              <w:rPr>
                <w:b/>
              </w:rPr>
            </w:pP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6A2" w:rsidRDefault="00A816A2" w:rsidP="007B4926">
            <w:pPr>
              <w:rPr>
                <w:rFonts w:ascii="Calibri" w:hAnsi="Calibri" w:cs="Times New Roman"/>
                <w:b/>
              </w:rPr>
            </w:pPr>
            <w:r>
              <w:rPr>
                <w:b/>
              </w:rPr>
              <w:t>Core measurements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6A2" w:rsidRDefault="00A816A2" w:rsidP="007B4926">
            <w:pPr>
              <w:rPr>
                <w:rFonts w:ascii="Calibri" w:hAnsi="Calibri" w:cs="Times New Roman"/>
                <w:b/>
              </w:rPr>
            </w:pPr>
            <w:r>
              <w:rPr>
                <w:b/>
              </w:rPr>
              <w:t>Spatial Scale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A2" w:rsidRDefault="00A816A2" w:rsidP="007B4926">
            <w:pPr>
              <w:rPr>
                <w:b/>
              </w:rPr>
            </w:pPr>
            <w:r>
              <w:rPr>
                <w:b/>
              </w:rPr>
              <w:t>Temporal scale (</w:t>
            </w:r>
            <w:r w:rsidRPr="004D3D9D">
              <w:rPr>
                <w:b/>
                <w:i/>
              </w:rPr>
              <w:t>minimum</w:t>
            </w:r>
            <w:r>
              <w:rPr>
                <w:b/>
              </w:rPr>
              <w:t xml:space="preserve"> frequency)</w:t>
            </w:r>
          </w:p>
        </w:tc>
      </w:tr>
      <w:tr w:rsidR="00A816A2" w:rsidTr="003624D5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A2" w:rsidRDefault="00A816A2" w:rsidP="007B4926">
            <w:r>
              <w:t>1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6A2" w:rsidRDefault="00A816A2" w:rsidP="007B4926">
            <w:pPr>
              <w:rPr>
                <w:rFonts w:ascii="Calibri" w:hAnsi="Calibri" w:cs="Times New Roman"/>
              </w:rPr>
            </w:pPr>
            <w:r>
              <w:t>Annual Aboveground Net primary productivity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6A2" w:rsidRDefault="00A816A2" w:rsidP="007B4926">
            <w:pPr>
              <w:rPr>
                <w:rFonts w:ascii="Calibri" w:hAnsi="Calibri" w:cs="Times New Roman"/>
              </w:rPr>
            </w:pPr>
            <w:r>
              <w:t>Tower fetch area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A2" w:rsidRDefault="00A816A2" w:rsidP="00A816A2">
            <w:r>
              <w:t>Annually</w:t>
            </w:r>
          </w:p>
        </w:tc>
      </w:tr>
      <w:tr w:rsidR="00A816A2" w:rsidTr="003624D5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A2" w:rsidRDefault="00A816A2" w:rsidP="007B4926">
            <w:r>
              <w:t>2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6A2" w:rsidRDefault="00A816A2" w:rsidP="007B4926">
            <w:pPr>
              <w:rPr>
                <w:rFonts w:ascii="Calibri" w:hAnsi="Calibri" w:cs="Times New Roman"/>
              </w:rPr>
            </w:pPr>
            <w:r>
              <w:t>Yield/Harvest Index or Livestock Production Index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6A2" w:rsidRDefault="00A816A2" w:rsidP="007B4926">
            <w:pPr>
              <w:rPr>
                <w:rFonts w:ascii="Calibri" w:hAnsi="Calibri" w:cs="Times New Roman"/>
              </w:rPr>
            </w:pPr>
            <w:r>
              <w:t>Farm or field scale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A2" w:rsidRDefault="00A816A2" w:rsidP="00A816A2">
            <w:r>
              <w:t>Annually</w:t>
            </w:r>
          </w:p>
        </w:tc>
      </w:tr>
      <w:tr w:rsidR="00A816A2" w:rsidTr="003624D5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A2" w:rsidRDefault="00A816A2" w:rsidP="007B4926">
            <w:r>
              <w:t>3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6A2" w:rsidRDefault="00A816A2" w:rsidP="007B4926">
            <w:pPr>
              <w:rPr>
                <w:rFonts w:ascii="Calibri" w:hAnsi="Calibri" w:cs="Times New Roman"/>
              </w:rPr>
            </w:pPr>
            <w:r>
              <w:t>Crop or Forage Phenology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6A2" w:rsidRDefault="00A816A2" w:rsidP="007B4926">
            <w:pPr>
              <w:rPr>
                <w:rFonts w:ascii="Calibri" w:hAnsi="Calibri" w:cs="Times New Roman"/>
              </w:rPr>
            </w:pPr>
            <w:r>
              <w:t>Tower fetch area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A2" w:rsidRDefault="005E4771" w:rsidP="007B4926">
            <w:r>
              <w:t>Daily</w:t>
            </w:r>
          </w:p>
        </w:tc>
      </w:tr>
      <w:tr w:rsidR="00A816A2" w:rsidTr="003624D5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A2" w:rsidRDefault="00A816A2" w:rsidP="007B4926">
            <w:r>
              <w:t>4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6A2" w:rsidRDefault="00A816A2" w:rsidP="007B4926">
            <w:pPr>
              <w:rPr>
                <w:rFonts w:ascii="Calibri" w:hAnsi="Calibri" w:cs="Times New Roman"/>
              </w:rPr>
            </w:pPr>
            <w:r>
              <w:t>Plant Tissue Chemistry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6A2" w:rsidRDefault="00A816A2" w:rsidP="007B4926">
            <w:pPr>
              <w:rPr>
                <w:rFonts w:ascii="Calibri" w:hAnsi="Calibri" w:cs="Times New Roman"/>
              </w:rPr>
            </w:pPr>
            <w:r>
              <w:t>Tower fetch area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A2" w:rsidRDefault="00A816A2" w:rsidP="007B4926">
            <w:r>
              <w:t>Annually</w:t>
            </w:r>
          </w:p>
        </w:tc>
      </w:tr>
      <w:tr w:rsidR="00A816A2" w:rsidTr="003624D5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A2" w:rsidRDefault="00A816A2" w:rsidP="007B4926">
            <w:r>
              <w:t>5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6A2" w:rsidRDefault="00A816A2" w:rsidP="007B4926">
            <w:pPr>
              <w:rPr>
                <w:rFonts w:ascii="Calibri" w:hAnsi="Calibri" w:cs="Times New Roman"/>
              </w:rPr>
            </w:pPr>
            <w:r>
              <w:t>Soil Microbial Abundance/Diversity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6A2" w:rsidRDefault="00A816A2" w:rsidP="007B4926">
            <w:pPr>
              <w:rPr>
                <w:rFonts w:ascii="Calibri" w:hAnsi="Calibri" w:cs="Times New Roman"/>
              </w:rPr>
            </w:pPr>
            <w:r>
              <w:t>Tower fetch area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A2" w:rsidRDefault="006C378F" w:rsidP="007B4926">
            <w:r>
              <w:t>Annually</w:t>
            </w:r>
          </w:p>
        </w:tc>
      </w:tr>
      <w:tr w:rsidR="00A816A2" w:rsidTr="003624D5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A2" w:rsidRDefault="00A816A2" w:rsidP="007B4926">
            <w:r>
              <w:t>6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6A2" w:rsidRDefault="00A816A2" w:rsidP="007B4926">
            <w:pPr>
              <w:rPr>
                <w:rFonts w:ascii="Calibri" w:hAnsi="Calibri" w:cs="Times New Roman"/>
              </w:rPr>
            </w:pPr>
            <w:r>
              <w:t>Decomposition Index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6A2" w:rsidRDefault="00A816A2" w:rsidP="007B4926">
            <w:pPr>
              <w:rPr>
                <w:rFonts w:ascii="Calibri" w:hAnsi="Calibri" w:cs="Times New Roman"/>
              </w:rPr>
            </w:pPr>
            <w:r>
              <w:t>Tower fetch area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A2" w:rsidRDefault="006C378F" w:rsidP="007B4926">
            <w:r>
              <w:t>Annually?</w:t>
            </w:r>
          </w:p>
        </w:tc>
      </w:tr>
      <w:tr w:rsidR="00A816A2" w:rsidTr="003624D5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A2" w:rsidRDefault="00A816A2" w:rsidP="007B4926">
            <w:r>
              <w:t>7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6A2" w:rsidRDefault="00A816A2" w:rsidP="007B4926">
            <w:pPr>
              <w:rPr>
                <w:rFonts w:ascii="Calibri" w:hAnsi="Calibri" w:cs="Times New Roman"/>
              </w:rPr>
            </w:pPr>
            <w:r>
              <w:t>Abundance of Weedy Indicator Species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16A2" w:rsidRDefault="00A816A2" w:rsidP="007B4926">
            <w:pPr>
              <w:rPr>
                <w:rFonts w:ascii="Calibri" w:hAnsi="Calibri" w:cs="Times New Roman"/>
              </w:rPr>
            </w:pPr>
            <w:r>
              <w:t>Tower or farm or field scale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A2" w:rsidRDefault="006C378F" w:rsidP="007B4926">
            <w:r>
              <w:t>Annually</w:t>
            </w:r>
          </w:p>
        </w:tc>
      </w:tr>
      <w:tr w:rsidR="00A816A2" w:rsidTr="003624D5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A2" w:rsidRDefault="00A816A2" w:rsidP="007B4926">
            <w:r>
              <w:t>8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A2" w:rsidRDefault="00A816A2" w:rsidP="007B4926">
            <w:r>
              <w:t>Abundance of Biodiversity Indicator Species (plants, soil fauna, insects, and/or vertebrates)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A2" w:rsidRDefault="00A816A2" w:rsidP="007B4926">
            <w:r>
              <w:t>Farm or field scale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A2" w:rsidRDefault="003624D5" w:rsidP="007B4926">
            <w:r>
              <w:t>Annually</w:t>
            </w:r>
          </w:p>
        </w:tc>
      </w:tr>
      <w:tr w:rsidR="00A816A2" w:rsidTr="003624D5">
        <w:tc>
          <w:tcPr>
            <w:tcW w:w="438" w:type="dxa"/>
          </w:tcPr>
          <w:p w:rsidR="00A816A2" w:rsidRDefault="00A816A2" w:rsidP="007B4926">
            <w:r>
              <w:t>9</w:t>
            </w:r>
          </w:p>
        </w:tc>
        <w:tc>
          <w:tcPr>
            <w:tcW w:w="3899" w:type="dxa"/>
            <w:hideMark/>
          </w:tcPr>
          <w:p w:rsidR="00A816A2" w:rsidRDefault="00A816A2" w:rsidP="007B4926">
            <w:pPr>
              <w:rPr>
                <w:rFonts w:ascii="Calibri" w:hAnsi="Calibri" w:cs="Times New Roman"/>
              </w:rPr>
            </w:pPr>
            <w:r>
              <w:t>Biophysical setting  and LULC</w:t>
            </w:r>
          </w:p>
        </w:tc>
        <w:tc>
          <w:tcPr>
            <w:tcW w:w="2606" w:type="dxa"/>
            <w:hideMark/>
          </w:tcPr>
          <w:p w:rsidR="00A816A2" w:rsidRDefault="00A816A2" w:rsidP="007B4926">
            <w:pPr>
              <w:rPr>
                <w:rFonts w:ascii="Calibri" w:hAnsi="Calibri" w:cs="Times New Roman"/>
              </w:rPr>
            </w:pPr>
            <w:r>
              <w:t>Farm or field scale</w:t>
            </w:r>
          </w:p>
        </w:tc>
        <w:tc>
          <w:tcPr>
            <w:tcW w:w="2255" w:type="dxa"/>
          </w:tcPr>
          <w:p w:rsidR="00A816A2" w:rsidRDefault="00A816A2" w:rsidP="007B4926"/>
        </w:tc>
      </w:tr>
    </w:tbl>
    <w:p w:rsidR="00AF50F9" w:rsidRDefault="00AF50F9" w:rsidP="00AF50F9">
      <w:pPr>
        <w:spacing w:after="0"/>
        <w:rPr>
          <w:rFonts w:ascii="Times New Roman" w:eastAsiaTheme="minorEastAsia" w:hAnsi="Times New Roman" w:cs="Times New Roman"/>
          <w:color w:val="000000" w:themeColor="text1"/>
          <w:kern w:val="24"/>
          <w:highlight w:val="yellow"/>
        </w:rPr>
      </w:pPr>
    </w:p>
    <w:p w:rsidR="00FA3C4A" w:rsidRDefault="00FA3C4A">
      <w:pPr>
        <w:rPr>
          <w:rFonts w:ascii="Times New Roman" w:eastAsiaTheme="minorEastAsia" w:hAnsi="Times New Roman" w:cs="Times New Roman"/>
          <w:color w:val="000000" w:themeColor="text1"/>
          <w:kern w:val="24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</w:rPr>
        <w:br w:type="page"/>
      </w:r>
    </w:p>
    <w:p w:rsidR="00FA3C4A" w:rsidRPr="007B4926" w:rsidRDefault="00FA3C4A" w:rsidP="00E9738A">
      <w:pPr>
        <w:rPr>
          <w:rFonts w:ascii="Times New Roman" w:eastAsiaTheme="minorEastAsia" w:hAnsi="Times New Roman" w:cs="Times New Roman"/>
          <w:color w:val="000000" w:themeColor="text1"/>
          <w:kern w:val="24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</w:rPr>
        <w:lastRenderedPageBreak/>
        <w:t>The following subcommittees</w:t>
      </w:r>
      <w:r w:rsidR="00FA2007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will develop draft protocols for each core measurement, which should include protocol for both</w:t>
      </w:r>
      <w:r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tier 1 and tier 2 measure</w:t>
      </w:r>
      <w:r w:rsidR="007A2C68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ments.  Names in bold are requested to serve as the lead for each protocol.  </w:t>
      </w:r>
    </w:p>
    <w:tbl>
      <w:tblPr>
        <w:tblW w:w="103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2213"/>
        <w:gridCol w:w="1848"/>
        <w:gridCol w:w="2760"/>
        <w:gridCol w:w="942"/>
        <w:gridCol w:w="2161"/>
      </w:tblGrid>
      <w:tr w:rsidR="00E9738A" w:rsidTr="00E9738A">
        <w:trPr>
          <w:trHeight w:val="636"/>
        </w:trPr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738A" w:rsidRDefault="00E9738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2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Protocol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Crop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Range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Aquatic habitats</w:t>
            </w:r>
          </w:p>
        </w:tc>
        <w:tc>
          <w:tcPr>
            <w:tcW w:w="21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738A" w:rsidRDefault="00E9738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Protocol Status &amp; Notes 2-10-16</w:t>
            </w:r>
          </w:p>
        </w:tc>
      </w:tr>
      <w:tr w:rsidR="00E9738A" w:rsidTr="00E9738A">
        <w:trPr>
          <w:trHeight w:val="576"/>
        </w:trPr>
        <w:tc>
          <w:tcPr>
            <w:tcW w:w="4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Cropland ANPP and Crop Production</w:t>
            </w:r>
          </w:p>
        </w:tc>
        <w:tc>
          <w:tcPr>
            <w:tcW w:w="18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b/>
                <w:bCs/>
                <w:color w:val="000000"/>
              </w:rPr>
              <w:t>Brian Wienhold</w:t>
            </w:r>
            <w:r>
              <w:rPr>
                <w:color w:val="000000"/>
              </w:rPr>
              <w:t>, Martin Locke</w:t>
            </w:r>
          </w:p>
        </w:tc>
        <w:tc>
          <w:tcPr>
            <w:tcW w:w="2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9738A" w:rsidRDefault="00E9738A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21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Draft Complete</w:t>
            </w:r>
          </w:p>
        </w:tc>
      </w:tr>
      <w:tr w:rsidR="00E9738A" w:rsidTr="00E9738A">
        <w:trPr>
          <w:trHeight w:val="864"/>
        </w:trPr>
        <w:tc>
          <w:tcPr>
            <w:tcW w:w="4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Rangeland ANPP, forage production, and livestock production</w:t>
            </w:r>
          </w:p>
        </w:tc>
        <w:tc>
          <w:tcPr>
            <w:tcW w:w="18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b/>
                <w:bCs/>
                <w:color w:val="000000"/>
              </w:rPr>
              <w:t>David Augustine</w:t>
            </w:r>
            <w:r>
              <w:rPr>
                <w:color w:val="000000"/>
              </w:rPr>
              <w:t>, Lauren Porensky, Brandon Bestelmeyer, Matt Sanderson</w:t>
            </w:r>
          </w:p>
        </w:tc>
        <w:tc>
          <w:tcPr>
            <w:tcW w:w="9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21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 xml:space="preserve">Draft Complete, except for livestock </w:t>
            </w:r>
            <w:proofErr w:type="spellStart"/>
            <w:r>
              <w:rPr>
                <w:color w:val="000000"/>
              </w:rPr>
              <w:t>pdn</w:t>
            </w:r>
            <w:proofErr w:type="spellEnd"/>
          </w:p>
        </w:tc>
      </w:tr>
      <w:tr w:rsidR="00E9738A" w:rsidTr="00E9738A">
        <w:trPr>
          <w:trHeight w:val="864"/>
        </w:trPr>
        <w:tc>
          <w:tcPr>
            <w:tcW w:w="4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Plant tissue chemistry</w:t>
            </w:r>
          </w:p>
        </w:tc>
        <w:tc>
          <w:tcPr>
            <w:tcW w:w="18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Brian Wienhold</w:t>
            </w:r>
          </w:p>
        </w:tc>
        <w:tc>
          <w:tcPr>
            <w:tcW w:w="2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Phil Fay</w:t>
            </w:r>
          </w:p>
        </w:tc>
        <w:tc>
          <w:tcPr>
            <w:tcW w:w="9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1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Field sampling draft complete; need to address lab protocols</w:t>
            </w:r>
          </w:p>
        </w:tc>
      </w:tr>
      <w:tr w:rsidR="00E9738A" w:rsidTr="00E9738A">
        <w:trPr>
          <w:trHeight w:val="864"/>
        </w:trPr>
        <w:tc>
          <w:tcPr>
            <w:tcW w:w="4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Phenology</w:t>
            </w:r>
          </w:p>
        </w:tc>
        <w:tc>
          <w:tcPr>
            <w:tcW w:w="18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 xml:space="preserve">Steve Mirsky  </w:t>
            </w:r>
          </w:p>
        </w:tc>
        <w:tc>
          <w:tcPr>
            <w:tcW w:w="2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b/>
                <w:bCs/>
                <w:color w:val="000000"/>
              </w:rPr>
              <w:t>Dawn Browning</w:t>
            </w:r>
            <w:r>
              <w:rPr>
                <w:color w:val="000000"/>
              </w:rPr>
              <w:t>, David Augustine, Dana Blumenthal, John Hendrickson</w:t>
            </w:r>
          </w:p>
        </w:tc>
        <w:tc>
          <w:tcPr>
            <w:tcW w:w="9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21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color w:val="FF0000"/>
              </w:rPr>
              <w:t>Draft forthcoming</w:t>
            </w:r>
          </w:p>
        </w:tc>
      </w:tr>
      <w:tr w:rsidR="00E9738A" w:rsidTr="00E9738A">
        <w:trPr>
          <w:trHeight w:val="576"/>
        </w:trPr>
        <w:tc>
          <w:tcPr>
            <w:tcW w:w="4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Soil microbial abundance/diversity</w:t>
            </w:r>
          </w:p>
        </w:tc>
        <w:tc>
          <w:tcPr>
            <w:tcW w:w="18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Hal Collins, Jude Maul</w:t>
            </w:r>
          </w:p>
        </w:tc>
        <w:tc>
          <w:tcPr>
            <w:tcW w:w="2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Brekke Peterson-</w:t>
            </w:r>
            <w:proofErr w:type="spellStart"/>
            <w:r>
              <w:rPr>
                <w:b/>
                <w:bCs/>
                <w:color w:val="000000"/>
              </w:rPr>
              <w:t>Munks</w:t>
            </w:r>
            <w:proofErr w:type="spellEnd"/>
            <w:r>
              <w:rPr>
                <w:b/>
                <w:bCs/>
                <w:color w:val="000000"/>
              </w:rPr>
              <w:t xml:space="preserve">  </w:t>
            </w:r>
          </w:p>
        </w:tc>
        <w:tc>
          <w:tcPr>
            <w:tcW w:w="9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Jason Taylor</w:t>
            </w:r>
          </w:p>
        </w:tc>
        <w:tc>
          <w:tcPr>
            <w:tcW w:w="21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Draft complete</w:t>
            </w:r>
          </w:p>
        </w:tc>
      </w:tr>
      <w:tr w:rsidR="00E9738A" w:rsidTr="00E9738A">
        <w:trPr>
          <w:trHeight w:val="576"/>
        </w:trPr>
        <w:tc>
          <w:tcPr>
            <w:tcW w:w="4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Decomposition</w:t>
            </w:r>
          </w:p>
        </w:tc>
        <w:tc>
          <w:tcPr>
            <w:tcW w:w="18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b/>
                <w:bCs/>
                <w:color w:val="000000"/>
              </w:rPr>
              <w:t>Steve Mirsky</w:t>
            </w:r>
            <w:r>
              <w:rPr>
                <w:color w:val="000000"/>
              </w:rPr>
              <w:t>, Jude Maul</w:t>
            </w:r>
          </w:p>
        </w:tc>
        <w:tc>
          <w:tcPr>
            <w:tcW w:w="2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Brekke Peterson-</w:t>
            </w:r>
            <w:proofErr w:type="spellStart"/>
            <w:r>
              <w:rPr>
                <w:color w:val="000000"/>
              </w:rPr>
              <w:t>Munks</w:t>
            </w:r>
            <w:proofErr w:type="spellEnd"/>
            <w:r>
              <w:rPr>
                <w:color w:val="000000"/>
              </w:rPr>
              <w:t xml:space="preserve">  </w:t>
            </w:r>
          </w:p>
        </w:tc>
        <w:tc>
          <w:tcPr>
            <w:tcW w:w="9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Jason Taylor</w:t>
            </w:r>
          </w:p>
        </w:tc>
        <w:tc>
          <w:tcPr>
            <w:tcW w:w="21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color w:val="FF0000"/>
              </w:rPr>
              <w:t>Draft forthcoming</w:t>
            </w:r>
          </w:p>
        </w:tc>
      </w:tr>
      <w:tr w:rsidR="00E9738A" w:rsidTr="00E9738A">
        <w:trPr>
          <w:trHeight w:val="576"/>
        </w:trPr>
        <w:tc>
          <w:tcPr>
            <w:tcW w:w="4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Weed indicators</w:t>
            </w:r>
          </w:p>
        </w:tc>
        <w:tc>
          <w:tcPr>
            <w:tcW w:w="18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Steve Mirsky</w:t>
            </w:r>
          </w:p>
        </w:tc>
        <w:tc>
          <w:tcPr>
            <w:tcW w:w="2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 xml:space="preserve">Betsey </w:t>
            </w:r>
            <w:proofErr w:type="spellStart"/>
            <w:r>
              <w:rPr>
                <w:color w:val="000000"/>
              </w:rPr>
              <w:t>Boughton</w:t>
            </w:r>
            <w:proofErr w:type="spellEnd"/>
            <w:r>
              <w:rPr>
                <w:color w:val="000000"/>
              </w:rPr>
              <w:t>, Dana Blumenthal, Phil Fay</w:t>
            </w:r>
          </w:p>
        </w:tc>
        <w:tc>
          <w:tcPr>
            <w:tcW w:w="9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Jason Taylor</w:t>
            </w:r>
          </w:p>
        </w:tc>
        <w:tc>
          <w:tcPr>
            <w:tcW w:w="21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Draft complete</w:t>
            </w:r>
          </w:p>
        </w:tc>
      </w:tr>
      <w:tr w:rsidR="00E9738A" w:rsidTr="00E9738A">
        <w:trPr>
          <w:trHeight w:val="576"/>
        </w:trPr>
        <w:tc>
          <w:tcPr>
            <w:tcW w:w="4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Biodiversity indicators</w:t>
            </w:r>
          </w:p>
        </w:tc>
        <w:tc>
          <w:tcPr>
            <w:tcW w:w="18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Alisa Coffin, Martin Locke</w:t>
            </w:r>
          </w:p>
        </w:tc>
        <w:tc>
          <w:tcPr>
            <w:tcW w:w="27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Betsey </w:t>
            </w:r>
            <w:proofErr w:type="spellStart"/>
            <w:r>
              <w:rPr>
                <w:b/>
                <w:bCs/>
                <w:color w:val="000000"/>
              </w:rPr>
              <w:t>Boughton</w:t>
            </w:r>
            <w:proofErr w:type="spellEnd"/>
            <w:r>
              <w:rPr>
                <w:color w:val="000000"/>
              </w:rPr>
              <w:t>, Phil Fay, David Augustine</w:t>
            </w:r>
          </w:p>
        </w:tc>
        <w:tc>
          <w:tcPr>
            <w:tcW w:w="9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Jason Taylor</w:t>
            </w:r>
          </w:p>
        </w:tc>
        <w:tc>
          <w:tcPr>
            <w:tcW w:w="21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Draft complete</w:t>
            </w:r>
          </w:p>
        </w:tc>
      </w:tr>
      <w:tr w:rsidR="00E9738A" w:rsidTr="00E9738A">
        <w:trPr>
          <w:trHeight w:val="876"/>
        </w:trPr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Remote sensing and LULC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Alisa Coffin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Lauren Porensky, David Augustine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38A" w:rsidRDefault="00E9738A" w:rsidP="00E9738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 xml:space="preserve">Draft in progress; </w:t>
            </w:r>
            <w:r>
              <w:rPr>
                <w:color w:val="000000"/>
              </w:rPr>
              <w:t>survey</w:t>
            </w:r>
            <w:r>
              <w:rPr>
                <w:color w:val="000000"/>
              </w:rPr>
              <w:t xml:space="preserve"> of existing resources at each site</w:t>
            </w:r>
            <w:r>
              <w:rPr>
                <w:color w:val="000000"/>
              </w:rPr>
              <w:t xml:space="preserve"> to be conducted at </w:t>
            </w:r>
            <w:proofErr w:type="spellStart"/>
            <w:r>
              <w:rPr>
                <w:color w:val="000000"/>
              </w:rPr>
              <w:t>Archbold</w:t>
            </w:r>
            <w:proofErr w:type="spellEnd"/>
          </w:p>
        </w:tc>
      </w:tr>
    </w:tbl>
    <w:p w:rsidR="00E9738A" w:rsidRDefault="00E9738A" w:rsidP="00E9738A">
      <w:pPr>
        <w:rPr>
          <w:rFonts w:ascii="Calibri" w:hAnsi="Calibri"/>
          <w:color w:val="1F497D"/>
        </w:rPr>
      </w:pPr>
    </w:p>
    <w:p w:rsidR="00E9738A" w:rsidRDefault="00E9738A" w:rsidP="00E9738A">
      <w:pPr>
        <w:rPr>
          <w:color w:val="1F497D"/>
        </w:rPr>
      </w:pPr>
    </w:p>
    <w:p w:rsidR="00E9738A" w:rsidRDefault="00E9738A" w:rsidP="00E9738A">
      <w:pPr>
        <w:rPr>
          <w:color w:val="1F497D"/>
        </w:rPr>
      </w:pPr>
    </w:p>
    <w:p w:rsidR="00AF50F9" w:rsidRDefault="00AF50F9">
      <w:pPr>
        <w:rPr>
          <w:rFonts w:ascii="Times New Roman" w:eastAsiaTheme="minorEastAsia" w:hAnsi="Times New Roman" w:cs="Times New Roman"/>
          <w:b/>
          <w:color w:val="000000" w:themeColor="text1"/>
          <w:kern w:val="24"/>
        </w:rPr>
      </w:pPr>
    </w:p>
    <w:sectPr w:rsidR="00AF50F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900" w:rsidRDefault="00FF4900" w:rsidP="003C7B5F">
      <w:pPr>
        <w:spacing w:after="0" w:line="240" w:lineRule="auto"/>
      </w:pPr>
      <w:r>
        <w:separator/>
      </w:r>
    </w:p>
  </w:endnote>
  <w:endnote w:type="continuationSeparator" w:id="0">
    <w:p w:rsidR="00FF4900" w:rsidRDefault="00FF4900" w:rsidP="003C7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4157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7B5F" w:rsidRDefault="003C7B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73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C7B5F" w:rsidRDefault="003C7B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900" w:rsidRDefault="00FF4900" w:rsidP="003C7B5F">
      <w:pPr>
        <w:spacing w:after="0" w:line="240" w:lineRule="auto"/>
      </w:pPr>
      <w:r>
        <w:separator/>
      </w:r>
    </w:p>
  </w:footnote>
  <w:footnote w:type="continuationSeparator" w:id="0">
    <w:p w:rsidR="00FF4900" w:rsidRDefault="00FF4900" w:rsidP="003C7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91C24"/>
    <w:multiLevelType w:val="hybridMultilevel"/>
    <w:tmpl w:val="80968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B44EDC"/>
    <w:multiLevelType w:val="hybridMultilevel"/>
    <w:tmpl w:val="1CAC65A0"/>
    <w:lvl w:ilvl="0" w:tplc="22044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EA24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02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6CCB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6E3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749E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E6C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D27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CA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C71C4C"/>
    <w:multiLevelType w:val="hybridMultilevel"/>
    <w:tmpl w:val="E23E0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F0DB6"/>
    <w:multiLevelType w:val="hybridMultilevel"/>
    <w:tmpl w:val="084EE792"/>
    <w:lvl w:ilvl="0" w:tplc="C6C87B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8E2958"/>
    <w:multiLevelType w:val="hybridMultilevel"/>
    <w:tmpl w:val="9DC657EC"/>
    <w:lvl w:ilvl="0" w:tplc="00A6385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C377D"/>
    <w:multiLevelType w:val="hybridMultilevel"/>
    <w:tmpl w:val="DF62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4EA"/>
    <w:rsid w:val="00060CA6"/>
    <w:rsid w:val="00092E65"/>
    <w:rsid w:val="002063B2"/>
    <w:rsid w:val="0023390C"/>
    <w:rsid w:val="002439DC"/>
    <w:rsid w:val="002A149F"/>
    <w:rsid w:val="002D7903"/>
    <w:rsid w:val="003154EA"/>
    <w:rsid w:val="00342B41"/>
    <w:rsid w:val="00350F2B"/>
    <w:rsid w:val="00360D2D"/>
    <w:rsid w:val="003624D5"/>
    <w:rsid w:val="003C3E5C"/>
    <w:rsid w:val="003C7B5F"/>
    <w:rsid w:val="004103E3"/>
    <w:rsid w:val="004A7366"/>
    <w:rsid w:val="004D3D9D"/>
    <w:rsid w:val="0054171A"/>
    <w:rsid w:val="00546F9C"/>
    <w:rsid w:val="005E3A47"/>
    <w:rsid w:val="005E4771"/>
    <w:rsid w:val="00611102"/>
    <w:rsid w:val="00632DF8"/>
    <w:rsid w:val="00647908"/>
    <w:rsid w:val="00672FCA"/>
    <w:rsid w:val="00686F95"/>
    <w:rsid w:val="006B11C4"/>
    <w:rsid w:val="006C378F"/>
    <w:rsid w:val="006D32B1"/>
    <w:rsid w:val="00736F6A"/>
    <w:rsid w:val="00781832"/>
    <w:rsid w:val="007A2C68"/>
    <w:rsid w:val="0084219E"/>
    <w:rsid w:val="00863B90"/>
    <w:rsid w:val="00877AEC"/>
    <w:rsid w:val="008B0AAF"/>
    <w:rsid w:val="008E1665"/>
    <w:rsid w:val="009A0EAC"/>
    <w:rsid w:val="009D1606"/>
    <w:rsid w:val="00A15BAC"/>
    <w:rsid w:val="00A43EE9"/>
    <w:rsid w:val="00A75900"/>
    <w:rsid w:val="00A816A2"/>
    <w:rsid w:val="00AA0846"/>
    <w:rsid w:val="00AF50F9"/>
    <w:rsid w:val="00BD2ED1"/>
    <w:rsid w:val="00C377C6"/>
    <w:rsid w:val="00C41B86"/>
    <w:rsid w:val="00CC5725"/>
    <w:rsid w:val="00CC6F34"/>
    <w:rsid w:val="00CE13E4"/>
    <w:rsid w:val="00D60724"/>
    <w:rsid w:val="00D67562"/>
    <w:rsid w:val="00DD7631"/>
    <w:rsid w:val="00E024CA"/>
    <w:rsid w:val="00E51E9C"/>
    <w:rsid w:val="00E9738A"/>
    <w:rsid w:val="00F9049E"/>
    <w:rsid w:val="00F9690B"/>
    <w:rsid w:val="00FA2007"/>
    <w:rsid w:val="00FA3C4A"/>
    <w:rsid w:val="00FA7DC4"/>
    <w:rsid w:val="00FB1D71"/>
    <w:rsid w:val="00FC151D"/>
    <w:rsid w:val="00FD4238"/>
    <w:rsid w:val="00FF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4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36F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421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1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1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1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1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1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B5F"/>
  </w:style>
  <w:style w:type="paragraph" w:styleId="Footer">
    <w:name w:val="footer"/>
    <w:basedOn w:val="Normal"/>
    <w:link w:val="FooterChar"/>
    <w:uiPriority w:val="99"/>
    <w:unhideWhenUsed/>
    <w:rsid w:val="003C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B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4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36F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421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1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1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1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1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1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B5F"/>
  </w:style>
  <w:style w:type="paragraph" w:styleId="Footer">
    <w:name w:val="footer"/>
    <w:basedOn w:val="Normal"/>
    <w:link w:val="FooterChar"/>
    <w:uiPriority w:val="99"/>
    <w:unhideWhenUsed/>
    <w:rsid w:val="003C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39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170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392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81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489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14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12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9A79C-4D52-4B51-A12B-830DB5A3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Augustine</dc:creator>
  <cp:lastModifiedBy>David.Augustine</cp:lastModifiedBy>
  <cp:revision>5</cp:revision>
  <dcterms:created xsi:type="dcterms:W3CDTF">2016-02-16T22:45:00Z</dcterms:created>
  <dcterms:modified xsi:type="dcterms:W3CDTF">2016-02-18T15:19:00Z</dcterms:modified>
</cp:coreProperties>
</file>