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3570" w:rsidRPr="00E93570" w:rsidRDefault="00E93570" w:rsidP="00C41A80">
      <w:pPr>
        <w:pStyle w:val="xmsonospacing"/>
        <w:spacing w:before="0" w:beforeAutospacing="0" w:after="0" w:afterAutospacing="0"/>
        <w:rPr>
          <w:b/>
          <w:bCs/>
          <w:iCs/>
          <w:sz w:val="28"/>
          <w:szCs w:val="28"/>
          <w:u w:val="single"/>
        </w:rPr>
      </w:pPr>
      <w:r w:rsidRPr="00E93570">
        <w:rPr>
          <w:b/>
          <w:bCs/>
          <w:iCs/>
          <w:sz w:val="28"/>
          <w:szCs w:val="28"/>
          <w:u w:val="single"/>
        </w:rPr>
        <w:t>Phosphorus budgets across the LTAR network</w:t>
      </w:r>
    </w:p>
    <w:p w:rsidR="00E93570" w:rsidRDefault="00E93570" w:rsidP="00C41A80">
      <w:pPr>
        <w:pStyle w:val="xmsonospacing"/>
        <w:spacing w:before="0" w:beforeAutospacing="0" w:after="0" w:afterAutospacing="0"/>
        <w:rPr>
          <w:bCs/>
          <w:iCs/>
          <w:color w:val="C00000"/>
        </w:rPr>
      </w:pPr>
    </w:p>
    <w:p w:rsidR="00310A2F" w:rsidRPr="00310A2F" w:rsidRDefault="00310A2F" w:rsidP="00C41A80">
      <w:pPr>
        <w:pStyle w:val="xmsonospacing"/>
        <w:spacing w:before="0" w:beforeAutospacing="0" w:after="0" w:afterAutospacing="0"/>
        <w:rPr>
          <w:bCs/>
          <w:iCs/>
          <w:color w:val="C00000"/>
        </w:rPr>
      </w:pPr>
      <w:r>
        <w:rPr>
          <w:bCs/>
          <w:iCs/>
          <w:color w:val="C00000"/>
        </w:rPr>
        <w:t>[Instructions are listed in red</w:t>
      </w:r>
      <w:r w:rsidR="00E93570">
        <w:rPr>
          <w:bCs/>
          <w:iCs/>
          <w:color w:val="C00000"/>
        </w:rPr>
        <w:t>. An example phosphorus budget for the Eastern Corn</w:t>
      </w:r>
      <w:r w:rsidR="00525918">
        <w:rPr>
          <w:bCs/>
          <w:iCs/>
          <w:color w:val="C00000"/>
        </w:rPr>
        <w:t xml:space="preserve"> B</w:t>
      </w:r>
      <w:r w:rsidR="00E93570">
        <w:rPr>
          <w:bCs/>
          <w:iCs/>
          <w:color w:val="C00000"/>
        </w:rPr>
        <w:t>elt LTAR is included for reference.</w:t>
      </w:r>
      <w:r>
        <w:rPr>
          <w:bCs/>
          <w:iCs/>
          <w:color w:val="C00000"/>
        </w:rPr>
        <w:t>]</w:t>
      </w:r>
    </w:p>
    <w:p w:rsidR="00310A2F" w:rsidRDefault="00310A2F" w:rsidP="00C41A80">
      <w:pPr>
        <w:pStyle w:val="xmsonospacing"/>
        <w:spacing w:before="0" w:beforeAutospacing="0" w:after="0" w:afterAutospacing="0"/>
        <w:rPr>
          <w:b/>
          <w:bCs/>
          <w:iCs/>
          <w:sz w:val="28"/>
          <w:szCs w:val="28"/>
        </w:rPr>
      </w:pPr>
    </w:p>
    <w:p w:rsidR="00C41A80" w:rsidRDefault="00C41A80" w:rsidP="00C41A80">
      <w:pPr>
        <w:pStyle w:val="xmsonospacing"/>
        <w:spacing w:before="0" w:beforeAutospacing="0" w:after="0" w:afterAutospacing="0"/>
        <w:rPr>
          <w:b/>
          <w:bCs/>
          <w:iCs/>
          <w:sz w:val="28"/>
          <w:szCs w:val="28"/>
        </w:rPr>
      </w:pPr>
      <w:r w:rsidRPr="00C41A80">
        <w:rPr>
          <w:b/>
          <w:bCs/>
          <w:iCs/>
          <w:sz w:val="28"/>
          <w:szCs w:val="28"/>
        </w:rPr>
        <w:t xml:space="preserve">LTAR </w:t>
      </w:r>
      <w:r>
        <w:rPr>
          <w:b/>
          <w:bCs/>
          <w:iCs/>
          <w:sz w:val="28"/>
          <w:szCs w:val="28"/>
        </w:rPr>
        <w:t>n</w:t>
      </w:r>
      <w:r w:rsidRPr="00C41A80">
        <w:rPr>
          <w:b/>
          <w:bCs/>
          <w:iCs/>
          <w:sz w:val="28"/>
          <w:szCs w:val="28"/>
        </w:rPr>
        <w:t>ame:</w:t>
      </w:r>
    </w:p>
    <w:p w:rsidR="00C41A80" w:rsidRDefault="00C41A80" w:rsidP="00C41A80">
      <w:pPr>
        <w:pStyle w:val="xmsonospacing"/>
        <w:spacing w:before="0" w:beforeAutospacing="0" w:after="0" w:afterAutospacing="0"/>
        <w:rPr>
          <w:bCs/>
          <w:iCs/>
        </w:rPr>
      </w:pPr>
      <w:r>
        <w:rPr>
          <w:bCs/>
          <w:iCs/>
        </w:rPr>
        <w:t>Eastern Corn</w:t>
      </w:r>
      <w:r w:rsidR="00525918">
        <w:rPr>
          <w:bCs/>
          <w:iCs/>
        </w:rPr>
        <w:t xml:space="preserve"> B</w:t>
      </w:r>
      <w:r>
        <w:rPr>
          <w:bCs/>
          <w:iCs/>
        </w:rPr>
        <w:t>elt</w:t>
      </w:r>
    </w:p>
    <w:p w:rsidR="00C41A80" w:rsidRDefault="00C41A80" w:rsidP="00C41A80">
      <w:pPr>
        <w:pStyle w:val="xmsonospacing"/>
        <w:spacing w:before="0" w:beforeAutospacing="0" w:after="0" w:afterAutospacing="0"/>
        <w:rPr>
          <w:bCs/>
          <w:iCs/>
        </w:rPr>
      </w:pPr>
    </w:p>
    <w:p w:rsidR="00C41A80" w:rsidRPr="00C41A80" w:rsidRDefault="00C41A80" w:rsidP="00C41A80">
      <w:pPr>
        <w:pStyle w:val="xmsonospacing"/>
        <w:spacing w:before="0" w:beforeAutospacing="0" w:after="0" w:afterAutospacing="0"/>
        <w:rPr>
          <w:b/>
          <w:bCs/>
          <w:iCs/>
          <w:sz w:val="28"/>
          <w:szCs w:val="28"/>
        </w:rPr>
      </w:pPr>
      <w:r w:rsidRPr="00C41A80">
        <w:rPr>
          <w:b/>
          <w:bCs/>
          <w:iCs/>
          <w:sz w:val="28"/>
          <w:szCs w:val="28"/>
        </w:rPr>
        <w:t>Primary contact</w:t>
      </w:r>
      <w:r w:rsidR="004A6955">
        <w:rPr>
          <w:b/>
          <w:bCs/>
          <w:iCs/>
          <w:sz w:val="28"/>
          <w:szCs w:val="28"/>
        </w:rPr>
        <w:t>(</w:t>
      </w:r>
      <w:r w:rsidRPr="00C41A80">
        <w:rPr>
          <w:b/>
          <w:bCs/>
          <w:iCs/>
          <w:sz w:val="28"/>
          <w:szCs w:val="28"/>
        </w:rPr>
        <w:t>s</w:t>
      </w:r>
      <w:r w:rsidR="004A6955">
        <w:rPr>
          <w:b/>
          <w:bCs/>
          <w:iCs/>
          <w:sz w:val="28"/>
          <w:szCs w:val="28"/>
        </w:rPr>
        <w:t>)</w:t>
      </w:r>
      <w:r w:rsidRPr="00C41A80">
        <w:rPr>
          <w:b/>
          <w:bCs/>
          <w:iCs/>
          <w:sz w:val="28"/>
          <w:szCs w:val="28"/>
        </w:rPr>
        <w:t>:</w:t>
      </w:r>
    </w:p>
    <w:p w:rsidR="00C41A80" w:rsidRDefault="00C41A80" w:rsidP="00C41A80">
      <w:pPr>
        <w:pStyle w:val="xmsonospacing"/>
        <w:spacing w:before="0" w:beforeAutospacing="0" w:after="0" w:afterAutospacing="0"/>
        <w:rPr>
          <w:bCs/>
          <w:iCs/>
          <w:color w:val="C00000"/>
        </w:rPr>
      </w:pPr>
      <w:r w:rsidRPr="00C41A80">
        <w:rPr>
          <w:bCs/>
          <w:iCs/>
          <w:color w:val="C00000"/>
        </w:rPr>
        <w:t>[List those who helped in the development of a phosphorus budget</w:t>
      </w:r>
      <w:r w:rsidR="00E93570">
        <w:rPr>
          <w:bCs/>
          <w:iCs/>
          <w:color w:val="C00000"/>
        </w:rPr>
        <w:t xml:space="preserve"> along with their email address.</w:t>
      </w:r>
      <w:r w:rsidRPr="00C41A80">
        <w:rPr>
          <w:bCs/>
          <w:iCs/>
          <w:color w:val="C00000"/>
        </w:rPr>
        <w:t>]</w:t>
      </w:r>
    </w:p>
    <w:p w:rsidR="000E2A92" w:rsidRDefault="000E2A92" w:rsidP="00C41A80">
      <w:pPr>
        <w:pStyle w:val="xmsonospacing"/>
        <w:spacing w:before="0" w:beforeAutospacing="0" w:after="0" w:afterAutospacing="0"/>
        <w:rPr>
          <w:bCs/>
          <w:iCs/>
          <w:color w:val="C00000"/>
        </w:rPr>
      </w:pPr>
    </w:p>
    <w:p w:rsidR="00C41A80" w:rsidRDefault="00C41A80" w:rsidP="00C41A80">
      <w:pPr>
        <w:pStyle w:val="xmsonospacing"/>
        <w:spacing w:before="0" w:beforeAutospacing="0" w:after="0" w:afterAutospacing="0"/>
        <w:rPr>
          <w:bCs/>
          <w:iCs/>
        </w:rPr>
      </w:pPr>
      <w:r>
        <w:rPr>
          <w:bCs/>
          <w:iCs/>
        </w:rPr>
        <w:t>Mark Williams – ARS, West Lafayette, IN</w:t>
      </w:r>
      <w:r w:rsidR="00E93570">
        <w:rPr>
          <w:bCs/>
          <w:iCs/>
        </w:rPr>
        <w:t>. Email: mark.williams2@ars.usda.gov</w:t>
      </w:r>
    </w:p>
    <w:p w:rsidR="00C41A80" w:rsidRDefault="00C41A80" w:rsidP="00C41A80">
      <w:pPr>
        <w:pStyle w:val="xmsonospacing"/>
        <w:spacing w:before="0" w:beforeAutospacing="0" w:after="0" w:afterAutospacing="0"/>
        <w:rPr>
          <w:bCs/>
          <w:iCs/>
        </w:rPr>
      </w:pPr>
      <w:r>
        <w:rPr>
          <w:bCs/>
          <w:iCs/>
        </w:rPr>
        <w:t>Kevin King – ARS, Columbus, OH</w:t>
      </w:r>
      <w:r w:rsidR="00E93570">
        <w:rPr>
          <w:bCs/>
          <w:iCs/>
        </w:rPr>
        <w:t>. Email: kevin.king@ars.usda.gov</w:t>
      </w:r>
    </w:p>
    <w:p w:rsidR="004A6955" w:rsidRDefault="004A6955" w:rsidP="00C41A80">
      <w:pPr>
        <w:pStyle w:val="xmsonospacing"/>
        <w:spacing w:before="0" w:beforeAutospacing="0" w:after="0" w:afterAutospacing="0"/>
        <w:rPr>
          <w:bCs/>
          <w:iCs/>
        </w:rPr>
      </w:pPr>
    </w:p>
    <w:p w:rsidR="004A6955" w:rsidRDefault="004A6955" w:rsidP="00C41A80">
      <w:pPr>
        <w:pStyle w:val="xmsonospacing"/>
        <w:spacing w:before="0" w:beforeAutospacing="0" w:after="0" w:afterAutospacing="0"/>
        <w:rPr>
          <w:b/>
          <w:bCs/>
          <w:iCs/>
          <w:sz w:val="28"/>
          <w:szCs w:val="28"/>
        </w:rPr>
      </w:pPr>
      <w:r>
        <w:rPr>
          <w:b/>
          <w:bCs/>
          <w:iCs/>
          <w:sz w:val="28"/>
          <w:szCs w:val="28"/>
        </w:rPr>
        <w:t>Regional resource concern</w:t>
      </w:r>
      <w:r w:rsidRPr="004A6955">
        <w:rPr>
          <w:b/>
          <w:bCs/>
          <w:iCs/>
          <w:sz w:val="28"/>
          <w:szCs w:val="28"/>
        </w:rPr>
        <w:t xml:space="preserve"> related to phosphorus: </w:t>
      </w:r>
    </w:p>
    <w:p w:rsidR="00BD1D77" w:rsidRDefault="004A6955" w:rsidP="00BD1D77">
      <w:pPr>
        <w:pStyle w:val="xmsonospacing"/>
        <w:spacing w:before="0" w:beforeAutospacing="0" w:after="0" w:afterAutospacing="0"/>
        <w:rPr>
          <w:bCs/>
          <w:iCs/>
          <w:color w:val="C00000"/>
        </w:rPr>
      </w:pPr>
      <w:r>
        <w:rPr>
          <w:bCs/>
          <w:iCs/>
          <w:color w:val="C00000"/>
        </w:rPr>
        <w:t>[Briefly describe regional resource concerns related to phosphoru</w:t>
      </w:r>
      <w:r w:rsidR="00BD1D77">
        <w:rPr>
          <w:bCs/>
          <w:iCs/>
          <w:color w:val="C00000"/>
        </w:rPr>
        <w:t>s and/or phosphorus management</w:t>
      </w:r>
      <w:r w:rsidR="00AC7403">
        <w:rPr>
          <w:bCs/>
          <w:iCs/>
          <w:color w:val="C00000"/>
        </w:rPr>
        <w:t>. If references are used, please provide full citations.</w:t>
      </w:r>
      <w:r w:rsidR="00BD1D77">
        <w:rPr>
          <w:bCs/>
          <w:iCs/>
          <w:color w:val="C00000"/>
        </w:rPr>
        <w:t>]</w:t>
      </w:r>
      <w:r>
        <w:rPr>
          <w:bCs/>
          <w:iCs/>
          <w:color w:val="C00000"/>
        </w:rPr>
        <w:t xml:space="preserve"> </w:t>
      </w:r>
    </w:p>
    <w:p w:rsidR="001B60D7" w:rsidRDefault="001B60D7" w:rsidP="00BD1D77">
      <w:pPr>
        <w:pStyle w:val="xmsonospacing"/>
        <w:spacing w:before="0" w:beforeAutospacing="0" w:after="0" w:afterAutospacing="0"/>
        <w:rPr>
          <w:bCs/>
          <w:iCs/>
          <w:color w:val="C00000"/>
        </w:rPr>
      </w:pPr>
    </w:p>
    <w:p w:rsidR="00562251" w:rsidRDefault="00946771" w:rsidP="00BD1D77">
      <w:pPr>
        <w:pStyle w:val="xmsonospacing"/>
        <w:spacing w:before="0" w:beforeAutospacing="0" w:after="0" w:afterAutospacing="0"/>
        <w:rPr>
          <w:b/>
          <w:bCs/>
          <w:i/>
          <w:iCs/>
        </w:rPr>
      </w:pPr>
      <w:r w:rsidRPr="00BD1D77">
        <w:rPr>
          <w:bCs/>
          <w:iCs/>
          <w:u w:val="single"/>
        </w:rPr>
        <w:t>Western Lake Erie Basin</w:t>
      </w:r>
      <w:r w:rsidR="00C23059">
        <w:rPr>
          <w:bCs/>
          <w:iCs/>
          <w:u w:val="single"/>
        </w:rPr>
        <w:t>:</w:t>
      </w:r>
    </w:p>
    <w:p w:rsidR="00946771" w:rsidRDefault="00946771" w:rsidP="00BD1D77">
      <w:pPr>
        <w:pStyle w:val="xmsonospacing"/>
        <w:spacing w:before="0" w:beforeAutospacing="0" w:after="0" w:afterAutospacing="0"/>
      </w:pPr>
      <w:r w:rsidRPr="00946771">
        <w:rPr>
          <w:bCs/>
          <w:iCs/>
        </w:rPr>
        <w:t>O</w:t>
      </w:r>
      <w:r w:rsidRPr="00946771">
        <w:t>ver the past decade</w:t>
      </w:r>
      <w:r w:rsidR="00997B38">
        <w:t>,</w:t>
      </w:r>
      <w:r w:rsidRPr="00946771">
        <w:t xml:space="preserve"> there has been an increased incidence of </w:t>
      </w:r>
      <w:r>
        <w:t xml:space="preserve">harmful and nuisance </w:t>
      </w:r>
      <w:r w:rsidRPr="00946771">
        <w:t xml:space="preserve">algal blooms </w:t>
      </w:r>
      <w:r>
        <w:t>(HNABs) in the Western Lake Erie Basin (WLEB)</w:t>
      </w:r>
      <w:r w:rsidR="00AC7403">
        <w:t xml:space="preserve"> (e.g., Smith et al., 2015)</w:t>
      </w:r>
      <w:r w:rsidRPr="00946771">
        <w:t xml:space="preserve">. The increase in HNABs in </w:t>
      </w:r>
      <w:r>
        <w:t>the WLEB</w:t>
      </w:r>
      <w:r w:rsidRPr="00946771">
        <w:t xml:space="preserve"> has led to greater water treatment costs, reductions in fish populations, and poor water quality that has negatively impacted fishing and tourism industries within the Great Lakes region</w:t>
      </w:r>
      <w:r w:rsidR="00AC7403">
        <w:t xml:space="preserve"> (Ohio P Task Force, 2013)</w:t>
      </w:r>
      <w:r w:rsidRPr="00946771">
        <w:t xml:space="preserve">. The primary cause of water quality impairment and algal blooms within </w:t>
      </w:r>
      <w:r>
        <w:t>the WLEB</w:t>
      </w:r>
      <w:r w:rsidRPr="00946771">
        <w:t xml:space="preserve"> is the input of excess nutrients and sediment often transported from agricultural lands. </w:t>
      </w:r>
      <w:r w:rsidR="00997B38">
        <w:t xml:space="preserve">Approximately 70% of phosphorus (P) delivered to the WLEB is from agriculture. </w:t>
      </w:r>
      <w:r w:rsidRPr="00946771">
        <w:t xml:space="preserve">To address the </w:t>
      </w:r>
      <w:r w:rsidR="00997B38">
        <w:t>extent and frequency of HNABs</w:t>
      </w:r>
      <w:r w:rsidRPr="00946771">
        <w:t>, state and binational</w:t>
      </w:r>
      <w:bookmarkStart w:id="0" w:name="_GoBack"/>
      <w:bookmarkEnd w:id="0"/>
      <w:r w:rsidRPr="00946771">
        <w:t xml:space="preserve"> task forces have recommended a 40% reduction to annual and spring </w:t>
      </w:r>
      <w:r w:rsidR="00C41A80">
        <w:t xml:space="preserve">P </w:t>
      </w:r>
      <w:r w:rsidRPr="00946771">
        <w:t>loadings </w:t>
      </w:r>
      <w:r w:rsidR="00997B38">
        <w:t>to the WLEB</w:t>
      </w:r>
      <w:r w:rsidR="00AC7403">
        <w:t xml:space="preserve"> (Annex 4 [Nutrients], 2015)</w:t>
      </w:r>
      <w:r w:rsidR="00C41A80">
        <w:t>.</w:t>
      </w:r>
    </w:p>
    <w:p w:rsidR="00AC7403" w:rsidRPr="008B008A" w:rsidRDefault="008B008A" w:rsidP="00BD1D77">
      <w:pPr>
        <w:pStyle w:val="xmsonospacing"/>
        <w:spacing w:before="0" w:beforeAutospacing="0" w:after="0" w:afterAutospacing="0"/>
        <w:rPr>
          <w:u w:val="single"/>
        </w:rPr>
      </w:pPr>
      <w:r w:rsidRPr="008B008A">
        <w:rPr>
          <w:u w:val="single"/>
        </w:rPr>
        <w:t>References:</w:t>
      </w:r>
    </w:p>
    <w:p w:rsidR="00AC7403" w:rsidRPr="00415D55" w:rsidRDefault="00AC7403" w:rsidP="00AC7403">
      <w:pPr>
        <w:spacing w:after="0" w:line="240" w:lineRule="auto"/>
        <w:ind w:left="360" w:hanging="360"/>
        <w:rPr>
          <w:rFonts w:ascii="Times New Roman" w:hAnsi="Times New Roman" w:cs="Times New Roman"/>
          <w:sz w:val="24"/>
          <w:szCs w:val="24"/>
        </w:rPr>
      </w:pPr>
      <w:r w:rsidRPr="00415D55">
        <w:rPr>
          <w:rFonts w:ascii="Times New Roman" w:hAnsi="Times New Roman" w:cs="Times New Roman"/>
          <w:sz w:val="24"/>
          <w:szCs w:val="24"/>
        </w:rPr>
        <w:t xml:space="preserve">Annex 4 (Nutrients). 2015. Recommend phosphorus loading targets for Lake Erie. Great Lakes Water Quality Agreement Amendment of 2012. p 1-45. </w:t>
      </w:r>
    </w:p>
    <w:p w:rsidR="00AC7403" w:rsidRDefault="00AC7403" w:rsidP="00AC7403">
      <w:pPr>
        <w:tabs>
          <w:tab w:val="left" w:pos="450"/>
        </w:tabs>
        <w:spacing w:after="0" w:line="240" w:lineRule="auto"/>
        <w:ind w:left="360" w:hanging="360"/>
        <w:rPr>
          <w:rFonts w:ascii="Times New Roman" w:hAnsi="Times New Roman" w:cs="Times New Roman"/>
          <w:sz w:val="24"/>
          <w:szCs w:val="24"/>
        </w:rPr>
      </w:pPr>
      <w:r w:rsidRPr="00AC7403">
        <w:rPr>
          <w:rFonts w:ascii="Times New Roman" w:hAnsi="Times New Roman" w:cs="Times New Roman"/>
          <w:sz w:val="24"/>
          <w:szCs w:val="24"/>
        </w:rPr>
        <w:t xml:space="preserve">Ohio P Task Force. 2013. Ohio Lake Erie Phosphorus Task Force II Final Report. Ohio Dept. of Agriculture, Dept. of Natural Resources, Environmental Protection Agency, Lake Erie Commission. 96 p. </w:t>
      </w:r>
    </w:p>
    <w:p w:rsidR="00AC7403" w:rsidRDefault="00AC7403" w:rsidP="00AC7403">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Smith, D.R., K.W. King, and M.R. Williams. 2015. What is causing the harmful algal blooms in Lake Erie? J. Soil Water Conserv. 70:27A-29A.</w:t>
      </w:r>
    </w:p>
    <w:p w:rsidR="00C23059" w:rsidRDefault="00C23059" w:rsidP="00AC7403">
      <w:pPr>
        <w:spacing w:after="0" w:line="240" w:lineRule="auto"/>
        <w:ind w:left="360" w:hanging="360"/>
        <w:rPr>
          <w:rFonts w:ascii="Times New Roman" w:hAnsi="Times New Roman" w:cs="Times New Roman"/>
          <w:sz w:val="24"/>
          <w:szCs w:val="24"/>
        </w:rPr>
      </w:pPr>
    </w:p>
    <w:p w:rsidR="00C23059" w:rsidRDefault="00C23059" w:rsidP="00AC7403">
      <w:pPr>
        <w:spacing w:after="0" w:line="240" w:lineRule="auto"/>
        <w:ind w:left="360" w:hanging="360"/>
        <w:rPr>
          <w:rFonts w:ascii="Times New Roman" w:hAnsi="Times New Roman" w:cs="Times New Roman"/>
          <w:b/>
          <w:sz w:val="28"/>
          <w:szCs w:val="28"/>
        </w:rPr>
      </w:pPr>
      <w:r w:rsidRPr="00C23059">
        <w:rPr>
          <w:rFonts w:ascii="Times New Roman" w:hAnsi="Times New Roman" w:cs="Times New Roman"/>
          <w:b/>
          <w:sz w:val="28"/>
          <w:szCs w:val="28"/>
        </w:rPr>
        <w:t>Site description:</w:t>
      </w:r>
    </w:p>
    <w:p w:rsidR="00AC7403" w:rsidRDefault="00C23059" w:rsidP="00C23059">
      <w:pPr>
        <w:spacing w:after="0" w:line="240" w:lineRule="auto"/>
        <w:rPr>
          <w:rFonts w:ascii="Times New Roman" w:hAnsi="Times New Roman" w:cs="Times New Roman"/>
          <w:color w:val="C00000"/>
          <w:sz w:val="24"/>
          <w:szCs w:val="24"/>
        </w:rPr>
      </w:pPr>
      <w:r>
        <w:rPr>
          <w:rFonts w:ascii="Times New Roman" w:hAnsi="Times New Roman" w:cs="Times New Roman"/>
          <w:color w:val="C00000"/>
          <w:sz w:val="24"/>
          <w:szCs w:val="24"/>
        </w:rPr>
        <w:t xml:space="preserve">[Provide general characteristics for the site(s) used to calculate a phosphorus budget. While nutrient budgets can be calculated at multiple spatial scales, we would like the phosphorus budget to be representative of the field scale and ‘business as usual’ management. Example site characteristics include: crop rotation, tillage, phosphorus management, grazing type, </w:t>
      </w:r>
      <w:r w:rsidR="00DF771D">
        <w:rPr>
          <w:rFonts w:ascii="Times New Roman" w:hAnsi="Times New Roman" w:cs="Times New Roman"/>
          <w:color w:val="C00000"/>
          <w:sz w:val="24"/>
          <w:szCs w:val="24"/>
        </w:rPr>
        <w:t xml:space="preserve">field size, </w:t>
      </w:r>
      <w:r>
        <w:rPr>
          <w:rFonts w:ascii="Times New Roman" w:hAnsi="Times New Roman" w:cs="Times New Roman"/>
          <w:color w:val="C00000"/>
          <w:sz w:val="24"/>
          <w:szCs w:val="24"/>
        </w:rPr>
        <w:t>etc.]</w:t>
      </w:r>
    </w:p>
    <w:p w:rsidR="00DF771D" w:rsidRDefault="0045244A" w:rsidP="00C23059">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The fields used to calculate a P budget for the Eastern Corn</w:t>
      </w:r>
      <w:r w:rsidR="00525918">
        <w:rPr>
          <w:rFonts w:ascii="Times New Roman" w:hAnsi="Times New Roman" w:cs="Times New Roman"/>
          <w:sz w:val="24"/>
          <w:szCs w:val="24"/>
        </w:rPr>
        <w:t xml:space="preserve"> B</w:t>
      </w:r>
      <w:r>
        <w:rPr>
          <w:rFonts w:ascii="Times New Roman" w:hAnsi="Times New Roman" w:cs="Times New Roman"/>
          <w:sz w:val="24"/>
          <w:szCs w:val="24"/>
        </w:rPr>
        <w:t xml:space="preserve">elt are reflective of business as usual management practices in central and northwestern Ohio, and northeastern Indiana. Fields are tile drained and are generally between 5 and 10 ha. They are cropped in a corn-soybean rotation, with rotational tillage (tillage prior to corn planting, no-till soybean). Commercial fertilizer is the main source of P applied to fields, with a few fields receiving manure. Fertilizers are generally surface broadcast and applied prior to corn planting for the 2-yr rotation. </w:t>
      </w:r>
    </w:p>
    <w:p w:rsidR="00D82082" w:rsidRDefault="00D82082" w:rsidP="00C23059">
      <w:pPr>
        <w:spacing w:after="0" w:line="240" w:lineRule="auto"/>
        <w:rPr>
          <w:rFonts w:ascii="Times New Roman" w:hAnsi="Times New Roman" w:cs="Times New Roman"/>
          <w:sz w:val="24"/>
          <w:szCs w:val="24"/>
        </w:rPr>
      </w:pPr>
    </w:p>
    <w:p w:rsidR="00D82082" w:rsidRDefault="00D82082" w:rsidP="00D82082">
      <w:pPr>
        <w:spacing w:after="0" w:line="240" w:lineRule="auto"/>
        <w:ind w:left="360" w:hanging="360"/>
        <w:rPr>
          <w:rFonts w:ascii="Times New Roman" w:hAnsi="Times New Roman" w:cs="Times New Roman"/>
          <w:b/>
          <w:sz w:val="28"/>
          <w:szCs w:val="28"/>
        </w:rPr>
      </w:pPr>
      <w:r>
        <w:rPr>
          <w:rFonts w:ascii="Times New Roman" w:hAnsi="Times New Roman" w:cs="Times New Roman"/>
          <w:b/>
          <w:sz w:val="28"/>
          <w:szCs w:val="28"/>
        </w:rPr>
        <w:t>Phosphorus budget summary</w:t>
      </w:r>
      <w:r w:rsidRPr="00C23059">
        <w:rPr>
          <w:rFonts w:ascii="Times New Roman" w:hAnsi="Times New Roman" w:cs="Times New Roman"/>
          <w:b/>
          <w:sz w:val="28"/>
          <w:szCs w:val="28"/>
        </w:rPr>
        <w:t>:</w:t>
      </w:r>
    </w:p>
    <w:p w:rsidR="00D82082" w:rsidRPr="00D82082" w:rsidRDefault="00D82082" w:rsidP="00D82082">
      <w:pPr>
        <w:spacing w:after="0" w:line="240" w:lineRule="auto"/>
        <w:rPr>
          <w:rFonts w:ascii="Times New Roman" w:hAnsi="Times New Roman" w:cs="Times New Roman"/>
          <w:color w:val="C00000"/>
          <w:sz w:val="24"/>
          <w:szCs w:val="24"/>
        </w:rPr>
      </w:pPr>
      <w:r>
        <w:rPr>
          <w:rFonts w:ascii="Times New Roman" w:hAnsi="Times New Roman" w:cs="Times New Roman"/>
          <w:color w:val="C00000"/>
          <w:sz w:val="24"/>
          <w:szCs w:val="24"/>
        </w:rPr>
        <w:t xml:space="preserve">[Fill out the following table that summarizes the main components of the phosphorus budget. Please use average values expressed as kg P/ha for all inputs and outputs (detailed information on data sources, uncertainty in input/output values, etc. </w:t>
      </w:r>
      <w:r w:rsidR="00827DA7">
        <w:rPr>
          <w:rFonts w:ascii="Times New Roman" w:hAnsi="Times New Roman" w:cs="Times New Roman"/>
          <w:color w:val="C00000"/>
          <w:sz w:val="24"/>
          <w:szCs w:val="24"/>
        </w:rPr>
        <w:t>will need to be</w:t>
      </w:r>
      <w:r>
        <w:rPr>
          <w:rFonts w:ascii="Times New Roman" w:hAnsi="Times New Roman" w:cs="Times New Roman"/>
          <w:color w:val="C00000"/>
          <w:sz w:val="24"/>
          <w:szCs w:val="24"/>
        </w:rPr>
        <w:t xml:space="preserve"> </w:t>
      </w:r>
      <w:r w:rsidR="00827DA7">
        <w:rPr>
          <w:rFonts w:ascii="Times New Roman" w:hAnsi="Times New Roman" w:cs="Times New Roman"/>
          <w:color w:val="C00000"/>
          <w:sz w:val="24"/>
          <w:szCs w:val="24"/>
        </w:rPr>
        <w:t>provided</w:t>
      </w:r>
      <w:r>
        <w:rPr>
          <w:rFonts w:ascii="Times New Roman" w:hAnsi="Times New Roman" w:cs="Times New Roman"/>
          <w:color w:val="C00000"/>
          <w:sz w:val="24"/>
          <w:szCs w:val="24"/>
        </w:rPr>
        <w:t xml:space="preserve"> in the subsequent section)</w:t>
      </w:r>
      <w:r w:rsidR="009A2312">
        <w:rPr>
          <w:rFonts w:ascii="Times New Roman" w:hAnsi="Times New Roman" w:cs="Times New Roman"/>
          <w:color w:val="C00000"/>
          <w:sz w:val="24"/>
          <w:szCs w:val="24"/>
        </w:rPr>
        <w:t xml:space="preserve">. Also, below the table </w:t>
      </w:r>
      <w:r w:rsidR="00827DA7">
        <w:rPr>
          <w:rFonts w:ascii="Times New Roman" w:hAnsi="Times New Roman" w:cs="Times New Roman"/>
          <w:color w:val="C00000"/>
          <w:sz w:val="24"/>
          <w:szCs w:val="24"/>
        </w:rPr>
        <w:t xml:space="preserve">describe </w:t>
      </w:r>
      <w:r w:rsidR="009A2312">
        <w:rPr>
          <w:rFonts w:ascii="Times New Roman" w:hAnsi="Times New Roman" w:cs="Times New Roman"/>
          <w:color w:val="C00000"/>
          <w:sz w:val="24"/>
          <w:szCs w:val="24"/>
        </w:rPr>
        <w:t>the length of time the phosphorus budget covers (e.g., annual, 2 year, etc.) and the rationale why this length of time was chosen.</w:t>
      </w:r>
      <w:r>
        <w:rPr>
          <w:rFonts w:ascii="Times New Roman" w:hAnsi="Times New Roman" w:cs="Times New Roman"/>
          <w:color w:val="C00000"/>
          <w:sz w:val="24"/>
          <w:szCs w:val="24"/>
        </w:rPr>
        <w:t>]</w:t>
      </w:r>
    </w:p>
    <w:p w:rsidR="00D82082" w:rsidRDefault="00D82082" w:rsidP="00C23059">
      <w:pPr>
        <w:spacing w:after="0" w:line="240" w:lineRule="auto"/>
        <w:rPr>
          <w:rFonts w:ascii="Times New Roman" w:hAnsi="Times New Roman" w:cs="Times New Roman"/>
          <w:sz w:val="24"/>
          <w:szCs w:val="24"/>
        </w:rPr>
      </w:pPr>
    </w:p>
    <w:p w:rsidR="00852FDD" w:rsidRPr="0045244A" w:rsidRDefault="00852FDD" w:rsidP="00C23059">
      <w:pPr>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1800"/>
      </w:tblGrid>
      <w:tr w:rsidR="00852FDD" w:rsidTr="009A2312">
        <w:tc>
          <w:tcPr>
            <w:tcW w:w="2178" w:type="dxa"/>
            <w:tcBorders>
              <w:top w:val="single" w:sz="4" w:space="0" w:color="auto"/>
              <w:bottom w:val="single" w:sz="4" w:space="0" w:color="auto"/>
            </w:tcBorders>
          </w:tcPr>
          <w:p w:rsidR="00852FDD" w:rsidRPr="00852FDD" w:rsidRDefault="00852FDD" w:rsidP="00BD1D77">
            <w:pPr>
              <w:pStyle w:val="xmsonospacing"/>
              <w:spacing w:before="0" w:beforeAutospacing="0" w:after="0" w:afterAutospacing="0"/>
              <w:rPr>
                <w:b/>
              </w:rPr>
            </w:pPr>
            <w:r w:rsidRPr="00852FDD">
              <w:rPr>
                <w:b/>
              </w:rPr>
              <w:t>Parameter</w:t>
            </w:r>
          </w:p>
        </w:tc>
        <w:tc>
          <w:tcPr>
            <w:tcW w:w="1800" w:type="dxa"/>
            <w:tcBorders>
              <w:top w:val="single" w:sz="4" w:space="0" w:color="auto"/>
              <w:bottom w:val="single" w:sz="4" w:space="0" w:color="auto"/>
            </w:tcBorders>
          </w:tcPr>
          <w:p w:rsidR="00852FDD" w:rsidRDefault="00852FDD" w:rsidP="00852FDD">
            <w:pPr>
              <w:pStyle w:val="xmsonospacing"/>
              <w:spacing w:before="0" w:beforeAutospacing="0" w:after="0" w:afterAutospacing="0"/>
              <w:jc w:val="center"/>
              <w:rPr>
                <w:b/>
              </w:rPr>
            </w:pPr>
            <w:r w:rsidRPr="00852FDD">
              <w:rPr>
                <w:b/>
              </w:rPr>
              <w:t>Value</w:t>
            </w:r>
          </w:p>
          <w:p w:rsidR="00852FDD" w:rsidRPr="00852FDD" w:rsidRDefault="00852FDD" w:rsidP="00852FDD">
            <w:pPr>
              <w:pStyle w:val="xmsonospacing"/>
              <w:spacing w:before="0" w:beforeAutospacing="0" w:after="0" w:afterAutospacing="0"/>
              <w:jc w:val="center"/>
              <w:rPr>
                <w:b/>
              </w:rPr>
            </w:pPr>
            <w:r w:rsidRPr="00852FDD">
              <w:rPr>
                <w:noProof/>
              </w:rPr>
              <mc:AlternateContent>
                <mc:Choice Requires="wpg">
                  <w:drawing>
                    <wp:anchor distT="0" distB="0" distL="114300" distR="114300" simplePos="0" relativeHeight="251659264" behindDoc="0" locked="0" layoutInCell="1" allowOverlap="1" wp14:anchorId="3B19F954" wp14:editId="6E7ED937">
                      <wp:simplePos x="0" y="0"/>
                      <wp:positionH relativeFrom="column">
                        <wp:posOffset>1544793</wp:posOffset>
                      </wp:positionH>
                      <wp:positionV relativeFrom="paragraph">
                        <wp:posOffset>66040</wp:posOffset>
                      </wp:positionV>
                      <wp:extent cx="3324860" cy="2317750"/>
                      <wp:effectExtent l="0" t="0" r="0" b="0"/>
                      <wp:wrapNone/>
                      <wp:docPr id="24" name="Group 23"/>
                      <wp:cNvGraphicFramePr/>
                      <a:graphic xmlns:a="http://schemas.openxmlformats.org/drawingml/2006/main">
                        <a:graphicData uri="http://schemas.microsoft.com/office/word/2010/wordprocessingGroup">
                          <wpg:wgp>
                            <wpg:cNvGrpSpPr/>
                            <wpg:grpSpPr>
                              <a:xfrm>
                                <a:off x="0" y="0"/>
                                <a:ext cx="3324860" cy="2317750"/>
                                <a:chOff x="0" y="0"/>
                                <a:chExt cx="4603952" cy="2810700"/>
                              </a:xfrm>
                            </wpg:grpSpPr>
                            <wps:wsp>
                              <wps:cNvPr id="2" name="Rectangle 2"/>
                              <wps:cNvSpPr/>
                              <wps:spPr>
                                <a:xfrm>
                                  <a:off x="426962" y="1664732"/>
                                  <a:ext cx="1905000" cy="1066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Straight Arrow Connector 3"/>
                              <wps:cNvCnPr/>
                              <wps:spPr>
                                <a:xfrm>
                                  <a:off x="579362" y="1131332"/>
                                  <a:ext cx="0" cy="5334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 name="TextBox 6"/>
                              <wps:cNvSpPr txBox="1"/>
                              <wps:spPr>
                                <a:xfrm>
                                  <a:off x="0" y="622395"/>
                                  <a:ext cx="1167430" cy="649605"/>
                                </a:xfrm>
                                <a:prstGeom prst="rect">
                                  <a:avLst/>
                                </a:prstGeom>
                                <a:noFill/>
                              </wps:spPr>
                              <wps:txb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Fertilizer/</w:t>
                                    </w:r>
                                  </w:p>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Manure</w:t>
                                    </w:r>
                                  </w:p>
                                </w:txbxContent>
                              </wps:txbx>
                              <wps:bodyPr wrap="square" rtlCol="0">
                                <a:noAutofit/>
                              </wps:bodyPr>
                            </wps:wsp>
                            <wps:wsp>
                              <wps:cNvPr id="5" name="Straight Arrow Connector 5"/>
                              <wps:cNvCnPr/>
                              <wps:spPr>
                                <a:xfrm>
                                  <a:off x="1250545" y="369332"/>
                                  <a:ext cx="0" cy="12954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 name="TextBox 11"/>
                              <wps:cNvSpPr txBox="1"/>
                              <wps:spPr>
                                <a:xfrm>
                                  <a:off x="42035" y="0"/>
                                  <a:ext cx="2823327" cy="370205"/>
                                </a:xfrm>
                                <a:prstGeom prst="rect">
                                  <a:avLst/>
                                </a:prstGeom>
                                <a:noFill/>
                              </wps:spPr>
                              <wps:txb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Atmospheric deposition</w:t>
                                    </w:r>
                                  </w:p>
                                </w:txbxContent>
                              </wps:txbx>
                              <wps:bodyPr wrap="square" rtlCol="0">
                                <a:noAutofit/>
                              </wps:bodyPr>
                            </wps:wsp>
                            <wps:wsp>
                              <wps:cNvPr id="7" name="Straight Arrow Connector 7"/>
                              <wps:cNvCnPr/>
                              <wps:spPr>
                                <a:xfrm flipV="1">
                                  <a:off x="1710932" y="1104900"/>
                                  <a:ext cx="0" cy="586264"/>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 name="TextBox 13"/>
                              <wps:cNvSpPr txBox="1"/>
                              <wps:spPr>
                                <a:xfrm>
                                  <a:off x="1341341" y="761892"/>
                                  <a:ext cx="1600220" cy="370205"/>
                                </a:xfrm>
                                <a:prstGeom prst="rect">
                                  <a:avLst/>
                                </a:prstGeom>
                                <a:noFill/>
                              </wps:spPr>
                              <wps:txb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Crop removal</w:t>
                                    </w:r>
                                  </w:p>
                                </w:txbxContent>
                              </wps:txbx>
                              <wps:bodyPr wrap="square" rtlCol="0">
                                <a:noAutofit/>
                              </wps:bodyPr>
                            </wps:wsp>
                            <wps:wsp>
                              <wps:cNvPr id="9" name="Straight Arrow Connector 9"/>
                              <wps:cNvCnPr/>
                              <wps:spPr>
                                <a:xfrm>
                                  <a:off x="2255762" y="1588532"/>
                                  <a:ext cx="609600" cy="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0" name="TextBox 19"/>
                              <wps:cNvSpPr txBox="1"/>
                              <wps:spPr>
                                <a:xfrm>
                                  <a:off x="2936806" y="1397834"/>
                                  <a:ext cx="1667146" cy="370205"/>
                                </a:xfrm>
                                <a:prstGeom prst="rect">
                                  <a:avLst/>
                                </a:prstGeom>
                                <a:noFill/>
                              </wps:spPr>
                              <wps:txb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Surface runoff</w:t>
                                    </w:r>
                                  </w:p>
                                </w:txbxContent>
                              </wps:txbx>
                              <wps:bodyPr wrap="square" rtlCol="0">
                                <a:noAutofit/>
                              </wps:bodyPr>
                            </wps:wsp>
                            <wps:wsp>
                              <wps:cNvPr id="11" name="Straight Arrow Connector 11"/>
                              <wps:cNvCnPr/>
                              <wps:spPr>
                                <a:xfrm>
                                  <a:off x="2331962" y="2502932"/>
                                  <a:ext cx="609600" cy="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 name="TextBox 21"/>
                              <wps:cNvSpPr txBox="1"/>
                              <wps:spPr>
                                <a:xfrm>
                                  <a:off x="2936474" y="2161095"/>
                                  <a:ext cx="1502741" cy="649605"/>
                                </a:xfrm>
                                <a:prstGeom prst="rect">
                                  <a:avLst/>
                                </a:prstGeom>
                                <a:noFill/>
                              </wps:spPr>
                              <wps:txb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Leaching/Tile</w:t>
                                    </w:r>
                                  </w:p>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drainage</w:t>
                                    </w:r>
                                  </w:p>
                                </w:txbxContent>
                              </wps:txbx>
                              <wps:bodyPr wrap="square" rtlCol="0">
                                <a:noAutofit/>
                              </wps:bodyPr>
                            </wps:wsp>
                            <wps:wsp>
                              <wps:cNvPr id="13" name="TextBox 22"/>
                              <wps:cNvSpPr txBox="1"/>
                              <wps:spPr>
                                <a:xfrm>
                                  <a:off x="475562" y="1874838"/>
                                  <a:ext cx="1856237" cy="856694"/>
                                </a:xfrm>
                                <a:prstGeom prst="rect">
                                  <a:avLst/>
                                </a:prstGeom>
                                <a:noFill/>
                              </wps:spPr>
                              <wps:txb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 xml:space="preserve">P budget = </w:t>
                                    </w:r>
                                  </w:p>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Inputs – Outputs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B19F954" id="Group 23" o:spid="_x0000_s1026" style="position:absolute;left:0;text-align:left;margin-left:121.65pt;margin-top:5.2pt;width:261.8pt;height:182.5pt;z-index:251659264;mso-width-relative:margin;mso-height-relative:margin" coordsize="46039,2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">
                      <v:rect id="Rectangle 2" o:spid="_x0000_s1027" style="position:absolute;left:4269;top:16647;width:19050;height:10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eSw8MA&#10;AADaAAAADwAAAGRycy9kb3ducmV2LnhtbESPQWsCMRSE7wX/Q3iCF9GseyhlNYoI6iK0UFsP3h6b&#10;52Zx8xI2Udd/3xQKPQ4z8w2zWPW2FXfqQuNYwWyagSCunG64VvD9tZ28gQgRWWPrmBQ8KcBqOXhZ&#10;YKHdgz/pfoy1SBAOBSowMfpCylAZshimzhMn7+I6izHJrpa6w0eC21bmWfYqLTacFgx62hiqrseb&#10;VbDdm/FaHt5PvgwfF5uXfrcfn5UaDfv1HESkPv6H/9qlVpDD75V0A+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ReSw8MAAADaAAAADwAAAAAAAAAAAAAAAACYAgAAZHJzL2Rv&#10;d25yZXYueG1sUEsFBgAAAAAEAAQA9QAAAIgDAAAAAA==&#10;" filled="f" strokecolor="black [3213]" strokeweight="2pt"/>
                      <v:shapetype id="_x0000_t32" coordsize="21600,21600" o:spt="32" o:oned="t" path="m,l21600,21600e" filled="f">
                        <v:path arrowok="t" fillok="f" o:connecttype="none"/>
                        <o:lock v:ext="edit" shapetype="t"/>
                      </v:shapetype>
                      <v:shape id="Straight Arrow Connector 3" o:spid="_x0000_s1028" type="#_x0000_t32" style="position:absolute;left:5793;top:11313;width:0;height:53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ljGsEAAADaAAAADwAAAGRycy9kb3ducmV2LnhtbESPQYvCMBSE74L/ITzBm6ZdYZVqLLqy&#10;IHvT3Yu3Z/Nsis1LabJa/fVGEDwOM/MNs8g7W4sLtb5yrCAdJyCIC6crLhX8/X6PZiB8QNZYOyYF&#10;N/KQL/u9BWbaXXlHl30oRYSwz1CBCaHJpPSFIYt+7Bri6J1cazFE2ZZSt3iNcFvLjyT5lBYrjgsG&#10;G/oyVJz3/1bBhg/H1c+d0nVz2Ew9W+OmVafUcNCt5iACdeEdfrW3WsEEnlfiDZD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WMawQAAANoAAAAPAAAAAAAAAAAAAAAA&#10;AKECAABkcnMvZG93bnJldi54bWxQSwUGAAAAAAQABAD5AAAAjwMAAAAA&#10;" strokecolor="black [3213]" strokeweight="2pt">
                        <v:stroke endarrow="open"/>
                      </v:shape>
                      <v:shapetype id="_x0000_t202" coordsize="21600,21600" o:spt="202" path="m,l,21600r21600,l21600,xe">
                        <v:stroke joinstyle="miter"/>
                        <v:path gradientshapeok="t" o:connecttype="rect"/>
                      </v:shapetype>
                      <v:shape id="TextBox 6" o:spid="_x0000_s1029" type="#_x0000_t202" style="position:absolute;top:6223;width:11674;height:6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aQx8EA&#10;AADaAAAADwAAAGRycy9kb3ducmV2LnhtbESPT4vCMBTE74LfITzBmyaKiluNIoqwJxf/7MLeHs2z&#10;LTYvpYm2++03guBxmJnfMMt1a0vxoNoXjjWMhgoEcepMwZmGy3k/mIPwAdlg6Zg0/JGH9arbWWJi&#10;XMNHepxCJiKEfYIa8hCqREqf5mTRD11FHL2rqy2GKOtMmhqbCLelHCs1kxYLjgs5VrTNKb2d7lbD&#10;9+H6+zNRX9nOTqvGtUqy/ZBa93vtZgEiUBve4Vf702iYwPNKvAF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2kMfBAAAA2gAAAA8AAAAAAAAAAAAAAAAAmAIAAGRycy9kb3du&#10;cmV2LnhtbFBLBQYAAAAABAAEAPUAAACGAwAAAAA=&#10;" filled="f" stroked="f">
                        <v:textbo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Fertilizer/</w:t>
                              </w:r>
                            </w:p>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Manure</w:t>
                              </w:r>
                            </w:p>
                          </w:txbxContent>
                        </v:textbox>
                      </v:shape>
                      <v:shape id="Straight Arrow Connector 5" o:spid="_x0000_s1030" type="#_x0000_t32" style="position:absolute;left:12505;top:3693;width:0;height:1295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xe9cEAAADaAAAADwAAAGRycy9kb3ducmV2LnhtbESPQYvCMBSE74L/ITzBm6ZdcJVqLLqy&#10;IHvT3Yu3Z/Nsis1LabJa/fVGEDwOM/MNs8g7W4sLtb5yrCAdJyCIC6crLhX8/X6PZiB8QNZYOyYF&#10;N/KQL/u9BWbaXXlHl30oRYSwz1CBCaHJpPSFIYt+7Bri6J1cazFE2ZZSt3iNcFvLjyT5lBYrjgsG&#10;G/oyVJz3/1bBhg/H1c+d0nVz2Ew9W+OmVafUcNCt5iACdeEdfrW3WsEEnlfiDZD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XF71wQAAANoAAAAPAAAAAAAAAAAAAAAA&#10;AKECAABkcnMvZG93bnJldi54bWxQSwUGAAAAAAQABAD5AAAAjwMAAAAA&#10;" strokecolor="black [3213]" strokeweight="2pt">
                        <v:stroke endarrow="open"/>
                      </v:shape>
                      <v:shape id="TextBox 11" o:spid="_x0000_s1031" type="#_x0000_t202" style="position:absolute;left:420;width:28233;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rK8EA&#10;AADaAAAADwAAAGRycy9kb3ducmV2LnhtbESPT4vCMBTE78J+h/AWvGmysopWoywuC54U/4K3R/Ns&#10;i81LabK2fnsjCB6HmfkNM1u0thQ3qn3hWMNXX4EgTp0pONNw2P/1xiB8QDZYOiYNd/KwmH90ZpgY&#10;1/CWbruQiQhhn6CGPIQqkdKnOVn0fVcRR+/iaoshyjqTpsYmwm0pB0qNpMWC40KOFS1zSq+7f6vh&#10;uL6cT99qk/3aYdW4Vkm2E6l197P9mYII1IZ3+NVeGQ0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oqyvBAAAA2gAAAA8AAAAAAAAAAAAAAAAAmAIAAGRycy9kb3du&#10;cmV2LnhtbFBLBQYAAAAABAAEAPUAAACGAwAAAAA=&#10;" filled="f" stroked="f">
                        <v:textbo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Atmospheric deposition</w:t>
                              </w:r>
                            </w:p>
                          </w:txbxContent>
                        </v:textbox>
                      </v:shape>
                      <v:shape id="Straight Arrow Connector 7" o:spid="_x0000_s1032" type="#_x0000_t32" style="position:absolute;left:17109;top:11049;width:0;height:586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FDOMIAAADaAAAADwAAAGRycy9kb3ducmV2LnhtbESPzYrCQBCE74LvMLSwNzNZwR+ioyyC&#10;4GVBXVG8NZk2CWZ6QqbV+PbOwsIei6r6ilqsOlerB7Wh8mzgM0lBEefeVlwYOP5shjNQQZAt1p7J&#10;wIsCrJb93gIz65+8p8dBChUhHDI0UIo0mdYhL8lhSHxDHL2rbx1KlG2hbYvPCHe1HqXpRDusOC6U&#10;2NC6pPx2uDsD++l9PB59b3LRl27tLruznLZnYz4G3dcclFAn/+G/9tYamMLvlXgD9PI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5FDOMIAAADaAAAADwAAAAAAAAAAAAAA&#10;AAChAgAAZHJzL2Rvd25yZXYueG1sUEsFBgAAAAAEAAQA+QAAAJADAAAAAA==&#10;" strokecolor="black [3213]" strokeweight="2pt">
                        <v:stroke endarrow="open"/>
                      </v:shape>
                      <v:shape id="TextBox 13" o:spid="_x0000_s1033" type="#_x0000_t202" style="position:absolute;left:13413;top:7618;width:16002;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Crop removal</w:t>
                              </w:r>
                            </w:p>
                          </w:txbxContent>
                        </v:textbox>
                      </v:shape>
                      <v:shape id="Straight Arrow Connector 9" o:spid="_x0000_s1034" type="#_x0000_t32" style="position:absolute;left:22557;top:15885;width:609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FU8MIAAADaAAAADwAAAGRycy9kb3ducmV2LnhtbESPzYvCMBTE74L/Q3iCN03rwY9qLH6w&#10;IHvT3Yu3Z/Nsis1LabJa96/fLAgeh5n5DbPKO1uLO7W+cqwgHScgiAunKy4VfH99jOYgfEDWWDsm&#10;BU/ykK/7vRVm2j34SPdTKEWEsM9QgQmhyaT0hSGLfuwa4uhdXWsxRNmWUrf4iHBby0mSTKXFiuOC&#10;wYZ2horb6ccq2PP5svn8pXTbnPczz9a4WdUpNRx0myWIQF14h1/tg1awgP8r8Qb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BFU8MIAAADaAAAADwAAAAAAAAAAAAAA&#10;AAChAgAAZHJzL2Rvd25yZXYueG1sUEsFBgAAAAAEAAQA+QAAAJADAAAAAA==&#10;" strokecolor="black [3213]" strokeweight="2pt">
                        <v:stroke endarrow="open"/>
                      </v:shape>
                      <v:shape id="TextBox 19" o:spid="_x0000_s1035" type="#_x0000_t202" style="position:absolute;left:29368;top:13978;width:16671;height:37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textbo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Surface runoff</w:t>
                              </w:r>
                            </w:p>
                          </w:txbxContent>
                        </v:textbox>
                      </v:shape>
                      <v:shape id="Straight Arrow Connector 11" o:spid="_x0000_s1036" type="#_x0000_t32" style="position:absolute;left:23319;top:25029;width:609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sBUMEAAADbAAAADwAAAGRycy9kb3ducmV2LnhtbERPPWvDMBDdC/kP4gLdatkdmuBGMU5M&#10;oWRrksXb1bpaptbJWKrj5NdHhUK3e7zP2xSz7cVEo+8cK8iSFARx43THrYLz6e1pDcIHZI29Y1Jw&#10;JQ/FdvGwwVy7C3/QdAytiCHsc1RgQhhyKX1jyKJP3EAcuS83WgwRjq3UI15iuO3lc5q+SIsdxwaD&#10;A+0NNd/HH6ug4vqzPNwo2w11tfJsjVt1s1KPy7l8BRFoDv/iP/e7jvMz+P0lHiC3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2ywFQwQAAANsAAAAPAAAAAAAAAAAAAAAA&#10;AKECAABkcnMvZG93bnJldi54bWxQSwUGAAAAAAQABAD5AAAAjwMAAAAA&#10;" strokecolor="black [3213]" strokeweight="2pt">
                        <v:stroke endarrow="open"/>
                      </v:shape>
                      <v:shape id="TextBox 21" o:spid="_x0000_s1037" type="#_x0000_t202" style="position:absolute;left:29364;top:21610;width:15028;height:64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7uFcAA&#10;AADbAAAADwAAAGRycy9kb3ducmV2LnhtbERPS4vCMBC+C/6HMII3TRQVtxpFdhE8KT52YW9DM7bF&#10;ZlKaaOu/NwsL3ubje85y3dpSPKj2hWMNo6ECQZw6U3Cm4XLeDuYgfEA2WDomDU/ysF51O0tMjGv4&#10;SI9TyEQMYZ+ghjyEKpHSpzlZ9ENXEUfu6mqLIcI6k6bGJobbUo6VmkmLBceGHCv6zCm9ne5Ww/f+&#10;+vszUYfsy06rxrVKsv2QWvd77WYBIlAb3uJ/987E+WP4+yU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7uFcAAAADbAAAADwAAAAAAAAAAAAAAAACYAgAAZHJzL2Rvd25y&#10;ZXYueG1sUEsFBgAAAAAEAAQA9QAAAIUDAAAAAA==&#10;" filled="f" stroked="f">
                        <v:textbo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Leaching/Tile</w:t>
                              </w:r>
                            </w:p>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drainage</w:t>
                              </w:r>
                            </w:p>
                          </w:txbxContent>
                        </v:textbox>
                      </v:shape>
                      <v:shape id="TextBox 22" o:spid="_x0000_s1038" type="#_x0000_t202" style="position:absolute;left:4755;top:18748;width:18562;height:85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 xml:space="preserve">P budget = </w:t>
                              </w:r>
                            </w:p>
                            <w:p w:rsidR="00852FDD" w:rsidRPr="00852FDD" w:rsidRDefault="00852FDD" w:rsidP="00852FDD">
                              <w:pPr>
                                <w:pStyle w:val="NormalWeb"/>
                                <w:spacing w:before="0" w:beforeAutospacing="0" w:after="0" w:afterAutospacing="0"/>
                                <w:rPr>
                                  <w:rFonts w:ascii="Arial" w:hAnsi="Arial" w:cs="Arial"/>
                                </w:rPr>
                              </w:pPr>
                              <w:r w:rsidRPr="00852FDD">
                                <w:rPr>
                                  <w:rFonts w:ascii="Arial" w:hAnsi="Arial" w:cs="Arial"/>
                                  <w:color w:val="000000" w:themeColor="text1"/>
                                  <w:kern w:val="24"/>
                                </w:rPr>
                                <w:t>Inputs – Outputs</w:t>
                              </w:r>
                            </w:p>
                          </w:txbxContent>
                        </v:textbox>
                      </v:shape>
                    </v:group>
                  </w:pict>
                </mc:Fallback>
              </mc:AlternateContent>
            </w:r>
            <w:r w:rsidRPr="00852FDD">
              <w:rPr>
                <w:b/>
              </w:rPr>
              <w:t>(kg P/ha)</w:t>
            </w:r>
          </w:p>
        </w:tc>
      </w:tr>
      <w:tr w:rsidR="00852FDD" w:rsidTr="009A2312">
        <w:tc>
          <w:tcPr>
            <w:tcW w:w="2178" w:type="dxa"/>
            <w:tcBorders>
              <w:top w:val="single" w:sz="4" w:space="0" w:color="auto"/>
            </w:tcBorders>
          </w:tcPr>
          <w:p w:rsidR="00852FDD" w:rsidRPr="00852FDD" w:rsidRDefault="00852FDD" w:rsidP="00BD1D77">
            <w:pPr>
              <w:pStyle w:val="xmsonospacing"/>
              <w:spacing w:before="0" w:beforeAutospacing="0" w:after="0" w:afterAutospacing="0"/>
              <w:rPr>
                <w:b/>
              </w:rPr>
            </w:pPr>
            <w:r w:rsidRPr="00852FDD">
              <w:rPr>
                <w:b/>
              </w:rPr>
              <w:t>Inputs</w:t>
            </w:r>
          </w:p>
        </w:tc>
        <w:tc>
          <w:tcPr>
            <w:tcW w:w="1800" w:type="dxa"/>
            <w:tcBorders>
              <w:top w:val="single" w:sz="4" w:space="0" w:color="auto"/>
            </w:tcBorders>
          </w:tcPr>
          <w:p w:rsidR="00852FDD" w:rsidRDefault="00852FDD" w:rsidP="00BD1D77">
            <w:pPr>
              <w:pStyle w:val="xmsonospacing"/>
              <w:spacing w:before="0" w:beforeAutospacing="0" w:after="0" w:afterAutospacing="0"/>
            </w:pPr>
          </w:p>
        </w:tc>
      </w:tr>
      <w:tr w:rsidR="00852FDD" w:rsidTr="009A2312">
        <w:tc>
          <w:tcPr>
            <w:tcW w:w="2178" w:type="dxa"/>
          </w:tcPr>
          <w:p w:rsidR="00852FDD" w:rsidRDefault="00852FDD" w:rsidP="00852FDD">
            <w:pPr>
              <w:pStyle w:val="xmsonospacing"/>
              <w:spacing w:before="0" w:beforeAutospacing="0" w:after="0" w:afterAutospacing="0"/>
              <w:ind w:left="270" w:hanging="270"/>
            </w:pPr>
            <w:r>
              <w:t>Atmospheric  deposition</w:t>
            </w:r>
          </w:p>
        </w:tc>
        <w:tc>
          <w:tcPr>
            <w:tcW w:w="1800" w:type="dxa"/>
            <w:vAlign w:val="center"/>
          </w:tcPr>
          <w:p w:rsidR="00852FDD" w:rsidRDefault="009A2312" w:rsidP="009A2312">
            <w:pPr>
              <w:pStyle w:val="xmsonospacing"/>
              <w:spacing w:before="0" w:beforeAutospacing="0" w:after="0" w:afterAutospacing="0"/>
              <w:jc w:val="center"/>
            </w:pPr>
            <w:r>
              <w:t>0.3</w:t>
            </w:r>
          </w:p>
        </w:tc>
      </w:tr>
      <w:tr w:rsidR="00852FDD" w:rsidTr="009A2312">
        <w:tc>
          <w:tcPr>
            <w:tcW w:w="2178" w:type="dxa"/>
          </w:tcPr>
          <w:p w:rsidR="00852FDD" w:rsidRDefault="00852FDD" w:rsidP="00BD1D77">
            <w:pPr>
              <w:pStyle w:val="xmsonospacing"/>
              <w:spacing w:before="0" w:beforeAutospacing="0" w:after="0" w:afterAutospacing="0"/>
            </w:pPr>
            <w:r>
              <w:t>Fertilizer/Manure</w:t>
            </w:r>
          </w:p>
        </w:tc>
        <w:tc>
          <w:tcPr>
            <w:tcW w:w="1800" w:type="dxa"/>
            <w:tcBorders>
              <w:bottom w:val="single" w:sz="4" w:space="0" w:color="auto"/>
            </w:tcBorders>
            <w:vAlign w:val="center"/>
          </w:tcPr>
          <w:p w:rsidR="00852FDD" w:rsidRDefault="009A2312" w:rsidP="009A2312">
            <w:pPr>
              <w:pStyle w:val="xmsonospacing"/>
              <w:spacing w:before="0" w:beforeAutospacing="0" w:after="0" w:afterAutospacing="0"/>
              <w:jc w:val="center"/>
            </w:pPr>
            <w:r>
              <w:t>42.9</w:t>
            </w:r>
          </w:p>
        </w:tc>
      </w:tr>
      <w:tr w:rsidR="00852FDD" w:rsidTr="009A2312">
        <w:tc>
          <w:tcPr>
            <w:tcW w:w="2178" w:type="dxa"/>
            <w:vAlign w:val="center"/>
          </w:tcPr>
          <w:p w:rsidR="00852FDD" w:rsidRDefault="00852FDD" w:rsidP="00852FDD">
            <w:pPr>
              <w:pStyle w:val="xmsonospacing"/>
              <w:spacing w:before="0" w:beforeAutospacing="0" w:after="0" w:afterAutospacing="0"/>
              <w:jc w:val="right"/>
            </w:pPr>
            <w:r>
              <w:t>Total inputs</w:t>
            </w:r>
          </w:p>
        </w:tc>
        <w:tc>
          <w:tcPr>
            <w:tcW w:w="1800" w:type="dxa"/>
            <w:tcBorders>
              <w:top w:val="single" w:sz="4" w:space="0" w:color="auto"/>
            </w:tcBorders>
            <w:vAlign w:val="center"/>
          </w:tcPr>
          <w:p w:rsidR="00852FDD" w:rsidRDefault="00A965B2" w:rsidP="009A2312">
            <w:pPr>
              <w:pStyle w:val="xmsonospacing"/>
              <w:spacing w:before="0" w:beforeAutospacing="0" w:after="0" w:afterAutospacing="0"/>
              <w:jc w:val="center"/>
            </w:pPr>
            <w:r>
              <w:t>43.2</w:t>
            </w:r>
          </w:p>
        </w:tc>
      </w:tr>
      <w:tr w:rsidR="00852FDD" w:rsidTr="009A2312">
        <w:tc>
          <w:tcPr>
            <w:tcW w:w="2178" w:type="dxa"/>
          </w:tcPr>
          <w:p w:rsidR="00852FDD" w:rsidRPr="00852FDD" w:rsidRDefault="00852FDD" w:rsidP="00BD1D77">
            <w:pPr>
              <w:pStyle w:val="xmsonospacing"/>
              <w:spacing w:before="0" w:beforeAutospacing="0" w:after="0" w:afterAutospacing="0"/>
              <w:rPr>
                <w:sz w:val="12"/>
                <w:szCs w:val="12"/>
              </w:rPr>
            </w:pPr>
          </w:p>
        </w:tc>
        <w:tc>
          <w:tcPr>
            <w:tcW w:w="1800" w:type="dxa"/>
            <w:vAlign w:val="center"/>
          </w:tcPr>
          <w:p w:rsidR="00852FDD" w:rsidRPr="00852FDD" w:rsidRDefault="00852FDD" w:rsidP="009A2312">
            <w:pPr>
              <w:pStyle w:val="xmsonospacing"/>
              <w:spacing w:before="0" w:beforeAutospacing="0" w:after="0" w:afterAutospacing="0"/>
              <w:jc w:val="center"/>
              <w:rPr>
                <w:sz w:val="12"/>
                <w:szCs w:val="12"/>
              </w:rPr>
            </w:pPr>
          </w:p>
        </w:tc>
      </w:tr>
      <w:tr w:rsidR="00852FDD" w:rsidTr="009A2312">
        <w:tc>
          <w:tcPr>
            <w:tcW w:w="2178" w:type="dxa"/>
          </w:tcPr>
          <w:p w:rsidR="00852FDD" w:rsidRPr="00852FDD" w:rsidRDefault="00852FDD" w:rsidP="00BD1D77">
            <w:pPr>
              <w:pStyle w:val="xmsonospacing"/>
              <w:spacing w:before="0" w:beforeAutospacing="0" w:after="0" w:afterAutospacing="0"/>
              <w:rPr>
                <w:b/>
              </w:rPr>
            </w:pPr>
            <w:r w:rsidRPr="00852FDD">
              <w:rPr>
                <w:b/>
              </w:rPr>
              <w:t>Outputs</w:t>
            </w:r>
          </w:p>
        </w:tc>
        <w:tc>
          <w:tcPr>
            <w:tcW w:w="1800" w:type="dxa"/>
            <w:vAlign w:val="center"/>
          </w:tcPr>
          <w:p w:rsidR="00852FDD" w:rsidRDefault="00852FDD" w:rsidP="009A2312">
            <w:pPr>
              <w:pStyle w:val="xmsonospacing"/>
              <w:spacing w:before="0" w:beforeAutospacing="0" w:after="0" w:afterAutospacing="0"/>
              <w:jc w:val="center"/>
            </w:pPr>
          </w:p>
        </w:tc>
      </w:tr>
      <w:tr w:rsidR="00852FDD" w:rsidTr="009A2312">
        <w:tc>
          <w:tcPr>
            <w:tcW w:w="2178" w:type="dxa"/>
          </w:tcPr>
          <w:p w:rsidR="00852FDD" w:rsidRDefault="00852FDD" w:rsidP="00BD1D77">
            <w:pPr>
              <w:pStyle w:val="xmsonospacing"/>
              <w:spacing w:before="0" w:beforeAutospacing="0" w:after="0" w:afterAutospacing="0"/>
            </w:pPr>
            <w:r>
              <w:t>Crop removal</w:t>
            </w:r>
          </w:p>
        </w:tc>
        <w:tc>
          <w:tcPr>
            <w:tcW w:w="1800" w:type="dxa"/>
            <w:vAlign w:val="center"/>
          </w:tcPr>
          <w:p w:rsidR="00852FDD" w:rsidRDefault="00177204" w:rsidP="009A2312">
            <w:pPr>
              <w:pStyle w:val="xmsonospacing"/>
              <w:spacing w:before="0" w:beforeAutospacing="0" w:after="0" w:afterAutospacing="0"/>
              <w:jc w:val="center"/>
            </w:pPr>
            <w:r>
              <w:t>47.1</w:t>
            </w:r>
          </w:p>
        </w:tc>
      </w:tr>
      <w:tr w:rsidR="00852FDD" w:rsidTr="009A2312">
        <w:tc>
          <w:tcPr>
            <w:tcW w:w="2178" w:type="dxa"/>
          </w:tcPr>
          <w:p w:rsidR="00852FDD" w:rsidRDefault="00852FDD" w:rsidP="00BD1D77">
            <w:pPr>
              <w:pStyle w:val="xmsonospacing"/>
              <w:spacing w:before="0" w:beforeAutospacing="0" w:after="0" w:afterAutospacing="0"/>
            </w:pPr>
            <w:r>
              <w:t>Surface runoff</w:t>
            </w:r>
          </w:p>
        </w:tc>
        <w:tc>
          <w:tcPr>
            <w:tcW w:w="1800" w:type="dxa"/>
            <w:vAlign w:val="center"/>
          </w:tcPr>
          <w:p w:rsidR="00852FDD" w:rsidRDefault="009A2312" w:rsidP="009A2312">
            <w:pPr>
              <w:pStyle w:val="xmsonospacing"/>
              <w:spacing w:before="0" w:beforeAutospacing="0" w:after="0" w:afterAutospacing="0"/>
              <w:jc w:val="center"/>
            </w:pPr>
            <w:r>
              <w:t>1.0</w:t>
            </w:r>
          </w:p>
        </w:tc>
      </w:tr>
      <w:tr w:rsidR="00852FDD" w:rsidTr="009A2312">
        <w:tc>
          <w:tcPr>
            <w:tcW w:w="2178" w:type="dxa"/>
          </w:tcPr>
          <w:p w:rsidR="00852FDD" w:rsidRDefault="00852FDD" w:rsidP="00852FDD">
            <w:pPr>
              <w:pStyle w:val="xmsonospacing"/>
              <w:spacing w:before="0" w:beforeAutospacing="0" w:after="0" w:afterAutospacing="0"/>
              <w:ind w:left="270" w:hanging="270"/>
            </w:pPr>
            <w:r>
              <w:t>Leaching/Tile drainage</w:t>
            </w:r>
          </w:p>
        </w:tc>
        <w:tc>
          <w:tcPr>
            <w:tcW w:w="1800" w:type="dxa"/>
            <w:tcBorders>
              <w:bottom w:val="single" w:sz="4" w:space="0" w:color="auto"/>
            </w:tcBorders>
            <w:vAlign w:val="center"/>
          </w:tcPr>
          <w:p w:rsidR="00852FDD" w:rsidRDefault="009A2312" w:rsidP="009A2312">
            <w:pPr>
              <w:pStyle w:val="xmsonospacing"/>
              <w:spacing w:before="0" w:beforeAutospacing="0" w:after="0" w:afterAutospacing="0"/>
              <w:jc w:val="center"/>
            </w:pPr>
            <w:r>
              <w:t>1.4</w:t>
            </w:r>
          </w:p>
        </w:tc>
      </w:tr>
      <w:tr w:rsidR="00852FDD" w:rsidTr="009A2312">
        <w:tc>
          <w:tcPr>
            <w:tcW w:w="2178" w:type="dxa"/>
          </w:tcPr>
          <w:p w:rsidR="00852FDD" w:rsidRDefault="00852FDD" w:rsidP="00852FDD">
            <w:pPr>
              <w:pStyle w:val="xmsonospacing"/>
              <w:spacing w:before="0" w:beforeAutospacing="0" w:after="0" w:afterAutospacing="0"/>
              <w:jc w:val="right"/>
            </w:pPr>
            <w:r>
              <w:t>Total outputs</w:t>
            </w:r>
          </w:p>
        </w:tc>
        <w:tc>
          <w:tcPr>
            <w:tcW w:w="1800" w:type="dxa"/>
            <w:tcBorders>
              <w:top w:val="single" w:sz="4" w:space="0" w:color="auto"/>
            </w:tcBorders>
            <w:vAlign w:val="center"/>
          </w:tcPr>
          <w:p w:rsidR="00852FDD" w:rsidRDefault="009A2312" w:rsidP="00177204">
            <w:pPr>
              <w:pStyle w:val="xmsonospacing"/>
              <w:spacing w:before="0" w:beforeAutospacing="0" w:after="0" w:afterAutospacing="0"/>
              <w:jc w:val="center"/>
            </w:pPr>
            <w:r>
              <w:t>49.</w:t>
            </w:r>
            <w:r w:rsidR="00177204">
              <w:t>5</w:t>
            </w:r>
          </w:p>
        </w:tc>
      </w:tr>
      <w:tr w:rsidR="00852FDD" w:rsidTr="009A2312">
        <w:tc>
          <w:tcPr>
            <w:tcW w:w="2178" w:type="dxa"/>
          </w:tcPr>
          <w:p w:rsidR="00852FDD" w:rsidRPr="00852FDD" w:rsidRDefault="00852FDD" w:rsidP="00BD1D77">
            <w:pPr>
              <w:pStyle w:val="xmsonospacing"/>
              <w:spacing w:before="0" w:beforeAutospacing="0" w:after="0" w:afterAutospacing="0"/>
              <w:rPr>
                <w:sz w:val="12"/>
                <w:szCs w:val="12"/>
              </w:rPr>
            </w:pPr>
          </w:p>
        </w:tc>
        <w:tc>
          <w:tcPr>
            <w:tcW w:w="1800" w:type="dxa"/>
            <w:vAlign w:val="center"/>
          </w:tcPr>
          <w:p w:rsidR="00852FDD" w:rsidRPr="00852FDD" w:rsidRDefault="00852FDD" w:rsidP="009A2312">
            <w:pPr>
              <w:pStyle w:val="xmsonospacing"/>
              <w:spacing w:before="0" w:beforeAutospacing="0" w:after="0" w:afterAutospacing="0"/>
              <w:jc w:val="center"/>
              <w:rPr>
                <w:sz w:val="12"/>
                <w:szCs w:val="12"/>
              </w:rPr>
            </w:pPr>
          </w:p>
        </w:tc>
      </w:tr>
      <w:tr w:rsidR="00852FDD" w:rsidTr="009A2312">
        <w:tc>
          <w:tcPr>
            <w:tcW w:w="2178" w:type="dxa"/>
          </w:tcPr>
          <w:p w:rsidR="00852FDD" w:rsidRPr="00852FDD" w:rsidRDefault="00852FDD" w:rsidP="00BD1D77">
            <w:pPr>
              <w:pStyle w:val="xmsonospacing"/>
              <w:spacing w:before="0" w:beforeAutospacing="0" w:after="0" w:afterAutospacing="0"/>
              <w:rPr>
                <w:b/>
              </w:rPr>
            </w:pPr>
            <w:r w:rsidRPr="00852FDD">
              <w:rPr>
                <w:b/>
              </w:rPr>
              <w:t>P budget</w:t>
            </w:r>
          </w:p>
        </w:tc>
        <w:tc>
          <w:tcPr>
            <w:tcW w:w="1800" w:type="dxa"/>
            <w:vAlign w:val="center"/>
          </w:tcPr>
          <w:p w:rsidR="00852FDD" w:rsidRDefault="00852FDD" w:rsidP="009A2312">
            <w:pPr>
              <w:pStyle w:val="xmsonospacing"/>
              <w:spacing w:before="0" w:beforeAutospacing="0" w:after="0" w:afterAutospacing="0"/>
              <w:jc w:val="center"/>
            </w:pPr>
          </w:p>
        </w:tc>
      </w:tr>
      <w:tr w:rsidR="00852FDD" w:rsidTr="009A2312">
        <w:tc>
          <w:tcPr>
            <w:tcW w:w="2178" w:type="dxa"/>
            <w:tcBorders>
              <w:bottom w:val="single" w:sz="4" w:space="0" w:color="auto"/>
            </w:tcBorders>
          </w:tcPr>
          <w:p w:rsidR="00852FDD" w:rsidRPr="00852FDD" w:rsidRDefault="00852FDD" w:rsidP="00BD1D77">
            <w:pPr>
              <w:pStyle w:val="xmsonospacing"/>
              <w:spacing w:before="0" w:beforeAutospacing="0" w:after="0" w:afterAutospacing="0"/>
              <w:rPr>
                <w:b/>
              </w:rPr>
            </w:pPr>
            <w:r>
              <w:rPr>
                <w:b/>
              </w:rPr>
              <w:t>Inputs - Outputs</w:t>
            </w:r>
          </w:p>
        </w:tc>
        <w:tc>
          <w:tcPr>
            <w:tcW w:w="1800" w:type="dxa"/>
            <w:tcBorders>
              <w:bottom w:val="single" w:sz="4" w:space="0" w:color="auto"/>
            </w:tcBorders>
            <w:vAlign w:val="center"/>
          </w:tcPr>
          <w:p w:rsidR="00852FDD" w:rsidRDefault="009A2312" w:rsidP="005542D7">
            <w:pPr>
              <w:pStyle w:val="xmsonospacing"/>
              <w:spacing w:before="0" w:beforeAutospacing="0" w:after="0" w:afterAutospacing="0"/>
              <w:jc w:val="center"/>
            </w:pPr>
            <w:r>
              <w:t>-6.</w:t>
            </w:r>
            <w:r w:rsidR="005542D7">
              <w:t>3</w:t>
            </w:r>
          </w:p>
        </w:tc>
      </w:tr>
    </w:tbl>
    <w:p w:rsidR="00AC7403" w:rsidRDefault="00AC7403" w:rsidP="00BD1D77">
      <w:pPr>
        <w:pStyle w:val="xmsonospacing"/>
        <w:spacing w:before="0" w:beforeAutospacing="0" w:after="0" w:afterAutospacing="0"/>
      </w:pPr>
    </w:p>
    <w:p w:rsidR="00F13C08" w:rsidRDefault="009A2312" w:rsidP="00F13C08">
      <w:pPr>
        <w:spacing w:after="0" w:line="240" w:lineRule="auto"/>
        <w:rPr>
          <w:rFonts w:ascii="Times New Roman" w:hAnsi="Times New Roman" w:cs="Times New Roman"/>
          <w:sz w:val="24"/>
          <w:szCs w:val="24"/>
        </w:rPr>
      </w:pPr>
      <w:r>
        <w:rPr>
          <w:rFonts w:ascii="Times New Roman" w:hAnsi="Times New Roman" w:cs="Times New Roman"/>
          <w:sz w:val="24"/>
          <w:szCs w:val="24"/>
        </w:rPr>
        <w:t>Since phosphorus additions (fertilizer/manure) under business as usual management occurs during one application prior to corn planting for the entire 2 year rotation, values for the Eastern Corn</w:t>
      </w:r>
      <w:r w:rsidR="00525918">
        <w:rPr>
          <w:rFonts w:ascii="Times New Roman" w:hAnsi="Times New Roman" w:cs="Times New Roman"/>
          <w:sz w:val="24"/>
          <w:szCs w:val="24"/>
        </w:rPr>
        <w:t xml:space="preserve"> B</w:t>
      </w:r>
      <w:r>
        <w:rPr>
          <w:rFonts w:ascii="Times New Roman" w:hAnsi="Times New Roman" w:cs="Times New Roman"/>
          <w:sz w:val="24"/>
          <w:szCs w:val="24"/>
        </w:rPr>
        <w:t xml:space="preserve">elt P budget are representative of input/output values over a 2 year period. </w:t>
      </w:r>
    </w:p>
    <w:p w:rsidR="00F13C08" w:rsidRDefault="00F13C08" w:rsidP="00F13C08">
      <w:pPr>
        <w:spacing w:after="0" w:line="240" w:lineRule="auto"/>
        <w:rPr>
          <w:rFonts w:ascii="Times New Roman" w:hAnsi="Times New Roman" w:cs="Times New Roman"/>
          <w:sz w:val="24"/>
          <w:szCs w:val="24"/>
        </w:rPr>
      </w:pPr>
    </w:p>
    <w:p w:rsidR="00F13C08" w:rsidRDefault="00F13C08" w:rsidP="00F13C08">
      <w:pPr>
        <w:spacing w:after="0" w:line="240" w:lineRule="auto"/>
        <w:rPr>
          <w:rFonts w:ascii="Times New Roman" w:hAnsi="Times New Roman" w:cs="Times New Roman"/>
          <w:b/>
          <w:sz w:val="28"/>
          <w:szCs w:val="28"/>
        </w:rPr>
      </w:pPr>
      <w:r w:rsidRPr="00F13C08">
        <w:rPr>
          <w:rFonts w:ascii="Times New Roman" w:hAnsi="Times New Roman" w:cs="Times New Roman"/>
          <w:b/>
          <w:sz w:val="28"/>
          <w:szCs w:val="28"/>
        </w:rPr>
        <w:t>Details of the phosphorus budget:</w:t>
      </w:r>
    </w:p>
    <w:p w:rsidR="00F13C08" w:rsidRDefault="00F13C08" w:rsidP="00F13C08">
      <w:pPr>
        <w:spacing w:after="0" w:line="240" w:lineRule="auto"/>
        <w:rPr>
          <w:rFonts w:ascii="Times New Roman" w:hAnsi="Times New Roman" w:cs="Times New Roman"/>
          <w:color w:val="C00000"/>
          <w:sz w:val="24"/>
          <w:szCs w:val="24"/>
        </w:rPr>
      </w:pPr>
      <w:r>
        <w:rPr>
          <w:rFonts w:ascii="Times New Roman" w:hAnsi="Times New Roman" w:cs="Times New Roman"/>
          <w:color w:val="C00000"/>
          <w:sz w:val="24"/>
          <w:szCs w:val="24"/>
        </w:rPr>
        <w:t>[</w:t>
      </w:r>
      <w:r w:rsidR="00525018">
        <w:rPr>
          <w:rFonts w:ascii="Times New Roman" w:hAnsi="Times New Roman" w:cs="Times New Roman"/>
          <w:color w:val="C00000"/>
          <w:sz w:val="24"/>
          <w:szCs w:val="24"/>
        </w:rPr>
        <w:t xml:space="preserve">In this section, describe how values for the phosphorus budget were determined, what source(s) of data were used (e.g., measured values, literature values, professional </w:t>
      </w:r>
      <w:r w:rsidR="000445A0">
        <w:rPr>
          <w:rFonts w:ascii="Times New Roman" w:hAnsi="Times New Roman" w:cs="Times New Roman"/>
          <w:color w:val="C00000"/>
          <w:sz w:val="24"/>
          <w:szCs w:val="24"/>
        </w:rPr>
        <w:t>judgment</w:t>
      </w:r>
      <w:r w:rsidR="00525018">
        <w:rPr>
          <w:rFonts w:ascii="Times New Roman" w:hAnsi="Times New Roman" w:cs="Times New Roman"/>
          <w:color w:val="C00000"/>
          <w:sz w:val="24"/>
          <w:szCs w:val="24"/>
        </w:rPr>
        <w:t xml:space="preserve">, etc.), and </w:t>
      </w:r>
      <w:r w:rsidR="0038028C">
        <w:rPr>
          <w:rFonts w:ascii="Times New Roman" w:hAnsi="Times New Roman" w:cs="Times New Roman"/>
          <w:color w:val="C00000"/>
          <w:sz w:val="24"/>
          <w:szCs w:val="24"/>
        </w:rPr>
        <w:t xml:space="preserve">provide </w:t>
      </w:r>
      <w:r w:rsidR="00525018">
        <w:rPr>
          <w:rFonts w:ascii="Times New Roman" w:hAnsi="Times New Roman" w:cs="Times New Roman"/>
          <w:color w:val="C00000"/>
          <w:sz w:val="24"/>
          <w:szCs w:val="24"/>
        </w:rPr>
        <w:t xml:space="preserve">an estimate of uncertainty for each value. </w:t>
      </w:r>
      <w:r w:rsidR="00B30282">
        <w:rPr>
          <w:rFonts w:ascii="Times New Roman" w:hAnsi="Times New Roman" w:cs="Times New Roman"/>
          <w:color w:val="C00000"/>
          <w:sz w:val="24"/>
          <w:szCs w:val="24"/>
        </w:rPr>
        <w:t xml:space="preserve">While measured/literature values for each </w:t>
      </w:r>
      <w:r w:rsidR="008F5737">
        <w:rPr>
          <w:rFonts w:ascii="Times New Roman" w:hAnsi="Times New Roman" w:cs="Times New Roman"/>
          <w:color w:val="C00000"/>
          <w:sz w:val="24"/>
          <w:szCs w:val="24"/>
        </w:rPr>
        <w:t>component</w:t>
      </w:r>
      <w:r w:rsidR="00B30282">
        <w:rPr>
          <w:rFonts w:ascii="Times New Roman" w:hAnsi="Times New Roman" w:cs="Times New Roman"/>
          <w:color w:val="C00000"/>
          <w:sz w:val="24"/>
          <w:szCs w:val="24"/>
        </w:rPr>
        <w:t xml:space="preserve"> of the phosphorus budget may not be available or known for every LTAR location, please use professional </w:t>
      </w:r>
      <w:r w:rsidR="000445A0">
        <w:rPr>
          <w:rFonts w:ascii="Times New Roman" w:hAnsi="Times New Roman" w:cs="Times New Roman"/>
          <w:color w:val="C00000"/>
          <w:sz w:val="24"/>
          <w:szCs w:val="24"/>
        </w:rPr>
        <w:t>judgment</w:t>
      </w:r>
      <w:r w:rsidR="00B30282">
        <w:rPr>
          <w:rFonts w:ascii="Times New Roman" w:hAnsi="Times New Roman" w:cs="Times New Roman"/>
          <w:color w:val="C00000"/>
          <w:sz w:val="24"/>
          <w:szCs w:val="24"/>
        </w:rPr>
        <w:t xml:space="preserve"> to determine the value. This value will have high uncertainty, but part of this </w:t>
      </w:r>
      <w:r w:rsidR="008F5737">
        <w:rPr>
          <w:rFonts w:ascii="Times New Roman" w:hAnsi="Times New Roman" w:cs="Times New Roman"/>
          <w:color w:val="C00000"/>
          <w:sz w:val="24"/>
          <w:szCs w:val="24"/>
        </w:rPr>
        <w:t>study</w:t>
      </w:r>
      <w:r w:rsidR="00B30282">
        <w:rPr>
          <w:rFonts w:ascii="Times New Roman" w:hAnsi="Times New Roman" w:cs="Times New Roman"/>
          <w:color w:val="C00000"/>
          <w:sz w:val="24"/>
          <w:szCs w:val="24"/>
        </w:rPr>
        <w:t xml:space="preserve"> is to not only to examine phosphorus budgets across the LTAR network, but also determine which measurements/measurement types should be made across locations to better understand phosphorus cycling and transport in agricultural landscapes.]</w:t>
      </w:r>
    </w:p>
    <w:p w:rsidR="00DB45A8" w:rsidRDefault="00DB45A8" w:rsidP="00F13C08">
      <w:pPr>
        <w:spacing w:after="0" w:line="240" w:lineRule="auto"/>
        <w:rPr>
          <w:rFonts w:ascii="Times New Roman" w:hAnsi="Times New Roman" w:cs="Times New Roman"/>
          <w:color w:val="C00000"/>
          <w:sz w:val="24"/>
          <w:szCs w:val="24"/>
        </w:rPr>
      </w:pPr>
    </w:p>
    <w:p w:rsidR="00DB45A8" w:rsidRDefault="000E2A92" w:rsidP="00F13C08">
      <w:pPr>
        <w:spacing w:after="0" w:line="240" w:lineRule="auto"/>
        <w:rPr>
          <w:rFonts w:ascii="Times New Roman" w:hAnsi="Times New Roman" w:cs="Times New Roman"/>
          <w:b/>
          <w:sz w:val="24"/>
          <w:szCs w:val="24"/>
        </w:rPr>
      </w:pPr>
      <w:r w:rsidRPr="000E2A92">
        <w:rPr>
          <w:rFonts w:ascii="Times New Roman" w:hAnsi="Times New Roman" w:cs="Times New Roman"/>
          <w:b/>
          <w:sz w:val="24"/>
          <w:szCs w:val="24"/>
        </w:rPr>
        <w:lastRenderedPageBreak/>
        <w:t>Phosphorus inputs:</w:t>
      </w:r>
    </w:p>
    <w:p w:rsidR="000E2A92" w:rsidRDefault="000E2A92" w:rsidP="00F13C08">
      <w:pPr>
        <w:spacing w:after="0" w:line="240" w:lineRule="auto"/>
        <w:rPr>
          <w:rFonts w:ascii="Times New Roman" w:hAnsi="Times New Roman" w:cs="Times New Roman"/>
          <w:sz w:val="24"/>
          <w:szCs w:val="24"/>
        </w:rPr>
      </w:pPr>
      <w:r w:rsidRPr="000E2A92">
        <w:rPr>
          <w:rFonts w:ascii="Times New Roman" w:hAnsi="Times New Roman" w:cs="Times New Roman"/>
          <w:sz w:val="24"/>
          <w:szCs w:val="24"/>
          <w:u w:val="single"/>
        </w:rPr>
        <w:t>Fertilizer/Manure</w:t>
      </w:r>
      <w:r>
        <w:rPr>
          <w:rFonts w:ascii="Times New Roman" w:hAnsi="Times New Roman" w:cs="Times New Roman"/>
          <w:sz w:val="24"/>
          <w:szCs w:val="24"/>
        </w:rPr>
        <w:t xml:space="preserve"> – P application rate was determined from surveys of farmers participating in the USDA ARS Soil Drainage Research Unit edge-of-field monitoring network (Williams et al., 2016a, b). </w:t>
      </w:r>
      <w:r w:rsidR="00557C55">
        <w:rPr>
          <w:rFonts w:ascii="Times New Roman" w:hAnsi="Times New Roman" w:cs="Times New Roman"/>
          <w:sz w:val="24"/>
          <w:szCs w:val="24"/>
        </w:rPr>
        <w:t xml:space="preserve">A total of 40 fields are monitored as part of this network and farmers are surveyed annually. </w:t>
      </w:r>
      <w:r w:rsidR="00461966">
        <w:rPr>
          <w:rFonts w:ascii="Times New Roman" w:hAnsi="Times New Roman" w:cs="Times New Roman"/>
          <w:sz w:val="24"/>
          <w:szCs w:val="24"/>
        </w:rPr>
        <w:t>The source of applied P to fields was either commercial fertilizer, manure, or a combination of both. P</w:t>
      </w:r>
      <w:r w:rsidR="00557C55">
        <w:rPr>
          <w:rFonts w:ascii="Times New Roman" w:hAnsi="Times New Roman" w:cs="Times New Roman"/>
          <w:sz w:val="24"/>
          <w:szCs w:val="24"/>
        </w:rPr>
        <w:t xml:space="preserve"> application rate to monitored fields </w:t>
      </w:r>
      <w:r w:rsidR="00461966">
        <w:rPr>
          <w:rFonts w:ascii="Times New Roman" w:hAnsi="Times New Roman" w:cs="Times New Roman"/>
          <w:sz w:val="24"/>
          <w:szCs w:val="24"/>
        </w:rPr>
        <w:t xml:space="preserve">during a 2-year corn-soybean crop rotation </w:t>
      </w:r>
      <w:r w:rsidR="00557C55">
        <w:rPr>
          <w:rFonts w:ascii="Times New Roman" w:hAnsi="Times New Roman" w:cs="Times New Roman"/>
          <w:sz w:val="24"/>
          <w:szCs w:val="24"/>
        </w:rPr>
        <w:t>was 42.9 ± 31.6 kg P/ha (mean ± standard deviation).</w:t>
      </w:r>
    </w:p>
    <w:p w:rsidR="00804607" w:rsidRDefault="00804607" w:rsidP="00F13C08">
      <w:pPr>
        <w:spacing w:after="0" w:line="240" w:lineRule="auto"/>
        <w:rPr>
          <w:rFonts w:ascii="Times New Roman" w:hAnsi="Times New Roman" w:cs="Times New Roman"/>
          <w:sz w:val="24"/>
          <w:szCs w:val="24"/>
        </w:rPr>
      </w:pPr>
      <w:r w:rsidRPr="00804607">
        <w:rPr>
          <w:rFonts w:ascii="Times New Roman" w:hAnsi="Times New Roman" w:cs="Times New Roman"/>
          <w:sz w:val="24"/>
          <w:szCs w:val="24"/>
          <w:u w:val="single"/>
        </w:rPr>
        <w:t>Atmospheric deposition</w:t>
      </w:r>
      <w:r>
        <w:rPr>
          <w:rFonts w:ascii="Times New Roman" w:hAnsi="Times New Roman" w:cs="Times New Roman"/>
          <w:sz w:val="24"/>
          <w:szCs w:val="24"/>
        </w:rPr>
        <w:t xml:space="preserve"> – Deposition rates were determined from precipitation chemistry collected at stations around Lake Erie (Rathke and McCrae, 1989; 0.14 kg P/ha/yr). A value of 0.14 kg P/ha/yr for atmospheric deposition has also been used in a study by Baker </w:t>
      </w:r>
      <w:r w:rsidR="005C61FC">
        <w:rPr>
          <w:rFonts w:ascii="Times New Roman" w:hAnsi="Times New Roman" w:cs="Times New Roman"/>
          <w:sz w:val="24"/>
          <w:szCs w:val="24"/>
        </w:rPr>
        <w:t>and Richards</w:t>
      </w:r>
      <w:r>
        <w:rPr>
          <w:rFonts w:ascii="Times New Roman" w:hAnsi="Times New Roman" w:cs="Times New Roman"/>
          <w:sz w:val="24"/>
          <w:szCs w:val="24"/>
        </w:rPr>
        <w:t xml:space="preserve"> (2002); however, Han et al. (2011) reported atmospheric deposition rates of 0.06 to 0.14 kg P/ha/yr for the Great Lakes region. </w:t>
      </w:r>
      <w:r w:rsidR="001E1AFE">
        <w:rPr>
          <w:rFonts w:ascii="Times New Roman" w:hAnsi="Times New Roman" w:cs="Times New Roman"/>
          <w:sz w:val="24"/>
          <w:szCs w:val="24"/>
        </w:rPr>
        <w:t>Using literature-derived values, w</w:t>
      </w:r>
      <w:r w:rsidR="00711CCB">
        <w:rPr>
          <w:rFonts w:ascii="Times New Roman" w:hAnsi="Times New Roman" w:cs="Times New Roman"/>
          <w:sz w:val="24"/>
          <w:szCs w:val="24"/>
        </w:rPr>
        <w:t>e estimate that deposition of P in the Eastern Cornbelt is likely 0.14 ± 0.10 kg P/ha</w:t>
      </w:r>
      <w:r w:rsidR="001E1AFE">
        <w:rPr>
          <w:rFonts w:ascii="Times New Roman" w:hAnsi="Times New Roman" w:cs="Times New Roman"/>
          <w:sz w:val="24"/>
          <w:szCs w:val="24"/>
        </w:rPr>
        <w:t>/yr</w:t>
      </w:r>
      <w:r w:rsidR="00711CCB">
        <w:rPr>
          <w:rFonts w:ascii="Times New Roman" w:hAnsi="Times New Roman" w:cs="Times New Roman"/>
          <w:sz w:val="24"/>
          <w:szCs w:val="24"/>
        </w:rPr>
        <w:t>.</w:t>
      </w:r>
    </w:p>
    <w:p w:rsidR="00177204" w:rsidRDefault="00177204" w:rsidP="00F13C08">
      <w:pPr>
        <w:spacing w:after="0" w:line="240" w:lineRule="auto"/>
        <w:rPr>
          <w:rFonts w:ascii="Times New Roman" w:hAnsi="Times New Roman" w:cs="Times New Roman"/>
          <w:sz w:val="24"/>
          <w:szCs w:val="24"/>
        </w:rPr>
      </w:pPr>
    </w:p>
    <w:p w:rsidR="00177204" w:rsidRDefault="00177204" w:rsidP="00F13C08">
      <w:pPr>
        <w:spacing w:after="0" w:line="240" w:lineRule="auto"/>
        <w:rPr>
          <w:rFonts w:ascii="Times New Roman" w:hAnsi="Times New Roman" w:cs="Times New Roman"/>
          <w:b/>
          <w:sz w:val="24"/>
          <w:szCs w:val="24"/>
        </w:rPr>
      </w:pPr>
      <w:r w:rsidRPr="00177204">
        <w:rPr>
          <w:rFonts w:ascii="Times New Roman" w:hAnsi="Times New Roman" w:cs="Times New Roman"/>
          <w:b/>
          <w:sz w:val="24"/>
          <w:szCs w:val="24"/>
        </w:rPr>
        <w:t>Phosphorus outputs:</w:t>
      </w:r>
    </w:p>
    <w:p w:rsidR="00F13C08" w:rsidRDefault="00177204" w:rsidP="00177204">
      <w:pPr>
        <w:spacing w:after="0" w:line="240" w:lineRule="auto"/>
        <w:rPr>
          <w:rFonts w:ascii="Times New Roman" w:hAnsi="Times New Roman" w:cs="Times New Roman"/>
          <w:sz w:val="24"/>
          <w:szCs w:val="24"/>
        </w:rPr>
      </w:pPr>
      <w:r w:rsidRPr="00177204">
        <w:rPr>
          <w:rFonts w:ascii="Times New Roman" w:hAnsi="Times New Roman" w:cs="Times New Roman"/>
          <w:sz w:val="24"/>
          <w:szCs w:val="24"/>
          <w:u w:val="single"/>
        </w:rPr>
        <w:t>Crop removal</w:t>
      </w:r>
      <w:r>
        <w:rPr>
          <w:rFonts w:ascii="Times New Roman" w:hAnsi="Times New Roman" w:cs="Times New Roman"/>
          <w:sz w:val="24"/>
          <w:szCs w:val="24"/>
        </w:rPr>
        <w:t xml:space="preserve"> – Crop removal of P was based on crop yield data from the edge-of-field monitoring network. Farmers reported an average corn yield of 160 ± 25 bu/ac and an average soybean yield of 45 ± 10 bu/ac. Crop yield data from edge-of-field sites align</w:t>
      </w:r>
      <w:r w:rsidR="00940E07">
        <w:rPr>
          <w:rFonts w:ascii="Times New Roman" w:hAnsi="Times New Roman" w:cs="Times New Roman"/>
          <w:sz w:val="24"/>
          <w:szCs w:val="24"/>
        </w:rPr>
        <w:t>ed</w:t>
      </w:r>
      <w:r>
        <w:rPr>
          <w:rFonts w:ascii="Times New Roman" w:hAnsi="Times New Roman" w:cs="Times New Roman"/>
          <w:sz w:val="24"/>
          <w:szCs w:val="24"/>
        </w:rPr>
        <w:t xml:space="preserve"> with </w:t>
      </w:r>
      <w:r w:rsidR="00940E07">
        <w:rPr>
          <w:rFonts w:ascii="Times New Roman" w:hAnsi="Times New Roman" w:cs="Times New Roman"/>
          <w:sz w:val="24"/>
          <w:szCs w:val="24"/>
        </w:rPr>
        <w:t xml:space="preserve">yield </w:t>
      </w:r>
      <w:r>
        <w:rPr>
          <w:rFonts w:ascii="Times New Roman" w:hAnsi="Times New Roman" w:cs="Times New Roman"/>
          <w:sz w:val="24"/>
          <w:szCs w:val="24"/>
        </w:rPr>
        <w:t>estimates for Ohio (NASS, 201</w:t>
      </w:r>
      <w:r w:rsidR="005168D9">
        <w:rPr>
          <w:rFonts w:ascii="Times New Roman" w:hAnsi="Times New Roman" w:cs="Times New Roman"/>
          <w:sz w:val="24"/>
          <w:szCs w:val="24"/>
        </w:rPr>
        <w:t>6</w:t>
      </w:r>
      <w:r>
        <w:rPr>
          <w:rFonts w:ascii="Times New Roman" w:hAnsi="Times New Roman" w:cs="Times New Roman"/>
          <w:sz w:val="24"/>
          <w:szCs w:val="24"/>
        </w:rPr>
        <w:t>) and the WLEB (Burnett et al., 2015). Tri-state fertility recommendations (Vitosh et al., 1995) indicate that 0.37 lb P</w:t>
      </w:r>
      <w:r w:rsidRPr="00177204">
        <w:rPr>
          <w:rFonts w:ascii="Times New Roman" w:hAnsi="Times New Roman" w:cs="Times New Roman"/>
          <w:sz w:val="24"/>
          <w:szCs w:val="24"/>
          <w:vertAlign w:val="subscript"/>
        </w:rPr>
        <w:t>2</w:t>
      </w:r>
      <w:r>
        <w:rPr>
          <w:rFonts w:ascii="Times New Roman" w:hAnsi="Times New Roman" w:cs="Times New Roman"/>
          <w:sz w:val="24"/>
          <w:szCs w:val="24"/>
        </w:rPr>
        <w:t>O</w:t>
      </w:r>
      <w:r w:rsidRPr="00177204">
        <w:rPr>
          <w:rFonts w:ascii="Times New Roman" w:hAnsi="Times New Roman" w:cs="Times New Roman"/>
          <w:sz w:val="24"/>
          <w:szCs w:val="24"/>
          <w:vertAlign w:val="subscript"/>
        </w:rPr>
        <w:t>5</w:t>
      </w:r>
      <w:r>
        <w:rPr>
          <w:rFonts w:ascii="Times New Roman" w:hAnsi="Times New Roman" w:cs="Times New Roman"/>
          <w:sz w:val="24"/>
          <w:szCs w:val="24"/>
        </w:rPr>
        <w:t>/bu is removed for corn and that 0.80 lb P</w:t>
      </w:r>
      <w:r w:rsidRPr="00177204">
        <w:rPr>
          <w:rFonts w:ascii="Times New Roman" w:hAnsi="Times New Roman" w:cs="Times New Roman"/>
          <w:sz w:val="24"/>
          <w:szCs w:val="24"/>
          <w:vertAlign w:val="subscript"/>
        </w:rPr>
        <w:t>2</w:t>
      </w:r>
      <w:r>
        <w:rPr>
          <w:rFonts w:ascii="Times New Roman" w:hAnsi="Times New Roman" w:cs="Times New Roman"/>
          <w:sz w:val="24"/>
          <w:szCs w:val="24"/>
        </w:rPr>
        <w:t>O</w:t>
      </w:r>
      <w:r w:rsidRPr="00177204">
        <w:rPr>
          <w:rFonts w:ascii="Times New Roman" w:hAnsi="Times New Roman" w:cs="Times New Roman"/>
          <w:sz w:val="24"/>
          <w:szCs w:val="24"/>
          <w:vertAlign w:val="subscript"/>
        </w:rPr>
        <w:t>5</w:t>
      </w:r>
      <w:r>
        <w:rPr>
          <w:rFonts w:ascii="Times New Roman" w:hAnsi="Times New Roman" w:cs="Times New Roman"/>
          <w:sz w:val="24"/>
          <w:szCs w:val="24"/>
        </w:rPr>
        <w:t xml:space="preserve">/bu is removed for soybean. Using crop yield information and fertility recommendations, crop removal </w:t>
      </w:r>
      <w:r w:rsidR="00940E07">
        <w:rPr>
          <w:rFonts w:ascii="Times New Roman" w:hAnsi="Times New Roman" w:cs="Times New Roman"/>
          <w:sz w:val="24"/>
          <w:szCs w:val="24"/>
        </w:rPr>
        <w:t xml:space="preserve">of P was therefore </w:t>
      </w:r>
      <w:r>
        <w:rPr>
          <w:rFonts w:ascii="Times New Roman" w:hAnsi="Times New Roman" w:cs="Times New Roman"/>
          <w:sz w:val="24"/>
          <w:szCs w:val="24"/>
        </w:rPr>
        <w:t xml:space="preserve">29.2 ± 4.6 kg P/ha for corn and 17.9 ± 3.9 kg P/ha for soybean. </w:t>
      </w:r>
    </w:p>
    <w:p w:rsidR="00C6243B" w:rsidRDefault="00C6243B" w:rsidP="00177204">
      <w:pPr>
        <w:spacing w:after="0" w:line="240" w:lineRule="auto"/>
        <w:rPr>
          <w:rFonts w:ascii="Times New Roman" w:hAnsi="Times New Roman" w:cs="Times New Roman"/>
          <w:sz w:val="24"/>
          <w:szCs w:val="24"/>
        </w:rPr>
      </w:pPr>
      <w:r w:rsidRPr="00C6243B">
        <w:rPr>
          <w:rFonts w:ascii="Times New Roman" w:hAnsi="Times New Roman" w:cs="Times New Roman"/>
          <w:sz w:val="24"/>
          <w:szCs w:val="24"/>
          <w:u w:val="single"/>
        </w:rPr>
        <w:t>Surface runoff</w:t>
      </w:r>
      <w:r>
        <w:rPr>
          <w:rFonts w:ascii="Times New Roman" w:hAnsi="Times New Roman" w:cs="Times New Roman"/>
          <w:sz w:val="24"/>
          <w:szCs w:val="24"/>
        </w:rPr>
        <w:t xml:space="preserve"> – Surface runoff P losses were based on measured values from fields in the edge-of-field monitoring network. Runoff from fields was measured with an h-flume and samples were collected using a flow proportion sampling strategy. Measured surface runoff loss of total P was 0.5 ± 0.9 kg P/ha/yr.</w:t>
      </w:r>
      <w:r w:rsidR="00C75ED7">
        <w:rPr>
          <w:rFonts w:ascii="Times New Roman" w:hAnsi="Times New Roman" w:cs="Times New Roman"/>
          <w:sz w:val="24"/>
          <w:szCs w:val="24"/>
        </w:rPr>
        <w:t xml:space="preserve"> Values are re</w:t>
      </w:r>
      <w:r w:rsidR="00F07E07">
        <w:rPr>
          <w:rFonts w:ascii="Times New Roman" w:hAnsi="Times New Roman" w:cs="Times New Roman"/>
          <w:sz w:val="24"/>
          <w:szCs w:val="24"/>
        </w:rPr>
        <w:t>ported in Ford et al. (2015),</w:t>
      </w:r>
      <w:r w:rsidR="00C75ED7">
        <w:rPr>
          <w:rFonts w:ascii="Times New Roman" w:hAnsi="Times New Roman" w:cs="Times New Roman"/>
          <w:sz w:val="24"/>
          <w:szCs w:val="24"/>
        </w:rPr>
        <w:t xml:space="preserve"> Williams et al. (2016b)</w:t>
      </w:r>
      <w:r w:rsidR="00F07E07">
        <w:rPr>
          <w:rFonts w:ascii="Times New Roman" w:hAnsi="Times New Roman" w:cs="Times New Roman"/>
          <w:sz w:val="24"/>
          <w:szCs w:val="24"/>
        </w:rPr>
        <w:t>, King et al. (2016)</w:t>
      </w:r>
      <w:r w:rsidR="00C75ED7">
        <w:rPr>
          <w:rFonts w:ascii="Times New Roman" w:hAnsi="Times New Roman" w:cs="Times New Roman"/>
          <w:sz w:val="24"/>
          <w:szCs w:val="24"/>
        </w:rPr>
        <w:t>.</w:t>
      </w:r>
    </w:p>
    <w:p w:rsidR="00C75ED7" w:rsidRDefault="00C75ED7" w:rsidP="00177204">
      <w:pPr>
        <w:spacing w:after="0" w:line="240" w:lineRule="auto"/>
        <w:rPr>
          <w:rFonts w:ascii="Times New Roman" w:hAnsi="Times New Roman" w:cs="Times New Roman"/>
          <w:sz w:val="24"/>
          <w:szCs w:val="24"/>
        </w:rPr>
      </w:pPr>
      <w:r w:rsidRPr="00C75ED7">
        <w:rPr>
          <w:rFonts w:ascii="Times New Roman" w:hAnsi="Times New Roman" w:cs="Times New Roman"/>
          <w:sz w:val="24"/>
          <w:szCs w:val="24"/>
          <w:u w:val="single"/>
        </w:rPr>
        <w:t>Leaching/Tile drainage</w:t>
      </w:r>
      <w:r>
        <w:rPr>
          <w:rFonts w:ascii="Times New Roman" w:hAnsi="Times New Roman" w:cs="Times New Roman"/>
          <w:sz w:val="24"/>
          <w:szCs w:val="24"/>
        </w:rPr>
        <w:t xml:space="preserve"> – Tile drainage P losses were based on measured values from fields in the edge-of-field monitoring network.</w:t>
      </w:r>
      <w:r w:rsidR="00F07E07">
        <w:rPr>
          <w:rFonts w:ascii="Times New Roman" w:hAnsi="Times New Roman" w:cs="Times New Roman"/>
          <w:sz w:val="24"/>
          <w:szCs w:val="24"/>
        </w:rPr>
        <w:t xml:space="preserve"> Tile discharge was measured using a weir insert and an area velocity sensor, with samples collected daily. Measured tile drainage loss of total P was 0.7 ± 0.8 kg P/ha</w:t>
      </w:r>
      <w:r w:rsidR="000A2E85">
        <w:rPr>
          <w:rFonts w:ascii="Times New Roman" w:hAnsi="Times New Roman" w:cs="Times New Roman"/>
          <w:sz w:val="24"/>
          <w:szCs w:val="24"/>
        </w:rPr>
        <w:t>/yr</w:t>
      </w:r>
      <w:r w:rsidR="00F07E07">
        <w:rPr>
          <w:rFonts w:ascii="Times New Roman" w:hAnsi="Times New Roman" w:cs="Times New Roman"/>
          <w:sz w:val="24"/>
          <w:szCs w:val="24"/>
        </w:rPr>
        <w:t>. Values are reported in Ford et al. (2015), Williams et al. (2016b), and King et al. (2016).</w:t>
      </w:r>
    </w:p>
    <w:p w:rsidR="005C61FC" w:rsidRDefault="005C61FC" w:rsidP="00177204">
      <w:pPr>
        <w:spacing w:after="0" w:line="240" w:lineRule="auto"/>
        <w:rPr>
          <w:rFonts w:ascii="Times New Roman" w:hAnsi="Times New Roman" w:cs="Times New Roman"/>
          <w:sz w:val="24"/>
          <w:szCs w:val="24"/>
        </w:rPr>
      </w:pPr>
    </w:p>
    <w:p w:rsidR="005C61FC" w:rsidRDefault="005C61FC" w:rsidP="00177204">
      <w:pPr>
        <w:spacing w:after="0" w:line="240" w:lineRule="auto"/>
        <w:rPr>
          <w:rFonts w:ascii="Times New Roman" w:hAnsi="Times New Roman" w:cs="Times New Roman"/>
          <w:sz w:val="24"/>
          <w:szCs w:val="24"/>
          <w:u w:val="single"/>
        </w:rPr>
      </w:pPr>
      <w:r w:rsidRPr="005C61FC">
        <w:rPr>
          <w:rFonts w:ascii="Times New Roman" w:hAnsi="Times New Roman" w:cs="Times New Roman"/>
          <w:sz w:val="24"/>
          <w:szCs w:val="24"/>
          <w:u w:val="single"/>
        </w:rPr>
        <w:t>References</w:t>
      </w:r>
    </w:p>
    <w:p w:rsidR="005C61FC" w:rsidRDefault="005C61FC" w:rsidP="005C61FC">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Baker, D.B., and R.P. Richards. 2001. Phosphorus budgets and riverine phosphorus export in northwestern Ohio watersheds. J. Environ. Qual. 31:96-108.</w:t>
      </w:r>
    </w:p>
    <w:p w:rsidR="005C61FC" w:rsidRDefault="005C61FC" w:rsidP="005C61FC">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Ford, W., K.W. King, M.R. Williams, J. Williams, and N.R. Fausey. 2015. Sensitivity analysis of the Agricultural Policy/Environmental eXtender (APEX) for phosphorus loads in tile-drained landscapes. J. Environ. Qual. 44:1099-1110.</w:t>
      </w:r>
    </w:p>
    <w:p w:rsidR="005C61FC" w:rsidRDefault="005C61FC" w:rsidP="005C61FC">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Han, H., N. Bosch, and J.D. Allan. 2011. Spatial and temporal variation in phosphorus budgets for 24 watersheds in the Lake Erie and Lake Michigan basins. Biogeochemistry 102:45-58.</w:t>
      </w:r>
    </w:p>
    <w:p w:rsidR="00AB12F6" w:rsidRDefault="00AB12F6" w:rsidP="005C61FC">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King, K.W., M.R. Williams, D.R. Smith, G.A. LaBarge, and N.R. Fausey. 2016. Using soil test phosphorus as a proxy for P risk in tile-drained landscapes. J. Environ. Qual. in review.</w:t>
      </w:r>
    </w:p>
    <w:p w:rsidR="005168D9" w:rsidRPr="00CE77EC" w:rsidRDefault="005168D9" w:rsidP="005168D9">
      <w:pPr>
        <w:spacing w:after="0" w:line="240" w:lineRule="auto"/>
        <w:ind w:left="360" w:hanging="360"/>
        <w:rPr>
          <w:rFonts w:ascii="Times New Roman" w:hAnsi="Times New Roman" w:cs="Times New Roman"/>
          <w:sz w:val="24"/>
          <w:szCs w:val="24"/>
        </w:rPr>
      </w:pPr>
      <w:r w:rsidRPr="00CE77EC">
        <w:rPr>
          <w:rFonts w:ascii="Times New Roman" w:hAnsi="Times New Roman" w:cs="Times New Roman"/>
          <w:sz w:val="24"/>
          <w:szCs w:val="24"/>
        </w:rPr>
        <w:t>NASS</w:t>
      </w:r>
      <w:r>
        <w:rPr>
          <w:rFonts w:ascii="Times New Roman" w:hAnsi="Times New Roman" w:cs="Times New Roman"/>
          <w:sz w:val="24"/>
          <w:szCs w:val="24"/>
        </w:rPr>
        <w:t xml:space="preserve"> (National Agricultural Statistics Service)</w:t>
      </w:r>
      <w:r w:rsidRPr="00CE77EC">
        <w:rPr>
          <w:rFonts w:ascii="Times New Roman" w:hAnsi="Times New Roman" w:cs="Times New Roman"/>
          <w:sz w:val="24"/>
          <w:szCs w:val="24"/>
        </w:rPr>
        <w:t>. 201</w:t>
      </w:r>
      <w:r>
        <w:rPr>
          <w:rFonts w:ascii="Times New Roman" w:hAnsi="Times New Roman" w:cs="Times New Roman"/>
          <w:sz w:val="24"/>
          <w:szCs w:val="24"/>
        </w:rPr>
        <w:t xml:space="preserve">6. </w:t>
      </w:r>
      <w:r w:rsidRPr="005C3AFA">
        <w:rPr>
          <w:rFonts w:ascii="Times New Roman" w:hAnsi="Times New Roman" w:cs="Times New Roman"/>
          <w:sz w:val="24"/>
          <w:szCs w:val="24"/>
        </w:rPr>
        <w:t>http://www.nass.usda.gov</w:t>
      </w:r>
      <w:r>
        <w:rPr>
          <w:rFonts w:ascii="Times New Roman" w:hAnsi="Times New Roman" w:cs="Times New Roman"/>
          <w:sz w:val="24"/>
          <w:szCs w:val="24"/>
        </w:rPr>
        <w:t xml:space="preserve">. </w:t>
      </w:r>
      <w:r w:rsidRPr="00CE77EC">
        <w:rPr>
          <w:rFonts w:ascii="Times New Roman" w:hAnsi="Times New Roman" w:cs="Times New Roman"/>
          <w:sz w:val="24"/>
          <w:szCs w:val="24"/>
        </w:rPr>
        <w:t xml:space="preserve"> Last accessed 1-</w:t>
      </w:r>
      <w:r>
        <w:rPr>
          <w:rFonts w:ascii="Times New Roman" w:hAnsi="Times New Roman" w:cs="Times New Roman"/>
          <w:sz w:val="24"/>
          <w:szCs w:val="24"/>
        </w:rPr>
        <w:t>April</w:t>
      </w:r>
      <w:r w:rsidR="00220569">
        <w:rPr>
          <w:rFonts w:ascii="Times New Roman" w:hAnsi="Times New Roman" w:cs="Times New Roman"/>
          <w:sz w:val="24"/>
          <w:szCs w:val="24"/>
        </w:rPr>
        <w:t>-</w:t>
      </w:r>
      <w:r w:rsidRPr="00CE77EC">
        <w:rPr>
          <w:rFonts w:ascii="Times New Roman" w:hAnsi="Times New Roman" w:cs="Times New Roman"/>
          <w:sz w:val="24"/>
          <w:szCs w:val="24"/>
        </w:rPr>
        <w:t>201</w:t>
      </w:r>
      <w:r>
        <w:rPr>
          <w:rFonts w:ascii="Times New Roman" w:hAnsi="Times New Roman" w:cs="Times New Roman"/>
          <w:sz w:val="24"/>
          <w:szCs w:val="24"/>
        </w:rPr>
        <w:t>6</w:t>
      </w:r>
      <w:r w:rsidRPr="00CE77EC">
        <w:rPr>
          <w:rFonts w:ascii="Times New Roman" w:hAnsi="Times New Roman" w:cs="Times New Roman"/>
          <w:sz w:val="24"/>
          <w:szCs w:val="24"/>
        </w:rPr>
        <w:t>.</w:t>
      </w:r>
    </w:p>
    <w:p w:rsidR="00AB12F6" w:rsidRDefault="005168D9" w:rsidP="005C61FC">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lastRenderedPageBreak/>
        <w:t xml:space="preserve">Rathke, D.E., and G. McCrae. 1989. Appendix B, Volume III, Report of the Great Lakes Water Quality Board. International Joint Commission, Windsor, Ontario. </w:t>
      </w:r>
    </w:p>
    <w:p w:rsidR="00220569" w:rsidRPr="00220569" w:rsidRDefault="00220569" w:rsidP="00220569">
      <w:pPr>
        <w:spacing w:after="0" w:line="240" w:lineRule="auto"/>
        <w:ind w:left="360" w:hanging="360"/>
        <w:rPr>
          <w:rFonts w:ascii="Times New Roman" w:hAnsi="Times New Roman"/>
          <w:sz w:val="24"/>
          <w:szCs w:val="24"/>
        </w:rPr>
      </w:pPr>
      <w:r w:rsidRPr="00220569">
        <w:rPr>
          <w:rFonts w:ascii="Times New Roman" w:hAnsi="Times New Roman"/>
          <w:sz w:val="24"/>
          <w:szCs w:val="24"/>
        </w:rPr>
        <w:t>Vitosh, M.L., J.W. Johnson, and D.B. Mengel. 1995. Tri-state fertilizer recommendations for corn, soybeans, wheat, and alfalfa. Ohio State University Agricultural Extension Bulletin E-2567. http://ohioline.osu.edu/e2567/index.html. Last accessed 1-</w:t>
      </w:r>
      <w:r>
        <w:rPr>
          <w:rFonts w:ascii="Times New Roman" w:hAnsi="Times New Roman"/>
          <w:sz w:val="24"/>
          <w:szCs w:val="24"/>
        </w:rPr>
        <w:t>April-2016</w:t>
      </w:r>
      <w:r w:rsidRPr="00220569">
        <w:rPr>
          <w:rFonts w:ascii="Times New Roman" w:hAnsi="Times New Roman"/>
          <w:sz w:val="24"/>
          <w:szCs w:val="24"/>
        </w:rPr>
        <w:t>.</w:t>
      </w:r>
    </w:p>
    <w:p w:rsidR="005168D9" w:rsidRDefault="005168D9" w:rsidP="005C61FC">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Williams, M.R., K.W. King, W. Ford, and N.R. Fausey. 2016. Edge-of-field research to quantify the impacts of agricultural practices on water quality in Ohio. J. Soil Water Conserv. 71:9A-12A.</w:t>
      </w:r>
    </w:p>
    <w:p w:rsidR="005168D9" w:rsidRDefault="005168D9" w:rsidP="005C61FC">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Williams, M.R., K.W. King, E.A. Dayton, G.A. LaBarge, R.B. Confesor, and N.R. Fausey. 2016. Edge-of-field evaluation of the Ohio phosphorus risk index. J. Environ. Qual. in review.</w:t>
      </w:r>
    </w:p>
    <w:p w:rsidR="00911DAD" w:rsidRDefault="00911DAD" w:rsidP="005C61FC">
      <w:pPr>
        <w:spacing w:after="0" w:line="240" w:lineRule="auto"/>
        <w:ind w:left="360" w:hanging="360"/>
        <w:rPr>
          <w:rFonts w:ascii="Times New Roman" w:hAnsi="Times New Roman" w:cs="Times New Roman"/>
          <w:sz w:val="24"/>
          <w:szCs w:val="24"/>
        </w:rPr>
      </w:pPr>
    </w:p>
    <w:p w:rsidR="00911DAD" w:rsidRDefault="00911DAD" w:rsidP="005C61FC">
      <w:pPr>
        <w:spacing w:after="0" w:line="240" w:lineRule="auto"/>
        <w:ind w:left="360" w:hanging="360"/>
        <w:rPr>
          <w:rFonts w:ascii="Times New Roman" w:hAnsi="Times New Roman" w:cs="Times New Roman"/>
          <w:b/>
          <w:sz w:val="28"/>
          <w:szCs w:val="28"/>
        </w:rPr>
      </w:pPr>
      <w:r>
        <w:rPr>
          <w:rFonts w:ascii="Times New Roman" w:hAnsi="Times New Roman" w:cs="Times New Roman"/>
          <w:b/>
          <w:sz w:val="28"/>
          <w:szCs w:val="28"/>
        </w:rPr>
        <w:t>Describe an aspirational phosphorus budget:</w:t>
      </w:r>
    </w:p>
    <w:p w:rsidR="00911DAD" w:rsidRDefault="00911DAD" w:rsidP="00F16B0D">
      <w:pPr>
        <w:spacing w:after="0" w:line="240" w:lineRule="auto"/>
        <w:rPr>
          <w:rFonts w:ascii="Times New Roman" w:hAnsi="Times New Roman" w:cs="Times New Roman"/>
          <w:color w:val="C00000"/>
          <w:sz w:val="24"/>
          <w:szCs w:val="24"/>
        </w:rPr>
      </w:pPr>
      <w:r>
        <w:rPr>
          <w:rFonts w:ascii="Times New Roman" w:hAnsi="Times New Roman" w:cs="Times New Roman"/>
          <w:color w:val="C00000"/>
          <w:sz w:val="24"/>
          <w:szCs w:val="24"/>
        </w:rPr>
        <w:t xml:space="preserve">[Describe </w:t>
      </w:r>
      <w:r w:rsidR="00F16B0D">
        <w:rPr>
          <w:rFonts w:ascii="Times New Roman" w:hAnsi="Times New Roman" w:cs="Times New Roman"/>
          <w:color w:val="C00000"/>
          <w:sz w:val="24"/>
          <w:szCs w:val="24"/>
        </w:rPr>
        <w:t>what an aspirational phosphorus budget would look like based on the regional resource concern related to phosphorus described previously. How will the aspirational budget help meet water quality targets/TMDLs, the USDA Grand Challenge, etc.?]</w:t>
      </w:r>
    </w:p>
    <w:p w:rsidR="00B67966" w:rsidRDefault="00B67966" w:rsidP="00F16B0D">
      <w:pPr>
        <w:spacing w:after="0" w:line="240" w:lineRule="auto"/>
        <w:rPr>
          <w:rFonts w:ascii="Times New Roman" w:hAnsi="Times New Roman" w:cs="Times New Roman"/>
          <w:color w:val="C00000"/>
          <w:sz w:val="24"/>
          <w:szCs w:val="24"/>
        </w:rPr>
      </w:pPr>
    </w:p>
    <w:p w:rsidR="00B67966" w:rsidRDefault="00B67966" w:rsidP="00F16B0D">
      <w:pPr>
        <w:spacing w:after="0" w:line="240" w:lineRule="auto"/>
        <w:rPr>
          <w:rFonts w:ascii="Times New Roman" w:hAnsi="Times New Roman" w:cs="Times New Roman"/>
          <w:sz w:val="24"/>
          <w:szCs w:val="24"/>
        </w:rPr>
      </w:pPr>
      <w:r>
        <w:rPr>
          <w:rFonts w:ascii="Times New Roman" w:hAnsi="Times New Roman" w:cs="Times New Roman"/>
          <w:sz w:val="24"/>
          <w:szCs w:val="24"/>
        </w:rPr>
        <w:t>According to Powers et al. (2016), approximately 250 kt of P has been accumulated in the WLEB since the 1970s. To meet water quality targets for Lake Erie, meet the USDA Grand Challenge, and decrease the amount of P built up in the landscape over time, an aspirational P budget for the Eastern Corn</w:t>
      </w:r>
      <w:r w:rsidR="00525918">
        <w:rPr>
          <w:rFonts w:ascii="Times New Roman" w:hAnsi="Times New Roman" w:cs="Times New Roman"/>
          <w:sz w:val="24"/>
          <w:szCs w:val="24"/>
        </w:rPr>
        <w:t xml:space="preserve"> B</w:t>
      </w:r>
      <w:r>
        <w:rPr>
          <w:rFonts w:ascii="Times New Roman" w:hAnsi="Times New Roman" w:cs="Times New Roman"/>
          <w:sz w:val="24"/>
          <w:szCs w:val="24"/>
        </w:rPr>
        <w:t xml:space="preserve">elt </w:t>
      </w:r>
      <w:r w:rsidR="00DD0496">
        <w:rPr>
          <w:rFonts w:ascii="Times New Roman" w:hAnsi="Times New Roman" w:cs="Times New Roman"/>
          <w:sz w:val="24"/>
          <w:szCs w:val="24"/>
        </w:rPr>
        <w:t>includes</w:t>
      </w:r>
      <w:r>
        <w:rPr>
          <w:rFonts w:ascii="Times New Roman" w:hAnsi="Times New Roman" w:cs="Times New Roman"/>
          <w:sz w:val="24"/>
          <w:szCs w:val="24"/>
        </w:rPr>
        <w:t xml:space="preserve"> greater crop removal (greater yields)</w:t>
      </w:r>
      <w:r w:rsidR="008140B1">
        <w:rPr>
          <w:rFonts w:ascii="Times New Roman" w:hAnsi="Times New Roman" w:cs="Times New Roman"/>
          <w:sz w:val="24"/>
          <w:szCs w:val="24"/>
        </w:rPr>
        <w:t>,</w:t>
      </w:r>
      <w:r>
        <w:rPr>
          <w:rFonts w:ascii="Times New Roman" w:hAnsi="Times New Roman" w:cs="Times New Roman"/>
          <w:sz w:val="24"/>
          <w:szCs w:val="24"/>
        </w:rPr>
        <w:t xml:space="preserve"> less environmental losses of P (surface runoff and tile discharge)</w:t>
      </w:r>
      <w:r w:rsidR="008140B1">
        <w:rPr>
          <w:rFonts w:ascii="Times New Roman" w:hAnsi="Times New Roman" w:cs="Times New Roman"/>
          <w:sz w:val="24"/>
          <w:szCs w:val="24"/>
        </w:rPr>
        <w:t>, and</w:t>
      </w:r>
      <w:r>
        <w:rPr>
          <w:rFonts w:ascii="Times New Roman" w:hAnsi="Times New Roman" w:cs="Times New Roman"/>
          <w:sz w:val="24"/>
          <w:szCs w:val="24"/>
        </w:rPr>
        <w:t xml:space="preserve"> fewer P inputs (fertilizer and manure).</w:t>
      </w:r>
    </w:p>
    <w:p w:rsidR="008F0AEB" w:rsidRDefault="008F0AEB" w:rsidP="00F16B0D">
      <w:pPr>
        <w:spacing w:after="0" w:line="240" w:lineRule="auto"/>
        <w:rPr>
          <w:rFonts w:ascii="Times New Roman" w:hAnsi="Times New Roman" w:cs="Times New Roman"/>
          <w:sz w:val="24"/>
          <w:szCs w:val="24"/>
        </w:rPr>
      </w:pPr>
    </w:p>
    <w:p w:rsidR="008F0AEB" w:rsidRPr="008F0AEB" w:rsidRDefault="008F0AEB" w:rsidP="00F16B0D">
      <w:pPr>
        <w:spacing w:after="0" w:line="240" w:lineRule="auto"/>
        <w:rPr>
          <w:rFonts w:ascii="Times New Roman" w:hAnsi="Times New Roman" w:cs="Times New Roman"/>
          <w:sz w:val="24"/>
          <w:szCs w:val="24"/>
          <w:u w:val="single"/>
        </w:rPr>
      </w:pPr>
      <w:r w:rsidRPr="008F0AEB">
        <w:rPr>
          <w:rFonts w:ascii="Times New Roman" w:hAnsi="Times New Roman" w:cs="Times New Roman"/>
          <w:sz w:val="24"/>
          <w:szCs w:val="24"/>
          <w:u w:val="single"/>
        </w:rPr>
        <w:t xml:space="preserve">Aspirational P budget </w:t>
      </w:r>
    </w:p>
    <w:p w:rsidR="008F0AEB" w:rsidRDefault="008F0AEB" w:rsidP="00F16B0D">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00DE266C">
        <w:rPr>
          <w:rFonts w:ascii="Times New Roman" w:hAnsi="Times New Roman" w:cs="Times New Roman"/>
          <w:sz w:val="24"/>
          <w:szCs w:val="24"/>
        </w:rPr>
        <w:t>0</w:t>
      </w:r>
      <w:r>
        <w:rPr>
          <w:rFonts w:ascii="Times New Roman" w:hAnsi="Times New Roman" w:cs="Times New Roman"/>
          <w:sz w:val="24"/>
          <w:szCs w:val="24"/>
        </w:rPr>
        <w:t xml:space="preserve">% increase in </w:t>
      </w:r>
      <w:r w:rsidR="00DE266C">
        <w:rPr>
          <w:rFonts w:ascii="Times New Roman" w:hAnsi="Times New Roman" w:cs="Times New Roman"/>
          <w:sz w:val="24"/>
          <w:szCs w:val="24"/>
        </w:rPr>
        <w:t xml:space="preserve">average </w:t>
      </w:r>
      <w:r>
        <w:rPr>
          <w:rFonts w:ascii="Times New Roman" w:hAnsi="Times New Roman" w:cs="Times New Roman"/>
          <w:sz w:val="24"/>
          <w:szCs w:val="24"/>
        </w:rPr>
        <w:t xml:space="preserve">crop yield </w:t>
      </w:r>
      <w:r w:rsidR="00DE266C">
        <w:rPr>
          <w:rFonts w:ascii="Times New Roman" w:hAnsi="Times New Roman" w:cs="Times New Roman"/>
          <w:sz w:val="24"/>
          <w:szCs w:val="24"/>
        </w:rPr>
        <w:t xml:space="preserve">(190 bu/ac corn; 55 bu/ac soybean) – 56.3 kg P/ha P </w:t>
      </w:r>
    </w:p>
    <w:p w:rsidR="00DE266C" w:rsidRDefault="00DE266C" w:rsidP="00F16B0D">
      <w:pPr>
        <w:spacing w:after="0" w:line="240" w:lineRule="auto"/>
        <w:rPr>
          <w:rFonts w:ascii="Times New Roman" w:hAnsi="Times New Roman" w:cs="Times New Roman"/>
          <w:sz w:val="24"/>
          <w:szCs w:val="24"/>
        </w:rPr>
      </w:pPr>
      <w:r>
        <w:rPr>
          <w:rFonts w:ascii="Times New Roman" w:hAnsi="Times New Roman" w:cs="Times New Roman"/>
          <w:sz w:val="24"/>
          <w:szCs w:val="24"/>
        </w:rPr>
        <w:t>20% decrease in environmental losses - 1.9 kg P/ha</w:t>
      </w:r>
    </w:p>
    <w:p w:rsidR="00DE266C" w:rsidRDefault="0048313B" w:rsidP="00F16B0D">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00DE266C">
        <w:rPr>
          <w:rFonts w:ascii="Times New Roman" w:hAnsi="Times New Roman" w:cs="Times New Roman"/>
          <w:sz w:val="24"/>
          <w:szCs w:val="24"/>
        </w:rPr>
        <w:t>0% decrease in average fertilizer/manure inputs – 3</w:t>
      </w:r>
      <w:r>
        <w:rPr>
          <w:rFonts w:ascii="Times New Roman" w:hAnsi="Times New Roman" w:cs="Times New Roman"/>
          <w:sz w:val="24"/>
          <w:szCs w:val="24"/>
        </w:rPr>
        <w:t>4.3</w:t>
      </w:r>
      <w:r w:rsidR="00DE266C">
        <w:rPr>
          <w:rFonts w:ascii="Times New Roman" w:hAnsi="Times New Roman" w:cs="Times New Roman"/>
          <w:sz w:val="24"/>
          <w:szCs w:val="24"/>
        </w:rPr>
        <w:t xml:space="preserve"> kg P/ha</w:t>
      </w:r>
    </w:p>
    <w:p w:rsidR="0048313B" w:rsidRDefault="0048313B" w:rsidP="00F16B0D">
      <w:pPr>
        <w:spacing w:after="0" w:line="240" w:lineRule="auto"/>
        <w:rPr>
          <w:rFonts w:ascii="Times New Roman" w:hAnsi="Times New Roman" w:cs="Times New Roman"/>
          <w:sz w:val="24"/>
          <w:szCs w:val="24"/>
        </w:rPr>
      </w:pPr>
      <w:r>
        <w:rPr>
          <w:rFonts w:ascii="Times New Roman" w:hAnsi="Times New Roman" w:cs="Times New Roman"/>
          <w:sz w:val="24"/>
          <w:szCs w:val="24"/>
        </w:rPr>
        <w:t>Aspirational Balance (Input – Output) = -23.6 kg P/ha</w:t>
      </w:r>
    </w:p>
    <w:p w:rsidR="00B67966" w:rsidRDefault="00B67966" w:rsidP="00F16B0D">
      <w:pPr>
        <w:spacing w:after="0" w:line="240" w:lineRule="auto"/>
        <w:rPr>
          <w:rFonts w:ascii="Times New Roman" w:hAnsi="Times New Roman" w:cs="Times New Roman"/>
          <w:sz w:val="24"/>
          <w:szCs w:val="24"/>
        </w:rPr>
      </w:pPr>
    </w:p>
    <w:p w:rsidR="00B67966" w:rsidRDefault="00B67966" w:rsidP="00B67966">
      <w:pPr>
        <w:spacing w:after="0" w:line="240" w:lineRule="auto"/>
        <w:rPr>
          <w:rFonts w:ascii="Times New Roman" w:hAnsi="Times New Roman" w:cs="Times New Roman"/>
          <w:sz w:val="24"/>
          <w:szCs w:val="24"/>
          <w:u w:val="single"/>
        </w:rPr>
      </w:pPr>
      <w:r w:rsidRPr="005C61FC">
        <w:rPr>
          <w:rFonts w:ascii="Times New Roman" w:hAnsi="Times New Roman" w:cs="Times New Roman"/>
          <w:sz w:val="24"/>
          <w:szCs w:val="24"/>
          <w:u w:val="single"/>
        </w:rPr>
        <w:t>References</w:t>
      </w:r>
    </w:p>
    <w:p w:rsidR="00B67966" w:rsidRPr="00B67966" w:rsidRDefault="00B67966" w:rsidP="00F16B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Powers, S.M., T.W. Bruulsema, T.P. Burt, N.I. Chan, J.J. Elser, P.M. Haygarth, N.J.K. Howden, H.P. Jarvie, Y. Lyu, H.M. Peterson, A.N. Sharpley, J. Shen, F. Worrall, and F. Zhang. 2016. Long-term accumulation and transport of anthropogenic phosphorus in three river basins. Nature Geoscience 9:353-356. </w:t>
      </w:r>
    </w:p>
    <w:sectPr w:rsidR="00B67966" w:rsidRPr="00B6796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40B2" w:rsidRDefault="008840B2" w:rsidP="00FF4016">
      <w:pPr>
        <w:spacing w:after="0" w:line="240" w:lineRule="auto"/>
      </w:pPr>
      <w:r>
        <w:separator/>
      </w:r>
    </w:p>
  </w:endnote>
  <w:endnote w:type="continuationSeparator" w:id="0">
    <w:p w:rsidR="008840B2" w:rsidRDefault="008840B2" w:rsidP="00FF4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40B2" w:rsidRDefault="008840B2" w:rsidP="00FF4016">
      <w:pPr>
        <w:spacing w:after="0" w:line="240" w:lineRule="auto"/>
      </w:pPr>
      <w:r>
        <w:separator/>
      </w:r>
    </w:p>
  </w:footnote>
  <w:footnote w:type="continuationSeparator" w:id="0">
    <w:p w:rsidR="008840B2" w:rsidRDefault="008840B2" w:rsidP="00FF40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809891"/>
      <w:docPartObj>
        <w:docPartGallery w:val="Page Numbers (Top of Page)"/>
        <w:docPartUnique/>
      </w:docPartObj>
    </w:sdtPr>
    <w:sdtEndPr>
      <w:rPr>
        <w:noProof/>
      </w:rPr>
    </w:sdtEndPr>
    <w:sdtContent>
      <w:p w:rsidR="00FF4016" w:rsidRDefault="00FF4016">
        <w:pPr>
          <w:pStyle w:val="Header"/>
          <w:jc w:val="right"/>
        </w:pPr>
        <w:r w:rsidRPr="00FF4016">
          <w:rPr>
            <w:rFonts w:ascii="Times New Roman" w:hAnsi="Times New Roman" w:cs="Times New Roman"/>
            <w:sz w:val="20"/>
            <w:szCs w:val="20"/>
          </w:rPr>
          <w:fldChar w:fldCharType="begin"/>
        </w:r>
        <w:r w:rsidRPr="00FF4016">
          <w:rPr>
            <w:rFonts w:ascii="Times New Roman" w:hAnsi="Times New Roman" w:cs="Times New Roman"/>
            <w:sz w:val="20"/>
            <w:szCs w:val="20"/>
          </w:rPr>
          <w:instrText xml:space="preserve"> PAGE   \* MERGEFORMAT </w:instrText>
        </w:r>
        <w:r w:rsidRPr="00FF4016">
          <w:rPr>
            <w:rFonts w:ascii="Times New Roman" w:hAnsi="Times New Roman" w:cs="Times New Roman"/>
            <w:sz w:val="20"/>
            <w:szCs w:val="20"/>
          </w:rPr>
          <w:fldChar w:fldCharType="separate"/>
        </w:r>
        <w:r w:rsidR="000445A0">
          <w:rPr>
            <w:rFonts w:ascii="Times New Roman" w:hAnsi="Times New Roman" w:cs="Times New Roman"/>
            <w:noProof/>
            <w:sz w:val="20"/>
            <w:szCs w:val="20"/>
          </w:rPr>
          <w:t>1</w:t>
        </w:r>
        <w:r w:rsidRPr="00FF4016">
          <w:rPr>
            <w:rFonts w:ascii="Times New Roman" w:hAnsi="Times New Roman" w:cs="Times New Roman"/>
            <w:noProof/>
            <w:sz w:val="20"/>
            <w:szCs w:val="20"/>
          </w:rPr>
          <w:fldChar w:fldCharType="end"/>
        </w:r>
      </w:p>
    </w:sdtContent>
  </w:sdt>
  <w:p w:rsidR="00FF4016" w:rsidRDefault="00FF40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771"/>
    <w:rsid w:val="000209FB"/>
    <w:rsid w:val="000445A0"/>
    <w:rsid w:val="000A2E85"/>
    <w:rsid w:val="000E2A92"/>
    <w:rsid w:val="00177204"/>
    <w:rsid w:val="001B60D7"/>
    <w:rsid w:val="001E1AFE"/>
    <w:rsid w:val="00220569"/>
    <w:rsid w:val="0025164D"/>
    <w:rsid w:val="00310A2F"/>
    <w:rsid w:val="0038028C"/>
    <w:rsid w:val="00426C9B"/>
    <w:rsid w:val="0045244A"/>
    <w:rsid w:val="00461966"/>
    <w:rsid w:val="0048313B"/>
    <w:rsid w:val="004A6955"/>
    <w:rsid w:val="005168D9"/>
    <w:rsid w:val="00525018"/>
    <w:rsid w:val="00525918"/>
    <w:rsid w:val="00531F6E"/>
    <w:rsid w:val="005542D7"/>
    <w:rsid w:val="00557C55"/>
    <w:rsid w:val="00562251"/>
    <w:rsid w:val="005C61FC"/>
    <w:rsid w:val="00620822"/>
    <w:rsid w:val="0062433F"/>
    <w:rsid w:val="00633887"/>
    <w:rsid w:val="00711CCB"/>
    <w:rsid w:val="00771423"/>
    <w:rsid w:val="00804607"/>
    <w:rsid w:val="008140B1"/>
    <w:rsid w:val="00827DA7"/>
    <w:rsid w:val="0083788F"/>
    <w:rsid w:val="00840C2C"/>
    <w:rsid w:val="00852FDD"/>
    <w:rsid w:val="008840B2"/>
    <w:rsid w:val="008B008A"/>
    <w:rsid w:val="008F0AEB"/>
    <w:rsid w:val="008F5737"/>
    <w:rsid w:val="00911DAD"/>
    <w:rsid w:val="00940E07"/>
    <w:rsid w:val="00946771"/>
    <w:rsid w:val="00997B38"/>
    <w:rsid w:val="009A2312"/>
    <w:rsid w:val="00A1621F"/>
    <w:rsid w:val="00A965B2"/>
    <w:rsid w:val="00AB12F6"/>
    <w:rsid w:val="00AC7403"/>
    <w:rsid w:val="00B30282"/>
    <w:rsid w:val="00B67966"/>
    <w:rsid w:val="00BB5498"/>
    <w:rsid w:val="00BD1D77"/>
    <w:rsid w:val="00C13993"/>
    <w:rsid w:val="00C23059"/>
    <w:rsid w:val="00C41A80"/>
    <w:rsid w:val="00C6243B"/>
    <w:rsid w:val="00C75ED7"/>
    <w:rsid w:val="00CA2ADB"/>
    <w:rsid w:val="00CE00CA"/>
    <w:rsid w:val="00CF2232"/>
    <w:rsid w:val="00D15473"/>
    <w:rsid w:val="00D82082"/>
    <w:rsid w:val="00DB45A8"/>
    <w:rsid w:val="00DD0496"/>
    <w:rsid w:val="00DE266C"/>
    <w:rsid w:val="00DF771D"/>
    <w:rsid w:val="00E51FBA"/>
    <w:rsid w:val="00E93570"/>
    <w:rsid w:val="00EF443F"/>
    <w:rsid w:val="00F07E07"/>
    <w:rsid w:val="00F13C08"/>
    <w:rsid w:val="00F16B0D"/>
    <w:rsid w:val="00F42354"/>
    <w:rsid w:val="00F520EB"/>
    <w:rsid w:val="00F8317B"/>
    <w:rsid w:val="00FC0E0E"/>
    <w:rsid w:val="00FC40EB"/>
    <w:rsid w:val="00FF4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C58070-4C57-4433-BD90-7F6493ED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spacing">
    <w:name w:val="x_msonospacing"/>
    <w:basedOn w:val="Normal"/>
    <w:rsid w:val="0094677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94677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52FDD"/>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852F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F4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016"/>
  </w:style>
  <w:style w:type="paragraph" w:styleId="Footer">
    <w:name w:val="footer"/>
    <w:basedOn w:val="Normal"/>
    <w:link w:val="FooterChar"/>
    <w:uiPriority w:val="99"/>
    <w:unhideWhenUsed/>
    <w:rsid w:val="00FF4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558160">
      <w:bodyDiv w:val="1"/>
      <w:marLeft w:val="0"/>
      <w:marRight w:val="0"/>
      <w:marTop w:val="0"/>
      <w:marBottom w:val="0"/>
      <w:divBdr>
        <w:top w:val="none" w:sz="0" w:space="0" w:color="auto"/>
        <w:left w:val="none" w:sz="0" w:space="0" w:color="auto"/>
        <w:bottom w:val="none" w:sz="0" w:space="0" w:color="auto"/>
        <w:right w:val="none" w:sz="0" w:space="0" w:color="auto"/>
      </w:divBdr>
      <w:divsChild>
        <w:div w:id="168914403">
          <w:marLeft w:val="0"/>
          <w:marRight w:val="0"/>
          <w:marTop w:val="0"/>
          <w:marBottom w:val="0"/>
          <w:divBdr>
            <w:top w:val="none" w:sz="0" w:space="0" w:color="auto"/>
            <w:left w:val="none" w:sz="0" w:space="0" w:color="auto"/>
            <w:bottom w:val="none" w:sz="0" w:space="0" w:color="auto"/>
            <w:right w:val="none" w:sz="0" w:space="0" w:color="auto"/>
          </w:divBdr>
          <w:divsChild>
            <w:div w:id="111947239">
              <w:marLeft w:val="0"/>
              <w:marRight w:val="0"/>
              <w:marTop w:val="0"/>
              <w:marBottom w:val="0"/>
              <w:divBdr>
                <w:top w:val="none" w:sz="0" w:space="0" w:color="auto"/>
                <w:left w:val="none" w:sz="0" w:space="0" w:color="auto"/>
                <w:bottom w:val="none" w:sz="0" w:space="0" w:color="auto"/>
                <w:right w:val="none" w:sz="0" w:space="0" w:color="auto"/>
              </w:divBdr>
              <w:divsChild>
                <w:div w:id="19591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BFA3A-EE8B-4140-A71B-5C1C1D8EC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4</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FABE</Company>
  <LinksUpToDate>false</LinksUpToDate>
  <CharactersWithSpaces>10321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Williams</dc:creator>
  <cp:lastModifiedBy>Mark.Williams</cp:lastModifiedBy>
  <cp:revision>77</cp:revision>
  <dcterms:created xsi:type="dcterms:W3CDTF">2016-05-11T19:52:00Z</dcterms:created>
  <dcterms:modified xsi:type="dcterms:W3CDTF">2016-08-08T16:06:00Z</dcterms:modified>
</cp:coreProperties>
</file>