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 Data-Driven Approach to Breast Cancer Prediction: Integrating Machine Learning for Clinical Decision Support.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First Keyword, Second Keyword, Third Keyword.</w:t>
      </w:r>
    </w:p>
    <w:p w:rsidR="00000000" w:rsidDel="00000000" w:rsidP="00000000" w:rsidRDefault="00000000" w:rsidRPr="00000000" w14:paraId="0000000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Section</w:t>
      </w:r>
      <w:r w:rsidDel="00000000" w:rsidR="00000000" w:rsidRPr="00000000">
        <w:rPr>
          <w:rtl w:val="0"/>
        </w:rPr>
      </w:r>
    </w:p>
    <w:p w:rsidR="00000000" w:rsidDel="00000000" w:rsidP="00000000" w:rsidRDefault="00000000" w:rsidRPr="00000000" w14:paraId="0000000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9">
      <w:pPr>
        <w:rPr>
          <w:b w:val="1"/>
          <w:color w:val="4a86e8"/>
        </w:rPr>
      </w:pPr>
      <w:r w:rsidDel="00000000" w:rsidR="00000000" w:rsidRPr="00000000">
        <w:rPr>
          <w:shd w:fill="ead1dc" w:val="clear"/>
          <w:rtl w:val="0"/>
        </w:rPr>
        <w:t xml:space="preserve">Shen et al.(2019) developed a CNN model to detect Breast Cancer from biopsies and microscopic images.</w:t>
      </w:r>
      <w:r w:rsidDel="00000000" w:rsidR="00000000" w:rsidRPr="00000000">
        <w:rPr>
          <w:rtl w:val="0"/>
        </w:rPr>
        <w:t xml:space="preserve"> Here is the efficacy of Shen et al.'s approach was rigorously evaluated on two widely recognized public datasets: the Digital Database for Screening Mammography (DDSM) / CBIS-DDSM and INbreast.For the INbreast dataset, the best single model achieved an impressive per-image AUC of 0.95, with four-model averaging further improving it to 0.98 (sensitivity: 86.7%, specificity: 96.1%) and the DDSM dataset, the best single model achieved a per-image Area Under the Curve (AUC) score of 0.88, which improved to 0.91 with three-model averaging. </w:t>
      </w:r>
      <w:r w:rsidDel="00000000" w:rsidR="00000000" w:rsidRPr="00000000">
        <w:rPr>
          <w:b w:val="1"/>
          <w:color w:val="4a86e8"/>
          <w:rtl w:val="0"/>
        </w:rPr>
        <w:t xml:space="preserve">[1]</w:t>
      </w:r>
    </w:p>
    <w:p w:rsidR="00000000" w:rsidDel="00000000" w:rsidP="00000000" w:rsidRDefault="00000000" w:rsidRPr="00000000" w14:paraId="0000000A">
      <w:pPr>
        <w:rPr>
          <w:b w:val="1"/>
          <w:color w:val="4a86e8"/>
          <w:shd w:fill="f4cccc" w:val="clear"/>
        </w:rPr>
      </w:pPr>
      <w:r w:rsidDel="00000000" w:rsidR="00000000" w:rsidRPr="00000000">
        <w:rPr>
          <w:rtl w:val="0"/>
        </w:rPr>
      </w:r>
    </w:p>
    <w:p w:rsidR="00000000" w:rsidDel="00000000" w:rsidP="00000000" w:rsidRDefault="00000000" w:rsidRPr="00000000" w14:paraId="0000000B">
      <w:pPr>
        <w:rPr>
          <w:b w:val="1"/>
          <w:color w:val="222222"/>
          <w:shd w:fill="f4cccc" w:val="clear"/>
        </w:rPr>
      </w:pPr>
      <w:r w:rsidDel="00000000" w:rsidR="00000000" w:rsidRPr="00000000">
        <w:rPr>
          <w:shd w:fill="f4cccc" w:val="clear"/>
          <w:rtl w:val="0"/>
        </w:rPr>
        <w:t xml:space="preserve">Siham et al.(2020) focus on how to preprocess data to deal with imbalanced data that have missing values using resampling techniques to enhance the classification accuracy of detecting breast cancer. The three classifiers (NB, SMO, J48) were tested over original data. The accuracy is respectively 71.67%, 69.58%, 75.52%. After applying a  discretization filter and removing the records with missing values, results improved. After that, a resample filter was applied for 7 times, then the accuracy was 98.20%(J48), 76.61%(NB), 95.32%(SMO). </w:t>
      </w:r>
      <w:r w:rsidDel="00000000" w:rsidR="00000000" w:rsidRPr="00000000">
        <w:rPr>
          <w:b w:val="1"/>
          <w:color w:val="4a86e8"/>
          <w:shd w:fill="f4cccc" w:val="clear"/>
          <w:rtl w:val="0"/>
        </w:rPr>
        <w:t xml:space="preserve">[2]</w:t>
      </w:r>
      <w:r w:rsidDel="00000000" w:rsidR="00000000" w:rsidRPr="00000000">
        <w:rPr>
          <w:rtl w:val="0"/>
        </w:rPr>
      </w:r>
    </w:p>
    <w:p w:rsidR="00000000" w:rsidDel="00000000" w:rsidP="00000000" w:rsidRDefault="00000000" w:rsidRPr="00000000" w14:paraId="0000000C">
      <w:pPr>
        <w:rPr>
          <w:b w:val="1"/>
          <w:color w:val="222222"/>
          <w:shd w:fill="f4cccc" w:val="clear"/>
        </w:rPr>
      </w:pPr>
      <w:r w:rsidDel="00000000" w:rsidR="00000000" w:rsidRPr="00000000">
        <w:rPr>
          <w:rtl w:val="0"/>
        </w:rPr>
      </w:r>
    </w:p>
    <w:p w:rsidR="00000000" w:rsidDel="00000000" w:rsidP="00000000" w:rsidRDefault="00000000" w:rsidRPr="00000000" w14:paraId="0000000D">
      <w:pPr>
        <w:rPr>
          <w:b w:val="1"/>
          <w:color w:val="4a86e8"/>
          <w:shd w:fill="f4cccc" w:val="clear"/>
        </w:rPr>
      </w:pPr>
      <w:r w:rsidDel="00000000" w:rsidR="00000000" w:rsidRPr="00000000">
        <w:rPr>
          <w:color w:val="222222"/>
          <w:shd w:fill="f4cccc" w:val="clear"/>
          <w:rtl w:val="0"/>
        </w:rPr>
        <w:t xml:space="preserve">The study presents to detect Breast cancer that machine learning technique is good enough on linear data. But, when the data form is imaged the machine learning technique fails. For the classification of the breast cancer images data, a deep learning based technique CNN gives better results as compared to machine learning techniques. </w:t>
      </w:r>
      <w:r w:rsidDel="00000000" w:rsidR="00000000" w:rsidRPr="00000000">
        <w:rPr>
          <w:b w:val="1"/>
          <w:color w:val="4a86e8"/>
          <w:shd w:fill="f4cccc" w:val="clear"/>
          <w:rtl w:val="0"/>
        </w:rPr>
        <w:t xml:space="preserve">[3]</w:t>
      </w:r>
    </w:p>
    <w:p w:rsidR="00000000" w:rsidDel="00000000" w:rsidP="00000000" w:rsidRDefault="00000000" w:rsidRPr="00000000" w14:paraId="0000000E">
      <w:pPr>
        <w:pStyle w:val="Heading3"/>
        <w:rPr/>
      </w:pPr>
      <w:r w:rsidDel="00000000" w:rsidR="00000000" w:rsidRPr="00000000">
        <w:rPr>
          <w:b w:val="1"/>
          <w:rtl w:val="0"/>
        </w:rPr>
        <w:t xml:space="preserve">Sample Heading (Third Level). </w:t>
      </w:r>
      <w:r w:rsidDel="00000000" w:rsidR="00000000" w:rsidRPr="00000000">
        <w:rPr>
          <w:b w:val="0"/>
          <w:rtl w:val="0"/>
        </w:rPr>
        <w:t xml:space="preserve">Only two levels of headings should be numbered. Lower level headings remain unnumbered; they are formatted as run-in headings.</w:t>
      </w:r>
      <w:r w:rsidDel="00000000" w:rsidR="00000000" w:rsidRPr="00000000">
        <w:rPr>
          <w:rtl w:val="0"/>
        </w:rPr>
      </w:r>
    </w:p>
    <w:p w:rsidR="00000000" w:rsidDel="00000000" w:rsidP="00000000" w:rsidRDefault="00000000" w:rsidRPr="00000000" w14:paraId="0000000F">
      <w:pPr>
        <w:pStyle w:val="Heading4"/>
        <w:rPr>
          <w:i w:val="0"/>
        </w:rPr>
      </w:pPr>
      <w:r w:rsidDel="00000000" w:rsidR="00000000" w:rsidRPr="00000000">
        <w:rPr>
          <w:i w:val="1"/>
          <w:rtl w:val="0"/>
        </w:rPr>
        <w:t xml:space="preserve">Sample Heading (Forth Level).</w:t>
      </w:r>
      <w:r w:rsidDel="00000000" w:rsidR="00000000" w:rsidRPr="00000000">
        <w:rPr>
          <w:i w:val="0"/>
          <w:rtl w:val="0"/>
        </w:rPr>
        <w:t xml:space="preserve"> The contribution should contain no more than four levels of headings. The following </w:t>
      </w:r>
      <w:r w:rsidDel="00000000" w:rsidR="00000000" w:rsidRPr="00000000">
        <w:rPr>
          <w:rtl w:val="0"/>
        </w:rPr>
        <w:t xml:space="preserve">Table 1</w:t>
      </w:r>
      <w:r w:rsidDel="00000000" w:rsidR="00000000" w:rsidRPr="00000000">
        <w:rPr>
          <w:i w:val="0"/>
          <w:rtl w:val="0"/>
        </w:rPr>
        <w:t xml:space="preserve"> gives a summary of all heading levels.</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p0rup1b4ujty"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Table captions should be placed above the tables.</w:t>
      </w:r>
    </w:p>
    <w:tbl>
      <w:tblPr>
        <w:tblStyle w:val="Table1"/>
        <w:tblW w:w="6888.999999999998" w:type="dxa"/>
        <w:jc w:val="center"/>
        <w:tblLayout w:type="fixed"/>
        <w:tblLook w:val="0000"/>
      </w:tblPr>
      <w:tblGrid>
        <w:gridCol w:w="1692"/>
        <w:gridCol w:w="3444"/>
        <w:gridCol w:w="1753"/>
        <w:tblGridChange w:id="0">
          <w:tblGrid>
            <w:gridCol w:w="1692"/>
            <w:gridCol w:w="3444"/>
            <w:gridCol w:w="1753"/>
          </w:tblGrid>
        </w:tblGridChange>
      </w:tblGrid>
      <w:tr>
        <w:trPr>
          <w:cantSplit w:val="0"/>
          <w:tblHeader w:val="0"/>
        </w:trPr>
        <w:tc>
          <w:tcPr>
            <w:tcBorders>
              <w:top w:color="000000" w:space="0" w:sz="12" w:val="single"/>
              <w:bottom w:color="000000" w:space="0" w:sz="6" w:val="single"/>
            </w:tcBorders>
          </w:tcPr>
          <w:p w:rsidR="00000000" w:rsidDel="00000000" w:rsidP="00000000" w:rsidRDefault="00000000" w:rsidRPr="00000000" w14:paraId="00000011">
            <w:pPr>
              <w:ind w:firstLine="0"/>
              <w:jc w:val="left"/>
              <w:rPr>
                <w:sz w:val="18"/>
                <w:szCs w:val="18"/>
              </w:rPr>
            </w:pPr>
            <w:r w:rsidDel="00000000" w:rsidR="00000000" w:rsidRPr="00000000">
              <w:rPr>
                <w:sz w:val="18"/>
                <w:szCs w:val="18"/>
                <w:rtl w:val="0"/>
              </w:rPr>
              <w:t xml:space="preserve">Heading level</w:t>
            </w:r>
          </w:p>
        </w:tc>
        <w:tc>
          <w:tcPr>
            <w:tcBorders>
              <w:top w:color="000000" w:space="0" w:sz="12" w:val="single"/>
              <w:bottom w:color="000000" w:space="0" w:sz="6" w:val="single"/>
            </w:tcBorders>
          </w:tcPr>
          <w:p w:rsidR="00000000" w:rsidDel="00000000" w:rsidP="00000000" w:rsidRDefault="00000000" w:rsidRPr="00000000" w14:paraId="00000012">
            <w:pPr>
              <w:ind w:firstLine="0"/>
              <w:jc w:val="left"/>
              <w:rPr>
                <w:sz w:val="18"/>
                <w:szCs w:val="18"/>
              </w:rPr>
            </w:pPr>
            <w:r w:rsidDel="00000000" w:rsidR="00000000" w:rsidRPr="00000000">
              <w:rPr>
                <w:sz w:val="18"/>
                <w:szCs w:val="18"/>
                <w:rtl w:val="0"/>
              </w:rPr>
              <w:t xml:space="preserve">Example</w:t>
            </w:r>
          </w:p>
        </w:tc>
        <w:tc>
          <w:tcPr>
            <w:tcBorders>
              <w:top w:color="000000" w:space="0" w:sz="12" w:val="single"/>
              <w:bottom w:color="000000" w:space="0" w:sz="6" w:val="single"/>
            </w:tcBorders>
          </w:tcPr>
          <w:p w:rsidR="00000000" w:rsidDel="00000000" w:rsidP="00000000" w:rsidRDefault="00000000" w:rsidRPr="00000000" w14:paraId="00000013">
            <w:pPr>
              <w:ind w:firstLine="0"/>
              <w:jc w:val="left"/>
              <w:rPr>
                <w:sz w:val="18"/>
                <w:szCs w:val="18"/>
              </w:rPr>
            </w:pPr>
            <w:r w:rsidDel="00000000" w:rsidR="00000000" w:rsidRPr="00000000">
              <w:rPr>
                <w:sz w:val="18"/>
                <w:szCs w:val="18"/>
                <w:rtl w:val="0"/>
              </w:rPr>
              <w:t xml:space="preserve">Font size and style</w:t>
            </w:r>
          </w:p>
        </w:tc>
      </w:tr>
      <w:tr>
        <w:trPr>
          <w:cantSplit w:val="0"/>
          <w:trHeight w:val="284" w:hRule="atLeast"/>
          <w:tblHeader w:val="0"/>
        </w:trPr>
        <w:tc>
          <w:tcPr>
            <w:vAlign w:val="center"/>
          </w:tcPr>
          <w:p w:rsidR="00000000" w:rsidDel="00000000" w:rsidP="00000000" w:rsidRDefault="00000000" w:rsidRPr="00000000" w14:paraId="00000014">
            <w:pPr>
              <w:ind w:firstLine="0"/>
              <w:jc w:val="left"/>
              <w:rPr>
                <w:sz w:val="18"/>
                <w:szCs w:val="18"/>
              </w:rPr>
            </w:pPr>
            <w:r w:rsidDel="00000000" w:rsidR="00000000" w:rsidRPr="00000000">
              <w:rPr>
                <w:sz w:val="18"/>
                <w:szCs w:val="18"/>
                <w:rtl w:val="0"/>
              </w:rPr>
              <w:t xml:space="preserve">Title (centered)</w:t>
            </w:r>
          </w:p>
        </w:tc>
        <w:tc>
          <w:tcPr>
            <w:vAlign w:val="center"/>
          </w:tcPr>
          <w:p w:rsidR="00000000" w:rsidDel="00000000" w:rsidP="00000000" w:rsidRDefault="00000000" w:rsidRPr="00000000" w14:paraId="00000015">
            <w:pPr>
              <w:ind w:firstLine="0"/>
              <w:jc w:val="left"/>
              <w:rPr>
                <w:sz w:val="18"/>
                <w:szCs w:val="18"/>
              </w:rPr>
            </w:pPr>
            <w:r w:rsidDel="00000000" w:rsidR="00000000" w:rsidRPr="00000000">
              <w:rPr>
                <w:b w:val="1"/>
                <w:sz w:val="28"/>
                <w:szCs w:val="28"/>
                <w:rtl w:val="0"/>
              </w:rPr>
              <w:t xml:space="preserve">Lecture Notes</w:t>
            </w:r>
            <w:r w:rsidDel="00000000" w:rsidR="00000000" w:rsidRPr="00000000">
              <w:rPr>
                <w:rtl w:val="0"/>
              </w:rPr>
            </w:r>
          </w:p>
        </w:tc>
        <w:tc>
          <w:tcPr>
            <w:vAlign w:val="center"/>
          </w:tcPr>
          <w:p w:rsidR="00000000" w:rsidDel="00000000" w:rsidP="00000000" w:rsidRDefault="00000000" w:rsidRPr="00000000" w14:paraId="00000016">
            <w:pPr>
              <w:ind w:firstLine="0"/>
              <w:jc w:val="left"/>
              <w:rPr>
                <w:sz w:val="18"/>
                <w:szCs w:val="18"/>
              </w:rPr>
            </w:pPr>
            <w:r w:rsidDel="00000000" w:rsidR="00000000" w:rsidRPr="00000000">
              <w:rPr>
                <w:sz w:val="18"/>
                <w:szCs w:val="18"/>
                <w:rtl w:val="0"/>
              </w:rPr>
              <w:t xml:space="preserve">14 point, bold</w:t>
            </w:r>
          </w:p>
        </w:tc>
      </w:tr>
      <w:tr>
        <w:trPr>
          <w:cantSplit w:val="0"/>
          <w:trHeight w:val="284" w:hRule="atLeast"/>
          <w:tblHeader w:val="0"/>
        </w:trPr>
        <w:tc>
          <w:tcPr>
            <w:vAlign w:val="center"/>
          </w:tcPr>
          <w:p w:rsidR="00000000" w:rsidDel="00000000" w:rsidP="00000000" w:rsidRDefault="00000000" w:rsidRPr="00000000" w14:paraId="00000017">
            <w:pPr>
              <w:ind w:firstLine="0"/>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8">
            <w:pPr>
              <w:ind w:firstLine="0"/>
              <w:jc w:val="left"/>
              <w:rPr>
                <w:sz w:val="18"/>
                <w:szCs w:val="18"/>
              </w:rPr>
            </w:pPr>
            <w:r w:rsidDel="00000000" w:rsidR="00000000" w:rsidRPr="00000000">
              <w:rPr>
                <w:b w:val="1"/>
                <w:sz w:val="24"/>
                <w:szCs w:val="24"/>
                <w:rtl w:val="0"/>
              </w:rPr>
              <w:t xml:space="preserve">1 Introduction</w:t>
            </w:r>
            <w:r w:rsidDel="00000000" w:rsidR="00000000" w:rsidRPr="00000000">
              <w:rPr>
                <w:rtl w:val="0"/>
              </w:rPr>
            </w:r>
          </w:p>
        </w:tc>
        <w:tc>
          <w:tcPr>
            <w:vAlign w:val="center"/>
          </w:tcPr>
          <w:p w:rsidR="00000000" w:rsidDel="00000000" w:rsidP="00000000" w:rsidRDefault="00000000" w:rsidRPr="00000000" w14:paraId="00000019">
            <w:pPr>
              <w:ind w:firstLine="0"/>
              <w:jc w:val="left"/>
              <w:rPr>
                <w:sz w:val="18"/>
                <w:szCs w:val="18"/>
              </w:rPr>
            </w:pPr>
            <w:r w:rsidDel="00000000" w:rsidR="00000000" w:rsidRPr="00000000">
              <w:rPr>
                <w:sz w:val="18"/>
                <w:szCs w:val="18"/>
                <w:rtl w:val="0"/>
              </w:rPr>
              <w:t xml:space="preserve">12 point, bold</w:t>
            </w:r>
          </w:p>
        </w:tc>
      </w:tr>
      <w:tr>
        <w:trPr>
          <w:cantSplit w:val="0"/>
          <w:trHeight w:val="284" w:hRule="atLeast"/>
          <w:tblHeader w:val="0"/>
        </w:trPr>
        <w:tc>
          <w:tcPr>
            <w:vAlign w:val="center"/>
          </w:tcPr>
          <w:p w:rsidR="00000000" w:rsidDel="00000000" w:rsidP="00000000" w:rsidRDefault="00000000" w:rsidRPr="00000000" w14:paraId="0000001A">
            <w:pPr>
              <w:ind w:firstLine="0"/>
              <w:jc w:val="left"/>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B">
            <w:pPr>
              <w:ind w:firstLine="0"/>
              <w:jc w:val="left"/>
              <w:rPr>
                <w:sz w:val="18"/>
                <w:szCs w:val="18"/>
              </w:rPr>
            </w:pPr>
            <w:r w:rsidDel="00000000" w:rsidR="00000000" w:rsidRPr="00000000">
              <w:rPr>
                <w:b w:val="1"/>
                <w:rtl w:val="0"/>
              </w:rPr>
              <w:t xml:space="preserve">2.1 Printing Area</w:t>
            </w:r>
            <w:r w:rsidDel="00000000" w:rsidR="00000000" w:rsidRPr="00000000">
              <w:rPr>
                <w:rtl w:val="0"/>
              </w:rPr>
            </w:r>
          </w:p>
        </w:tc>
        <w:tc>
          <w:tcPr>
            <w:vAlign w:val="center"/>
          </w:tcPr>
          <w:p w:rsidR="00000000" w:rsidDel="00000000" w:rsidP="00000000" w:rsidRDefault="00000000" w:rsidRPr="00000000" w14:paraId="0000001C">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vAlign w:val="center"/>
          </w:tcPr>
          <w:p w:rsidR="00000000" w:rsidDel="00000000" w:rsidP="00000000" w:rsidRDefault="00000000" w:rsidRPr="00000000" w14:paraId="0000001D">
            <w:pPr>
              <w:ind w:firstLine="0"/>
              <w:jc w:val="left"/>
              <w:rPr>
                <w:sz w:val="18"/>
                <w:szCs w:val="18"/>
              </w:rPr>
            </w:pPr>
            <w:r w:rsidDel="00000000" w:rsidR="00000000" w:rsidRPr="00000000">
              <w:rPr>
                <w:sz w:val="18"/>
                <w:szCs w:val="18"/>
                <w:rtl w:val="0"/>
              </w:rPr>
              <w:t xml:space="preserve">3</w:t>
            </w:r>
            <w:r w:rsidDel="00000000" w:rsidR="00000000" w:rsidRPr="00000000">
              <w:rPr>
                <w:sz w:val="18"/>
                <w:szCs w:val="18"/>
                <w:vertAlign w:val="superscript"/>
                <w:rtl w:val="0"/>
              </w:rPr>
              <w:t xml:space="preserve">rd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E">
            <w:pPr>
              <w:ind w:firstLine="0"/>
              <w:jc w:val="left"/>
              <w:rPr>
                <w:sz w:val="18"/>
                <w:szCs w:val="18"/>
              </w:rPr>
            </w:pPr>
            <w:r w:rsidDel="00000000" w:rsidR="00000000" w:rsidRPr="00000000">
              <w:rPr>
                <w:b w:val="1"/>
                <w:rtl w:val="0"/>
              </w:rPr>
              <w:t xml:space="preserve">Run-in Heading in Bold.</w:t>
            </w:r>
            <w:r w:rsidDel="00000000" w:rsidR="00000000" w:rsidRPr="00000000">
              <w:rPr>
                <w:rtl w:val="0"/>
              </w:rPr>
              <w:t xml:space="preserve"> Text follows</w:t>
            </w:r>
            <w:r w:rsidDel="00000000" w:rsidR="00000000" w:rsidRPr="00000000">
              <w:rPr>
                <w:rtl w:val="0"/>
              </w:rPr>
            </w:r>
          </w:p>
        </w:tc>
        <w:tc>
          <w:tcPr>
            <w:vAlign w:val="center"/>
          </w:tcPr>
          <w:p w:rsidR="00000000" w:rsidDel="00000000" w:rsidP="00000000" w:rsidRDefault="00000000" w:rsidRPr="00000000" w14:paraId="0000001F">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tcBorders>
              <w:bottom w:color="000000" w:space="0" w:sz="12" w:val="single"/>
            </w:tcBorders>
            <w:vAlign w:val="center"/>
          </w:tcPr>
          <w:p w:rsidR="00000000" w:rsidDel="00000000" w:rsidP="00000000" w:rsidRDefault="00000000" w:rsidRPr="00000000" w14:paraId="00000020">
            <w:pPr>
              <w:ind w:firstLine="0"/>
              <w:jc w:val="left"/>
              <w:rPr>
                <w:sz w:val="18"/>
                <w:szCs w:val="18"/>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-level heading</w:t>
            </w:r>
          </w:p>
        </w:tc>
        <w:tc>
          <w:tcPr>
            <w:tcBorders>
              <w:bottom w:color="000000" w:space="0" w:sz="12" w:val="single"/>
            </w:tcBorders>
            <w:vAlign w:val="center"/>
          </w:tcPr>
          <w:p w:rsidR="00000000" w:rsidDel="00000000" w:rsidP="00000000" w:rsidRDefault="00000000" w:rsidRPr="00000000" w14:paraId="00000021">
            <w:pPr>
              <w:ind w:firstLine="0"/>
              <w:jc w:val="left"/>
              <w:rPr>
                <w:sz w:val="18"/>
                <w:szCs w:val="18"/>
              </w:rPr>
            </w:pPr>
            <w:r w:rsidDel="00000000" w:rsidR="00000000" w:rsidRPr="00000000">
              <w:rPr>
                <w:i w:val="1"/>
                <w:rtl w:val="0"/>
              </w:rPr>
              <w:t xml:space="preserve">Lowest Level Heading.</w:t>
            </w:r>
            <w:r w:rsidDel="00000000" w:rsidR="00000000" w:rsidRPr="00000000">
              <w:rPr>
                <w:rtl w:val="0"/>
              </w:rPr>
              <w:t xml:space="preserve"> Text follows</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22">
            <w:pPr>
              <w:ind w:firstLine="0"/>
              <w:jc w:val="left"/>
              <w:rPr>
                <w:sz w:val="18"/>
                <w:szCs w:val="18"/>
              </w:rPr>
            </w:pPr>
            <w:r w:rsidDel="00000000" w:rsidR="00000000" w:rsidRPr="00000000">
              <w:rPr>
                <w:sz w:val="18"/>
                <w:szCs w:val="18"/>
                <w:rtl w:val="0"/>
              </w:rPr>
              <w:t xml:space="preserve">10 point, italic</w:t>
            </w:r>
          </w:p>
        </w:tc>
      </w:tr>
    </w:tbl>
    <w:p w:rsidR="00000000" w:rsidDel="00000000" w:rsidP="00000000" w:rsidRDefault="00000000" w:rsidRPr="00000000" w14:paraId="00000023">
      <w:pPr>
        <w:spacing w:before="240" w:lineRule="auto"/>
        <w:ind w:firstLine="0"/>
        <w:rPr/>
      </w:pPr>
      <w:r w:rsidDel="00000000" w:rsidR="00000000" w:rsidRPr="00000000">
        <w:rPr>
          <w:rtl w:val="0"/>
        </w:rPr>
        <w:t xml:space="preserve">Displayed equations are centered and set on a separate line.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289"/>
          <w:tab w:val="right" w:leader="none" w:pos="6917"/>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wx0k4lb2uf"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try to avoid rasterized images for line-art diagrams and schemas. Whenever possible, use vector graphics instead (see Fig. 1).</w:t>
      </w:r>
    </w:p>
    <w:p w:rsidR="00000000" w:rsidDel="00000000" w:rsidP="00000000" w:rsidRDefault="00000000" w:rsidRPr="00000000" w14:paraId="00000026">
      <w:pPr>
        <w:spacing w:before="360" w:lineRule="auto"/>
        <w:ind w:left="227" w:hanging="227"/>
        <w:rPr/>
      </w:pPr>
      <w:r w:rsidDel="00000000" w:rsidR="00000000" w:rsidRPr="00000000">
        <w:rPr/>
        <w:drawing>
          <wp:inline distB="0" distT="0" distL="0" distR="0">
            <wp:extent cx="4400550" cy="1867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86752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8oqiwswrm2kb" w:id="2"/>
      <w:bookmarkEnd w:id="2"/>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figure caption is always placed below the illustration. Short captions are centered, while long ones are justified. The macro button chooses the correct format automatically.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rtl w:val="0"/>
        </w:rPr>
        <w:t xml:space="preserve">Shen, L., Margolies, L. R., Rothstein, J. H., Fluder, E., McBride, R., &amp; Sieh, W. (2019). Deep learning to improve breast cancer detection on screening mammography. </w:t>
      </w:r>
      <w:r w:rsidDel="00000000" w:rsidR="00000000" w:rsidRPr="00000000">
        <w:rPr>
          <w:rFonts w:ascii="Arial" w:cs="Arial" w:eastAsia="Arial" w:hAnsi="Arial"/>
          <w:i w:val="1"/>
          <w:color w:val="222222"/>
          <w:highlight w:val="white"/>
          <w:rtl w:val="0"/>
        </w:rPr>
        <w:t xml:space="preserve">Scientific reports</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i w:val="1"/>
          <w:color w:val="222222"/>
          <w:highlight w:val="white"/>
          <w:rtl w:val="0"/>
        </w:rPr>
        <w:t xml:space="preserve">9</w:t>
      </w:r>
      <w:r w:rsidDel="00000000" w:rsidR="00000000" w:rsidRPr="00000000">
        <w:rPr>
          <w:rFonts w:ascii="Arial" w:cs="Arial" w:eastAsia="Arial" w:hAnsi="Arial"/>
          <w:color w:val="222222"/>
          <w:highlight w:val="white"/>
          <w:rtl w:val="0"/>
        </w:rPr>
        <w:t xml:space="preserve">(1), 12495.</w:t>
      </w:r>
      <w:r w:rsidDel="00000000" w:rsidR="00000000" w:rsidRPr="00000000">
        <w:rPr>
          <w:rtl w:val="0"/>
        </w:rPr>
      </w:r>
    </w:p>
    <w:p w:rsidR="00000000" w:rsidDel="00000000" w:rsidP="00000000" w:rsidRDefault="00000000" w:rsidRPr="00000000" w14:paraId="0000002B">
      <w:pPr>
        <w:numPr>
          <w:ilvl w:val="0"/>
          <w:numId w:val="2"/>
        </w:numPr>
        <w:ind w:left="341" w:hanging="113.99999999999999"/>
        <w:rPr/>
      </w:pPr>
      <w:r w:rsidDel="00000000" w:rsidR="00000000" w:rsidRPr="00000000">
        <w:rPr>
          <w:rFonts w:ascii="Arial" w:cs="Arial" w:eastAsia="Arial" w:hAnsi="Arial"/>
          <w:color w:val="222222"/>
          <w:highlight w:val="white"/>
          <w:u w:val="single"/>
          <w:rtl w:val="0"/>
        </w:rPr>
        <w:t xml:space="preserve">Mohammed, S. A., Darrab, S., Noaman, S. A., &amp; Saake, G. (2020). Analysis of breast cancer detection using different machine learning techniques. In </w:t>
      </w:r>
      <w:r w:rsidDel="00000000" w:rsidR="00000000" w:rsidRPr="00000000">
        <w:rPr>
          <w:rFonts w:ascii="Arial" w:cs="Arial" w:eastAsia="Arial" w:hAnsi="Arial"/>
          <w:i w:val="1"/>
          <w:color w:val="222222"/>
          <w:highlight w:val="white"/>
          <w:u w:val="single"/>
          <w:rtl w:val="0"/>
        </w:rPr>
        <w:t xml:space="preserve">Data Mining and Big Data: 5th International Conference, DMBD 2020, Belgrade, Serbia, July 14–20, 2020, Proceedings 5</w:t>
      </w:r>
      <w:r w:rsidDel="00000000" w:rsidR="00000000" w:rsidRPr="00000000">
        <w:rPr>
          <w:rFonts w:ascii="Arial" w:cs="Arial" w:eastAsia="Arial" w:hAnsi="Arial"/>
          <w:color w:val="222222"/>
          <w:highlight w:val="white"/>
          <w:u w:val="single"/>
          <w:rtl w:val="0"/>
        </w:rPr>
        <w:t xml:space="preserve"> (pp. 108-117). Springer Singapore.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u w:val="single"/>
          <w:rtl w:val="0"/>
        </w:rPr>
        <w:t xml:space="preserve">Priyanka, K. S. (2021). A review paper on breast cancer detection using deep learning. In </w:t>
      </w:r>
      <w:r w:rsidDel="00000000" w:rsidR="00000000" w:rsidRPr="00000000">
        <w:rPr>
          <w:rFonts w:ascii="Arial" w:cs="Arial" w:eastAsia="Arial" w:hAnsi="Arial"/>
          <w:i w:val="1"/>
          <w:color w:val="222222"/>
          <w:highlight w:val="white"/>
          <w:u w:val="single"/>
          <w:rtl w:val="0"/>
        </w:rPr>
        <w:t xml:space="preserve">IOP conference series: materials science and engineering</w:t>
      </w:r>
      <w:r w:rsidDel="00000000" w:rsidR="00000000" w:rsidRPr="00000000">
        <w:rPr>
          <w:rFonts w:ascii="Arial" w:cs="Arial" w:eastAsia="Arial" w:hAnsi="Arial"/>
          <w:color w:val="222222"/>
          <w:highlight w:val="white"/>
          <w:u w:val="single"/>
          <w:rtl w:val="0"/>
        </w:rPr>
        <w:t xml:space="preserve"> (Vol. 1022, No. 1, p. 012071). IOP Publishing.</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Contribution title. In: 9th International Proceedings on Proceedings, pp. 1–2. Publisher, Location (2010).</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LNCS Homepage, </w:t>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http://www.springer.com/lncs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last accessed 2016/11/21.</w:t>
      </w:r>
      <w:r w:rsidDel="00000000" w:rsidR="00000000" w:rsidRPr="00000000">
        <w:rPr>
          <w:rtl w:val="0"/>
        </w:rPr>
      </w:r>
    </w:p>
    <w:sectPr>
      <w:headerReference r:id="rId8" w:type="default"/>
      <w:headerReference r:id="rId9"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pringer.com/lnc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