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0-17 (N, 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1227</w:t>
            </w:r>
          </w:p>
        </w:tc>
        <w:tc>
          <w:p>
            <w:pPr>
              <w:pStyle w:stlname="Normal" w:val="Normal"/>
            </w:pPr>
            <w:r>
              <w:t>667</w:t>
            </w:r>
          </w:p>
        </w:tc>
        <w:tc>
          <w:p>
            <w:pPr>
              <w:pStyle w:stlname="Normal" w:val="Normal"/>
            </w:pPr>
            <w:r>
              <w:t>158</w:t>
            </w:r>
          </w:p>
        </w:tc>
        <w:tc>
          <w:p>
            <w:pPr>
              <w:pStyle w:stlname="Normal" w:val="Normal"/>
            </w:pPr>
            <w:r>
              <w:t>1238</w:t>
            </w:r>
          </w:p>
        </w:tc>
        <w:tc>
          <w:p>
            <w:pPr>
              <w:pStyle w:stlname="Normal" w:val="Normal"/>
            </w:pPr>
            <w:r>
              <w:t>261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570 (46.5%)</w:t>
            </w:r>
          </w:p>
        </w:tc>
        <w:tc>
          <w:p>
            <w:pPr>
              <w:pStyle w:stlname="Normal" w:val="Normal"/>
            </w:pPr>
            <w:r>
              <w:t>290 (43.5%)</w:t>
            </w:r>
          </w:p>
        </w:tc>
        <w:tc>
          <w:p>
            <w:pPr>
              <w:pStyle w:stlname="Normal" w:val="Normal"/>
            </w:pPr>
            <w:r>
              <w:t>79 (50%)</w:t>
            </w:r>
          </w:p>
        </w:tc>
        <w:tc>
          <w:p>
            <w:pPr>
              <w:pStyle w:stlname="Normal" w:val="Normal"/>
            </w:pPr>
            <w:r>
              <w:t>520 (42%)</w:t>
            </w:r>
          </w:p>
        </w:tc>
        <w:tc>
          <w:p>
            <w:pPr>
              <w:pStyle w:stlname="Normal" w:val="Normal"/>
            </w:pPr>
            <w:r>
              <w:t>104 (39.8%)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80.1 (9.3)</w:t>
            </w:r>
          </w:p>
        </w:tc>
        <w:tc>
          <w:p>
            <w:pPr>
              <w:pStyle w:stlname="Normal" w:val="Normal"/>
            </w:pPr>
            <w:r>
              <w:t>80.2 (9)</w:t>
            </w:r>
          </w:p>
        </w:tc>
        <w:tc>
          <w:p>
            <w:pPr>
              <w:pStyle w:stlname="Normal" w:val="Normal"/>
            </w:pPr>
            <w:r>
              <w:t>80.5 (8.8)</w:t>
            </w:r>
          </w:p>
        </w:tc>
        <w:tc>
          <w:p>
            <w:pPr>
              <w:pStyle w:stlname="Normal" w:val="Normal"/>
            </w:pPr>
            <w:r>
              <w:t>79.8 (9.8)</w:t>
            </w:r>
          </w:p>
        </w:tc>
        <w:tc>
          <w:p>
            <w:pPr>
              <w:pStyle w:stlname="Normal" w:val="Normal"/>
            </w:pPr>
            <w:r>
              <w:t>79.7 (9.8)</w:t>
            </w:r>
          </w:p>
        </w:tc>
      </w:tr>
      <w:tr>
        <w:tc>
          <w:p>
            <w:pPr>
              <w:pStyle w:stlname="Normal" w:val="Normal"/>
            </w:pPr>
            <w:r>
              <w:t>Classe di età 0-17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(0.2%)</w:t>
            </w:r>
          </w:p>
        </w:tc>
        <w:tc>
          <w:p>
            <w:pPr>
              <w:pStyle w:stlname="Normal" w:val="Normal"/>
            </w:pPr>
            <w:r>
              <w:t>1 (0.4%)</w:t>
            </w:r>
          </w:p>
        </w:tc>
      </w:tr>
      <w:tr>
        <w:tc>
          <w:p>
            <w:pPr>
              <w:pStyle w:stlname="Normal" w:val="Normal"/>
            </w:pPr>
            <w:r>
              <w:t>Classe di età 18-39 (N, %)</w:t>
            </w:r>
          </w:p>
        </w:tc>
        <w:tc>
          <w:p>
            <w:pPr>
              <w:pStyle w:stlname="Normal" w:val="Normal"/>
            </w:pPr>
            <w:r>
              <w:t>3 (0.2%)</w:t>
            </w:r>
          </w:p>
        </w:tc>
        <w:tc>
          <w:p>
            <w:pPr>
              <w:pStyle w:stlname="Normal" w:val="Normal"/>
            </w:pPr>
            <w:r>
              <w:t>4 (0.6%)</w:t>
            </w:r>
          </w:p>
        </w:tc>
        <w:tc>
          <w:p>
            <w:pPr>
              <w:pStyle w:stlname="Normal" w:val="Normal"/>
            </w:pPr>
            <w:r>
              <w:t>1 (0.6%)</w:t>
            </w:r>
          </w:p>
        </w:tc>
        <w:tc>
          <w:p>
            <w:pPr>
              <w:pStyle w:stlname="Normal" w:val="Normal"/>
            </w:pPr>
            <w:r>
              <w:t>3 (0.2%)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40-49 (N, 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Classe di età 60-79 (N, %)</w:t>
            </w:r>
          </w:p>
        </w:tc>
        <w:tc>
          <w:p>
            <w:pPr>
              <w:pStyle w:stlname="Normal" w:val="Normal"/>
            </w:pPr>
            <w:r>
              <w:t>450 (36.7%)</w:t>
            </w:r>
          </w:p>
        </w:tc>
        <w:tc>
          <w:p>
            <w:pPr>
              <w:pStyle w:stlname="Normal" w:val="Normal"/>
            </w:pPr>
            <w:r>
              <w:t>233 (34.9%)</w:t>
            </w:r>
          </w:p>
        </w:tc>
        <w:tc>
          <w:p>
            <w:pPr>
              <w:pStyle w:stlname="Normal" w:val="Normal"/>
            </w:pPr>
            <w:r>
              <w:t>53 (33.5%)</w:t>
            </w:r>
          </w:p>
        </w:tc>
        <w:tc>
          <w:p>
            <w:pPr>
              <w:pStyle w:stlname="Normal" w:val="Normal"/>
            </w:pPr>
            <w:r>
              <w:t>478 (38.6%)</w:t>
            </w:r>
          </w:p>
        </w:tc>
        <w:tc>
          <w:p>
            <w:pPr>
              <w:pStyle w:stlname="Normal" w:val="Normal"/>
            </w:pPr>
            <w:r>
              <w:t>104 (39.8%)</w:t>
            </w:r>
          </w:p>
        </w:tc>
      </w:tr>
      <w:tr>
        <w:tc>
          <w:p>
            <w:pPr>
              <w:pStyle w:stlname="Normal" w:val="Normal"/>
            </w:pPr>
            <w:r>
              <w:t>Classe di età 80+ (N, %)</w:t>
            </w:r>
          </w:p>
        </w:tc>
        <w:tc>
          <w:p>
            <w:pPr>
              <w:pStyle w:stlname="Normal" w:val="Normal"/>
            </w:pPr>
            <w:r>
              <w:t>736 (60%)</w:t>
            </w:r>
          </w:p>
        </w:tc>
        <w:tc>
          <w:p>
            <w:pPr>
              <w:pStyle w:stlname="Normal" w:val="Normal"/>
            </w:pPr>
            <w:r>
              <w:t>416 (62.4%)</w:t>
            </w:r>
          </w:p>
        </w:tc>
        <w:tc>
          <w:p>
            <w:pPr>
              <w:pStyle w:stlname="Normal" w:val="Normal"/>
            </w:pPr>
            <w:r>
              <w:t>102 (64.6%)</w:t>
            </w:r>
          </w:p>
        </w:tc>
        <w:tc>
          <w:p>
            <w:pPr>
              <w:pStyle w:stlname="Normal" w:val="Normal"/>
            </w:pPr>
            <w:r>
              <w:t>717 (57.9%)</w:t>
            </w:r>
          </w:p>
        </w:tc>
        <w:tc>
          <w:p>
            <w:pPr>
              <w:pStyle w:stlname="Normal" w:val="Normal"/>
            </w:pPr>
            <w:r>
              <w:t>149 (57.1%)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2018-01-01 - 2020-02-29</w:t>
            </w:r>
          </w:p>
        </w:tc>
        <w:tc>
          <w:p>
            <w:pPr>
              <w:pStyle w:stlname="Normal" w:val="Normal"/>
            </w:pPr>
            <w:r>
              <w:t>2020-03-02 - 2021-05-30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2021-09-01 - 2023-07-31</w:t>
            </w:r>
          </w:p>
        </w:tc>
        <w:tc>
          <w:p>
            <w:pPr>
              <w:pStyle w:stlname="Normal" w:val="Normal"/>
            </w:pPr>
            <w:r>
              <w:t>2023-08-01 - 2023-12-31</w:t>
            </w:r>
          </w:p>
        </w:tc>
      </w:tr>
      <w:tr>
        <w:tc>
          <w:p>
            <w:pPr>
              <w:pStyle w:stlname="Normal" w:val="Normal"/>
            </w:pPr>
            <w:r>
              <w:t>Definizione narrow</w:t>
            </w:r>
          </w:p>
        </w:tc>
        <w:tc>
          <w:p>
            <w:pPr>
              <w:pStyle w:stlname="Normal" w:val="Normal"/>
            </w:pPr>
            <w:r>
              <w:t>486 (39.6%)</w:t>
            </w:r>
          </w:p>
        </w:tc>
        <w:tc>
          <w:p>
            <w:pPr>
              <w:pStyle w:stlname="Normal" w:val="Normal"/>
            </w:pPr>
            <w:r>
              <w:t>274 (41.1%)</w:t>
            </w:r>
          </w:p>
        </w:tc>
        <w:tc>
          <w:p>
            <w:pPr>
              <w:pStyle w:stlname="Normal" w:val="Normal"/>
            </w:pPr>
            <w:r>
              <w:t>82 (51.9%)</w:t>
            </w:r>
          </w:p>
        </w:tc>
        <w:tc>
          <w:p>
            <w:pPr>
              <w:pStyle w:stlname="Normal" w:val="Normal"/>
            </w:pPr>
            <w:r>
              <w:t>503 (40.6%)</w:t>
            </w:r>
          </w:p>
        </w:tc>
        <w:tc>
          <w:p>
            <w:pPr>
              <w:pStyle w:stlname="Normal" w:val="Normal"/>
            </w:pPr>
            <w:r>
              <w:t>110 (42.1%)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2024-12-12T17:03:00Z</dcterms:modified>
  <cp:category/>
</cp:coreProperties>
</file>