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c("N", "Donne (N, %)", "Età (media, ds)", "Classe di età 0-17 (N, %)", </w:t>
            </w:r>
          </w:p>
        </w:tc>
        <w:tc>
          <w:p>
            <w:pPr>
              <w:pStyle w:stlname="Normal" w:val="Normal"/>
            </w:pPr>
            <w:r>
              <w:t>No antidoto, prima delle restrizioni Covid</w:t>
            </w:r>
          </w:p>
        </w:tc>
        <w:tc>
          <w:p>
            <w:pPr>
              <w:pStyle w:stlname="Normal" w:val="Normal"/>
            </w:pPr>
            <w:r>
              <w:t>No antidoto, durante le restrizioni Covid</w:t>
            </w:r>
          </w:p>
        </w:tc>
        <w:tc>
          <w:p>
            <w:pPr>
              <w:pStyle w:stlname="Normal" w:val="Normal"/>
            </w:pPr>
            <w:r>
              <w:t>No antidoto, dopo le restrizioni Covid</w:t>
            </w:r>
          </w:p>
        </w:tc>
        <w:tc>
          <w:p>
            <w:pPr>
              <w:pStyle w:stlname="Normal" w:val="Normal"/>
            </w:pPr>
            <w:r>
              <w:t>Antidoto disponibile, prima delle linee guida</w:t>
            </w:r>
          </w:p>
        </w:tc>
        <w:tc>
          <w:p>
            <w:pPr>
              <w:pStyle w:stlname="Normal" w:val="Normal"/>
            </w:pPr>
            <w:r>
              <w:t>Antidoto disponibile, dopo le linee guida</w:t>
            </w:r>
          </w:p>
        </w:tc>
      </w:tr>
      <w:tr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996</w:t>
            </w:r>
          </w:p>
        </w:tc>
        <w:tc>
          <w:p>
            <w:pPr>
              <w:pStyle w:stlname="Normal" w:val="Normal"/>
            </w:pPr>
            <w:r>
              <w:t>574</w:t>
            </w:r>
          </w:p>
        </w:tc>
        <w:tc>
          <w:p>
            <w:pPr>
              <w:pStyle w:stlname="Normal" w:val="Normal"/>
            </w:pPr>
            <w:r>
              <w:t>132</w:t>
            </w:r>
          </w:p>
        </w:tc>
        <w:tc>
          <w:p>
            <w:pPr>
              <w:pStyle w:stlname="Normal" w:val="Normal"/>
            </w:pPr>
            <w:r>
              <w:t>1094</w:t>
            </w:r>
          </w:p>
        </w:tc>
        <w:tc>
          <w:p>
            <w:pPr>
              <w:pStyle w:stlname="Normal" w:val="Normal"/>
            </w:pPr>
            <w:r>
              <w:t>235</w:t>
            </w:r>
          </w:p>
        </w:tc>
      </w:tr>
      <w:tr>
        <w:tc>
          <w:p>
            <w:pPr>
              <w:pStyle w:stlname="Normal" w:val="Normal"/>
            </w:pPr>
            <w:r>
              <w:t>Donne (N, %)</w:t>
            </w:r>
          </w:p>
        </w:tc>
        <w:tc>
          <w:p>
            <w:pPr>
              <w:pStyle w:stlname="Normal" w:val="Normal"/>
            </w:pPr>
            <w:r>
              <w:t>457 (45.9%)</w:t>
            </w:r>
          </w:p>
        </w:tc>
        <w:tc>
          <w:p>
            <w:pPr>
              <w:pStyle w:stlname="Normal" w:val="Normal"/>
            </w:pPr>
            <w:r>
              <w:t>246 (42.9%)</w:t>
            </w:r>
          </w:p>
        </w:tc>
        <w:tc>
          <w:p>
            <w:pPr>
              <w:pStyle w:stlname="Normal" w:val="Normal"/>
            </w:pPr>
            <w:r>
              <w:t>66 (50%)</w:t>
            </w:r>
          </w:p>
        </w:tc>
        <w:tc>
          <w:p>
            <w:pPr>
              <w:pStyle w:stlname="Normal" w:val="Normal"/>
            </w:pPr>
            <w:r>
              <w:t>456 (41.7%)</w:t>
            </w:r>
          </w:p>
        </w:tc>
        <w:tc>
          <w:p>
            <w:pPr>
              <w:pStyle w:stlname="Normal" w:val="Normal"/>
            </w:pPr>
            <w:r>
              <w:t>94 (40%)</w:t>
            </w:r>
          </w:p>
        </w:tc>
      </w:tr>
      <w:tr>
        <w:tc>
          <w:p>
            <w:pPr>
              <w:pStyle w:stlname="Normal" w:val="Normal"/>
            </w:pPr>
            <w:r>
              <w:t>Età (media, ds)</w:t>
            </w:r>
          </w:p>
        </w:tc>
        <w:tc>
          <w:p>
            <w:pPr>
              <w:pStyle w:stlname="Normal" w:val="Normal"/>
            </w:pPr>
            <w:r>
              <w:t>79.9 (9.4)</w:t>
            </w:r>
          </w:p>
        </w:tc>
        <w:tc>
          <w:p>
            <w:pPr>
              <w:pStyle w:stlname="Normal" w:val="Normal"/>
            </w:pPr>
            <w:r>
              <w:t>80 (9.1)</w:t>
            </w:r>
          </w:p>
        </w:tc>
        <w:tc>
          <w:p>
            <w:pPr>
              <w:pStyle w:stlname="Normal" w:val="Normal"/>
            </w:pPr>
            <w:r>
              <w:t>80.5 (9.3)</w:t>
            </w:r>
          </w:p>
        </w:tc>
        <w:tc>
          <w:p>
            <w:pPr>
              <w:pStyle w:stlname="Normal" w:val="Normal"/>
            </w:pPr>
            <w:r>
              <w:t>79.8 (9.7)</w:t>
            </w:r>
          </w:p>
        </w:tc>
        <w:tc>
          <w:p>
            <w:pPr>
              <w:pStyle w:stlname="Normal" w:val="Normal"/>
            </w:pPr>
            <w:r>
              <w:t>79.7 (10.1)</w:t>
            </w:r>
          </w:p>
        </w:tc>
      </w:tr>
      <w:tr>
        <w:tc>
          <w:p>
            <w:pPr>
              <w:pStyle w:stlname="Normal" w:val="Normal"/>
            </w:pPr>
            <w:r>
              <w:t>Classe di età 0-17 (N, 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1 (0.1%)</w:t>
            </w:r>
          </w:p>
        </w:tc>
        <w:tc>
          <w:p>
            <w:pPr>
              <w:pStyle w:stlname="Normal" w:val="Normal"/>
            </w:pPr>
            <w:r>
              <w:t>1 (0.4%)</w:t>
            </w:r>
          </w:p>
        </w:tc>
      </w:tr>
      <w:tr>
        <w:tc>
          <w:p>
            <w:pPr>
              <w:pStyle w:stlname="Normal" w:val="Normal"/>
            </w:pPr>
            <w:r>
              <w:t>Classe di età 18-39 (N, %)</w:t>
            </w:r>
          </w:p>
        </w:tc>
        <w:tc>
          <w:p>
            <w:pPr>
              <w:pStyle w:stlname="Normal" w:val="Normal"/>
            </w:pPr>
            <w:r>
              <w:t>3 (0.3%)</w:t>
            </w:r>
          </w:p>
        </w:tc>
        <w:tc>
          <w:p>
            <w:pPr>
              <w:pStyle w:stlname="Normal" w:val="Normal"/>
            </w:pPr>
            <w:r>
              <w:t>4 (0.7%)</w:t>
            </w:r>
          </w:p>
        </w:tc>
        <w:tc>
          <w:p>
            <w:pPr>
              <w:pStyle w:stlname="Normal" w:val="Normal"/>
            </w:pPr>
            <w:r>
              <w:t>1 (0.8%)</w:t>
            </w:r>
          </w:p>
        </w:tc>
        <w:tc>
          <w:p>
            <w:pPr>
              <w:pStyle w:stlname="Normal" w:val="Normal"/>
            </w:pPr>
            <w:r>
              <w:t>3 (0.3%)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</w:tr>
      <w:tr>
        <w:tc>
          <w:p>
            <w:pPr>
              <w:pStyle w:stlname="Normal" w:val="Normal"/>
            </w:pPr>
            <w:r>
              <w:t>Classe di età 40-49 (N, 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</w:tr>
      <w:tr>
        <w:tc>
          <w:p>
            <w:pPr>
              <w:pStyle w:stlname="Normal" w:val="Normal"/>
            </w:pPr>
            <w:r>
              <w:t>Classe di età 60-79 (N, %)</w:t>
            </w:r>
          </w:p>
        </w:tc>
        <w:tc>
          <w:p>
            <w:pPr>
              <w:pStyle w:stlname="Normal" w:val="Normal"/>
            </w:pPr>
            <w:r>
              <w:t>378 (38%)</w:t>
            </w:r>
          </w:p>
        </w:tc>
        <w:tc>
          <w:p>
            <w:pPr>
              <w:pStyle w:stlname="Normal" w:val="Normal"/>
            </w:pPr>
            <w:r>
              <w:t>206 (35.9%)</w:t>
            </w:r>
          </w:p>
        </w:tc>
        <w:tc>
          <w:p>
            <w:pPr>
              <w:pStyle w:stlname="Normal" w:val="Normal"/>
            </w:pPr>
            <w:r>
              <w:t>44 (33.3%)</w:t>
            </w:r>
          </w:p>
        </w:tc>
        <w:tc>
          <w:p>
            <w:pPr>
              <w:pStyle w:stlname="Normal" w:val="Normal"/>
            </w:pPr>
            <w:r>
              <w:t>421 (38.5%)</w:t>
            </w:r>
          </w:p>
        </w:tc>
        <w:tc>
          <w:p>
            <w:pPr>
              <w:pStyle w:stlname="Normal" w:val="Normal"/>
            </w:pPr>
            <w:r>
              <w:t>91 (38.7%)</w:t>
            </w:r>
          </w:p>
        </w:tc>
      </w:tr>
      <w:tr>
        <w:tc>
          <w:p>
            <w:pPr>
              <w:pStyle w:stlname="Normal" w:val="Normal"/>
            </w:pPr>
            <w:r>
              <w:t>Classe di età 80+ (N, %)</w:t>
            </w:r>
          </w:p>
        </w:tc>
        <w:tc>
          <w:p>
            <w:pPr>
              <w:pStyle w:stlname="Normal" w:val="Normal"/>
            </w:pPr>
            <w:r>
              <w:t>584 (58.6%)</w:t>
            </w:r>
          </w:p>
        </w:tc>
        <w:tc>
          <w:p>
            <w:pPr>
              <w:pStyle w:stlname="Normal" w:val="Normal"/>
            </w:pPr>
            <w:r>
              <w:t>352 (61.3%)</w:t>
            </w:r>
          </w:p>
        </w:tc>
        <w:tc>
          <w:p>
            <w:pPr>
              <w:pStyle w:stlname="Normal" w:val="Normal"/>
            </w:pPr>
            <w:r>
              <w:t>85 (64.4%)</w:t>
            </w:r>
          </w:p>
        </w:tc>
        <w:tc>
          <w:p>
            <w:pPr>
              <w:pStyle w:stlname="Normal" w:val="Normal"/>
            </w:pPr>
            <w:r>
              <w:t>634 (58%)</w:t>
            </w:r>
          </w:p>
        </w:tc>
        <w:tc>
          <w:p>
            <w:pPr>
              <w:pStyle w:stlname="Normal" w:val="Normal"/>
            </w:pPr>
            <w:r>
              <w:t>136 (57.9%)</w:t>
            </w:r>
          </w:p>
        </w:tc>
      </w:tr>
      <w:tr>
        <w:tc>
          <w:p>
            <w:pPr>
              <w:pStyle w:stlname="Normal" w:val="Normal"/>
            </w:pPr>
            <w:r>
              <w:t>Range di date (min-max)</w:t>
            </w:r>
          </w:p>
        </w:tc>
        <w:tc>
          <w:p>
            <w:pPr>
              <w:pStyle w:stlname="Normal" w:val="Normal"/>
            </w:pPr>
            <w:r>
              <w:t>2018-01-01 - 2020-02-29</w:t>
            </w:r>
          </w:p>
        </w:tc>
        <w:tc>
          <w:p>
            <w:pPr>
              <w:pStyle w:stlname="Normal" w:val="Normal"/>
            </w:pPr>
            <w:r>
              <w:t>2020-03-02 - 2021-05-30</w:t>
            </w:r>
          </w:p>
        </w:tc>
        <w:tc>
          <w:p>
            <w:pPr>
              <w:pStyle w:stlname="Normal" w:val="Normal"/>
            </w:pPr>
            <w:r>
              <w:t>2021-06-04 - 2021-08-31</w:t>
            </w:r>
          </w:p>
        </w:tc>
        <w:tc>
          <w:p>
            <w:pPr>
              <w:pStyle w:stlname="Normal" w:val="Normal"/>
            </w:pPr>
            <w:r>
              <w:t>2021-09-01 - 2023-07-31</w:t>
            </w:r>
          </w:p>
        </w:tc>
        <w:tc>
          <w:p>
            <w:pPr>
              <w:pStyle w:stlname="Normal" w:val="Normal"/>
            </w:pPr>
            <w:r>
              <w:t>2023-08-01 - 2023-12-31</w:t>
            </w:r>
          </w:p>
        </w:tc>
      </w:tr>
      <w:tr>
        <w:tc>
          <w:p>
            <w:pPr>
              <w:pStyle w:stlname="Normal" w:val="Normal"/>
            </w:pPr>
            <w:r>
              <w:t>Definizione narrow</w:t>
            </w:r>
          </w:p>
        </w:tc>
        <w:tc>
          <w:p>
            <w:pPr>
              <w:pStyle w:stlname="Normal" w:val="Normal"/>
            </w:pPr>
            <w:r>
              <w:t>449 (45.1%)</w:t>
            </w:r>
          </w:p>
        </w:tc>
        <w:tc>
          <w:p>
            <w:pPr>
              <w:pStyle w:stlname="Normal" w:val="Normal"/>
            </w:pPr>
            <w:r>
              <w:t>264 (46%)</w:t>
            </w:r>
          </w:p>
        </w:tc>
        <w:tc>
          <w:p>
            <w:pPr>
              <w:pStyle w:stlname="Normal" w:val="Normal"/>
            </w:pPr>
            <w:r>
              <w:t>76 (57.6%)</w:t>
            </w:r>
          </w:p>
        </w:tc>
        <w:tc>
          <w:p>
            <w:pPr>
              <w:pStyle w:stlname="Normal" w:val="Normal"/>
            </w:pPr>
            <w:r>
              <w:t>471 (43.1%)</w:t>
            </w:r>
          </w:p>
        </w:tc>
        <w:tc>
          <w:p>
            <w:pPr>
              <w:pStyle w:stlname="Normal" w:val="Normal"/>
            </w:pPr>
            <w:r>
              <w:t>106 (45.1%)</w:t>
            </w:r>
          </w:p>
        </w:tc>
      </w:tr>
    </w:tbl>
    <w:p>
      <w:pPr>
        <w:sectPr w:officer="true">
          <w:type w:val="continuous"/>
          <w:cols/>
          <w:pgSz w:w="11900" w:h="16840"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2024-12-15T18:28:12Z</dcterms:modified>
  <cp:category/>
</cp:coreProperties>
</file>