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Periodo</w:t>
            </w:r>
          </w:p>
        </w:tc>
        <w:tc>
          <w:p>
            <w:pPr>
              <w:pStyle w:stlname="Normal" w:val="Normal"/>
            </w:pPr>
            <w:r>
              <w:t>Tipo di sanguinamento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Decesso</w:t>
            </w:r>
          </w:p>
        </w:tc>
      </w:tr>
      <w:tr>
        <w:tc>
          <w:p>
            <w:pPr>
              <w:pStyle w:stlname="Normal" w:val="Normal"/>
            </w:pPr>
            <w:r>
              <w:t>No antidoto, prima delle restrizioni Covid</w:t>
            </w:r>
          </w:p>
        </w:tc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996</w:t>
            </w:r>
          </w:p>
        </w:tc>
        <w:tc>
          <w:p>
            <w:pPr>
              <w:pStyle w:stlname="Normal" w:val="Normal"/>
            </w:pPr>
            <w:r>
              <w:t>123 (12.3%)</w:t>
            </w:r>
          </w:p>
        </w:tc>
      </w:tr>
      <w:tr>
        <w:tc>
          <w:p>
            <w:pPr>
              <w:pStyle w:stlname="Normal" w:val="Normal"/>
            </w:pPr>
            <w:r>
              <w:t>No antidoto, durante le restrizioni Covid</w:t>
            </w:r>
          </w:p>
        </w:tc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574</w:t>
            </w:r>
          </w:p>
        </w:tc>
        <w:tc>
          <w:p>
            <w:pPr>
              <w:pStyle w:stlname="Normal" w:val="Normal"/>
            </w:pPr>
            <w:r>
              <w:t>91 (15.9%)</w:t>
            </w:r>
          </w:p>
        </w:tc>
      </w:tr>
      <w:tr>
        <w:tc>
          <w:p>
            <w:pPr>
              <w:pStyle w:stlname="Normal" w:val="Normal"/>
            </w:pPr>
            <w:r>
              <w:t>No antidoto, dopo le restrizioni Covid</w:t>
            </w:r>
          </w:p>
        </w:tc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132</w:t>
            </w:r>
          </w:p>
        </w:tc>
        <w:tc>
          <w:p>
            <w:pPr>
              <w:pStyle w:stlname="Normal" w:val="Normal"/>
            </w:pPr>
            <w:r>
              <w:t>18 (13.6%)</w:t>
            </w:r>
          </w:p>
        </w:tc>
      </w:tr>
      <w:tr>
        <w:tc>
          <w:p>
            <w:pPr>
              <w:pStyle w:stlname="Normal" w:val="Normal"/>
            </w:pPr>
            <w:r>
              <w:t>Antidoto disponibile, prima delle linee guida</w:t>
            </w:r>
          </w:p>
        </w:tc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1094</w:t>
            </w:r>
          </w:p>
        </w:tc>
        <w:tc>
          <w:p>
            <w:pPr>
              <w:pStyle w:stlname="Normal" w:val="Normal"/>
            </w:pPr>
            <w:r>
              <w:t>155 (14.2%)</w:t>
            </w:r>
          </w:p>
        </w:tc>
      </w:tr>
      <w:tr>
        <w:tc>
          <w:p>
            <w:pPr>
              <w:pStyle w:stlname="Normal" w:val="Normal"/>
            </w:pPr>
            <w:r>
              <w:t>Antidoto disponibile, dopo le linee guida</w:t>
            </w:r>
          </w:p>
        </w:tc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235</w:t>
            </w:r>
          </w:p>
        </w:tc>
        <w:tc>
          <w:p>
            <w:pPr>
              <w:pStyle w:stlname="Normal" w:val="Normal"/>
            </w:pPr>
            <w:r>
              <w:t>32 (13.6%)</w:t>
            </w:r>
          </w:p>
        </w:tc>
      </w:tr>
      <w:tr>
        <w:tc>
          <w:p>
            <w:pPr>
              <w:pStyle w:stlname="Normal" w:val="Normal"/>
            </w:pPr>
            <w:r>
              <w:t>Totale</w:t>
            </w:r>
          </w:p>
        </w:tc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3031</w:t>
            </w:r>
          </w:p>
        </w:tc>
        <w:tc>
          <w:p>
            <w:pPr>
              <w:pStyle w:stlname="Normal" w:val="Normal"/>
            </w:pPr>
            <w:r>
              <w:t>419 (13.8%)</w:t>
            </w:r>
          </w:p>
        </w:tc>
      </w:tr>
      <w:tr>
        <w:tc>
          <w:p>
            <w:pPr>
              <w:pStyle w:stlname="Normal" w:val="Normal"/>
            </w:pPr>
            <w:r>
              <w:t>No antidoto, prima delle restrizioni Covid</w:t>
            </w:r>
          </w:p>
        </w:tc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449</w:t>
            </w:r>
          </w:p>
        </w:tc>
        <w:tc>
          <w:p>
            <w:pPr>
              <w:pStyle w:stlname="Normal" w:val="Normal"/>
            </w:pPr>
            <w:r>
              <w:t>79 (17.6%)</w:t>
            </w:r>
          </w:p>
        </w:tc>
      </w:tr>
      <w:tr>
        <w:tc>
          <w:p>
            <w:pPr>
              <w:pStyle w:stlname="Normal" w:val="Normal"/>
            </w:pPr>
            <w:r>
              <w:t>No antidoto, durante le restrizioni Covid</w:t>
            </w:r>
          </w:p>
        </w:tc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264</w:t>
            </w:r>
          </w:p>
        </w:tc>
        <w:tc>
          <w:p>
            <w:pPr>
              <w:pStyle w:stlname="Normal" w:val="Normal"/>
            </w:pPr>
            <w:r>
              <w:t>61 (23.1%)</w:t>
            </w:r>
          </w:p>
        </w:tc>
      </w:tr>
      <w:tr>
        <w:tc>
          <w:p>
            <w:pPr>
              <w:pStyle w:stlname="Normal" w:val="Normal"/>
            </w:pPr>
            <w:r>
              <w:t>No antidoto, dopo le restrizioni Covid</w:t>
            </w:r>
          </w:p>
        </w:tc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76</w:t>
            </w:r>
          </w:p>
        </w:tc>
        <w:tc>
          <w:p>
            <w:pPr>
              <w:pStyle w:stlname="Normal" w:val="Normal"/>
            </w:pPr>
            <w:r>
              <w:t>15 (19.7%)</w:t>
            </w:r>
          </w:p>
        </w:tc>
      </w:tr>
      <w:tr>
        <w:tc>
          <w:p>
            <w:pPr>
              <w:pStyle w:stlname="Normal" w:val="Normal"/>
            </w:pPr>
            <w:r>
              <w:t>Antidoto disponibile, prima delle linee guida</w:t>
            </w:r>
          </w:p>
        </w:tc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471</w:t>
            </w:r>
          </w:p>
        </w:tc>
        <w:tc>
          <w:p>
            <w:pPr>
              <w:pStyle w:stlname="Normal" w:val="Normal"/>
            </w:pPr>
            <w:r>
              <w:t>107 (22.7%)</w:t>
            </w:r>
          </w:p>
        </w:tc>
      </w:tr>
      <w:tr>
        <w:tc>
          <w:p>
            <w:pPr>
              <w:pStyle w:stlname="Normal" w:val="Normal"/>
            </w:pPr>
            <w:r>
              <w:t>Antidoto disponibile, dopo le linee guida</w:t>
            </w:r>
          </w:p>
        </w:tc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106</w:t>
            </w:r>
          </w:p>
        </w:tc>
        <w:tc>
          <w:p>
            <w:pPr>
              <w:pStyle w:stlname="Normal" w:val="Normal"/>
            </w:pPr>
            <w:r>
              <w:t>21 (19.8%)</w:t>
            </w:r>
          </w:p>
        </w:tc>
      </w:tr>
      <w:tr>
        <w:tc>
          <w:p>
            <w:pPr>
              <w:pStyle w:stlname="Normal" w:val="Normal"/>
            </w:pPr>
            <w:r>
              <w:t>Totale</w:t>
            </w:r>
          </w:p>
        </w:tc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1366</w:t>
            </w:r>
          </w:p>
        </w:tc>
        <w:tc>
          <w:p>
            <w:pPr>
              <w:pStyle w:stlname="Normal" w:val="Normal"/>
            </w:pPr>
            <w:r>
              <w:t>283 (20.7%)</w:t>
            </w:r>
          </w:p>
        </w:tc>
      </w:tr>
    </w:tbl>
    <w:p>
      <w:pPr>
        <w:sectPr w:officer="true">
          <w:type w:val="continuous"/>
          <w:cols/>
          <w:pgSz w:w="11900" w:h="16840"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2024-12-15T18:31:05Z</dcterms:modified>
  <cp:category/>
</cp:coreProperties>
</file>